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99221">
      <w:pPr>
        <w:pStyle w:val="31"/>
        <w:spacing w:before="0" w:after="240" w:line="500" w:lineRule="exact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基于5G-A通感一体化计算技术的</w:t>
      </w:r>
    </w:p>
    <w:p w14:paraId="02109B98">
      <w:pPr>
        <w:pStyle w:val="31"/>
        <w:spacing w:before="0" w:after="240" w:line="500" w:lineRule="exact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森林火险数字孪生与应急调度平台</w:t>
      </w:r>
    </w:p>
    <w:p w14:paraId="658C00B6">
      <w:pPr>
        <w:pStyle w:val="31"/>
        <w:spacing w:before="0" w:after="240" w:line="500" w:lineRule="exact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软件测试文档</w:t>
      </w:r>
      <w:r>
        <w:fldChar w:fldCharType="begin"/>
      </w:r>
      <w:r>
        <w:instrText xml:space="preserve">  </w:instrText>
      </w:r>
      <w:r>
        <w:fldChar w:fldCharType="end"/>
      </w:r>
    </w:p>
    <w:p w14:paraId="149E87A8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 测试概述</w:t>
      </w:r>
    </w:p>
    <w:p w14:paraId="64FC928E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 测试目的</w:t>
      </w:r>
    </w:p>
    <w:p w14:paraId="0B52E69C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测试文档针对“基于5G-A通感一体化计算技术的森林火险数字孪生与应急调度平台”编制，对该平台的各项功能、性能、可靠性、安全性及兼容性进行系统、规范的验证，及时发现并定位软件缺陷，评估系统是否达到设计要求与验收标准，为系统正式交付、上线运行及后续迭代优化提供客观依据。</w:t>
      </w:r>
    </w:p>
    <w:p w14:paraId="4A704552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 测试范围</w:t>
      </w:r>
    </w:p>
    <w:p w14:paraId="217822D3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本测试覆盖平台的核心功能模块、关键接口、性能指标、稳定性、安全性及兼容性，具体范围如下：</w:t>
      </w:r>
    </w:p>
    <w:p w14:paraId="5C6D2BA7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功能测试：ISAC通感一体化探测、环境驱动AI火险演进模拟、AI平行推演与趋势预判、LBS实体消防智能调度、数字孪生可视化与遥测中心、系统管理等模块。</w:t>
      </w:r>
    </w:p>
    <w:p w14:paraId="07A60309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接口测试：后端RESTful API及WebSocket数据同步接口。</w:t>
      </w:r>
    </w:p>
    <w:p w14:paraId="3AD6CBFA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性能测试：火源定位精度、识别准确率、端到端时延、并发接入能力、推演与调度时效等。</w:t>
      </w:r>
    </w:p>
    <w:p w14:paraId="78FB2801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稳定性测试：长时间连续运行、异常场景下的系统健壮性。</w:t>
      </w:r>
    </w:p>
    <w:p w14:paraId="04B1FDF8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安全测试：指令劫持、数据篡改、越权访问等安全风险验证。</w:t>
      </w:r>
    </w:p>
    <w:p w14:paraId="0850325F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兼容性测试：主流浏览器、不同分辨率及WebGL渲染环境下的显示与交互兼容性。</w:t>
      </w:r>
    </w:p>
    <w:p w14:paraId="329C3FDF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本次测试重点验证系统“感知—推演—决策—调度—可视化”全链路闭环的正确性，以及边缘计算（MEC）与超可靠低时延通信（URLLC）架构下系统关键指标的达成情况。</w:t>
      </w:r>
    </w:p>
    <w:p w14:paraId="64BE634E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1.3 测试依据</w:t>
      </w:r>
    </w:p>
    <w:p w14:paraId="6AC4078D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本次测试主要依据以下材料与标准：</w:t>
      </w:r>
    </w:p>
    <w:p w14:paraId="59DB1FFE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《基于5G-A通感一体化计算技术的森林火险数字孪生与应急调度平台》作品设计方案。</w:t>
      </w:r>
    </w:p>
    <w:p w14:paraId="21AF982F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《系统需求规格说明书（SRS）》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。</w:t>
      </w:r>
    </w:p>
    <w:p w14:paraId="29620E26">
      <w:pPr>
        <w:spacing w:before="0" w:after="0" w:line="360" w:lineRule="exact"/>
        <w:ind w:left="480" w:firstLine="0"/>
        <w:jc w:val="both"/>
      </w:pPr>
      <w:r>
        <w:rPr>
          <w:rFonts w:ascii="Times New Roman" w:hAnsi="Times New Roman" w:eastAsia="宋体"/>
          <w:b w:val="0"/>
          <w:sz w:val="24"/>
        </w:rPr>
        <w:t>5G-Advanced（5G-A）相关技术规范，涉及3GPP R18等标准中关于通感一体化（ISAC）、超可靠低时延通信（URLLC）的技术要求。</w:t>
      </w:r>
    </w:p>
    <w:p w14:paraId="59762AAF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1.4 测试对象与系统架构简介</w:t>
      </w:r>
    </w:p>
    <w:p w14:paraId="3AA790BA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平台采用“端—管—边—用”四层工业级物联网架构：端侧为无人机群（M300 RTK）与5G-A工业CPE，负责采集CSI指纹数据与激光雷达/红外遥感数据；管侧为5G-A网络传输层，实现毫米波回波检测、URLLC低时延切片与V2X机间通信；边侧为MEC边缘智算层，部署FastAPI引擎运行CA元胞自动机模型、平行推演与LBS调度算法；用侧为数字孪生展示层，通过WebGIS在指挥中心大屏呈现数字孪生场景。系统通过“观察—判断—决策—行动”（OODA）闭环实现森林火灾的感知、预测、调度与可视化一体化处置。</w:t>
      </w:r>
    </w:p>
    <w:p w14:paraId="2E79DBBD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 测试环境</w:t>
      </w:r>
    </w:p>
    <w:p w14:paraId="5A14C567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 硬件环境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F9D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0544D0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硬件设备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152D1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配置说明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DC8F01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 w14:paraId="46165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DBD6E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无人机群</w:t>
            </w:r>
          </w:p>
        </w:tc>
        <w:tc>
          <w:tcPr>
            <w:tcW w:w="4535" w:type="dxa"/>
            <w:vAlign w:val="center"/>
          </w:tcPr>
          <w:p w14:paraId="73C8F3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M300 RTK或同级工业级无人机，搭载Onboard SDK</w:t>
            </w:r>
          </w:p>
        </w:tc>
        <w:tc>
          <w:tcPr>
            <w:tcW w:w="2721" w:type="dxa"/>
            <w:vAlign w:val="center"/>
          </w:tcPr>
          <w:p w14:paraId="2F9966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通感扫描、火源探测与扑救任务执行</w:t>
            </w:r>
          </w:p>
        </w:tc>
      </w:tr>
      <w:tr w14:paraId="7C85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1E8EE0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5G-A ISAC基站</w:t>
            </w:r>
          </w:p>
        </w:tc>
        <w:tc>
          <w:tcPr>
            <w:tcW w:w="4535" w:type="dxa"/>
            <w:vAlign w:val="center"/>
          </w:tcPr>
          <w:p w14:paraId="257EF8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支持3GPP R18协议，毫米波相控阵天线，URLLC切片</w:t>
            </w:r>
          </w:p>
        </w:tc>
        <w:tc>
          <w:tcPr>
            <w:tcW w:w="2721" w:type="dxa"/>
            <w:vAlign w:val="center"/>
          </w:tcPr>
          <w:p w14:paraId="716681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毫米波回波检测、低时延数据回传</w:t>
            </w:r>
          </w:p>
        </w:tc>
      </w:tr>
      <w:tr w14:paraId="29B4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FB2C8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MEC边缘节点</w:t>
            </w:r>
          </w:p>
        </w:tc>
        <w:tc>
          <w:tcPr>
            <w:tcW w:w="4535" w:type="dxa"/>
            <w:vAlign w:val="center"/>
          </w:tcPr>
          <w:p w14:paraId="74BAFB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NVIDIA Jetson AGX Orin/华为Atlas 500，UPF下沉</w:t>
            </w:r>
          </w:p>
        </w:tc>
        <w:tc>
          <w:tcPr>
            <w:tcW w:w="2721" w:type="dxa"/>
            <w:vAlign w:val="center"/>
          </w:tcPr>
          <w:p w14:paraId="138C97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边缘智算、CA模型推演、LBS调度</w:t>
            </w:r>
          </w:p>
        </w:tc>
      </w:tr>
      <w:tr w14:paraId="3496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E802EE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渲染工作站</w:t>
            </w:r>
          </w:p>
        </w:tc>
        <w:tc>
          <w:tcPr>
            <w:tcW w:w="4535" w:type="dxa"/>
            <w:vAlign w:val="center"/>
          </w:tcPr>
          <w:p w14:paraId="0EDE43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NVIDIA RTX 4090/A100 GPU</w:t>
            </w:r>
          </w:p>
        </w:tc>
        <w:tc>
          <w:tcPr>
            <w:tcW w:w="2721" w:type="dxa"/>
            <w:vAlign w:val="center"/>
          </w:tcPr>
          <w:p w14:paraId="5969E5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WebGIS三维地图与ECharts实时渲染</w:t>
            </w:r>
          </w:p>
        </w:tc>
      </w:tr>
      <w:tr w14:paraId="1B751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C48399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显示单元</w:t>
            </w:r>
          </w:p>
        </w:tc>
        <w:tc>
          <w:tcPr>
            <w:tcW w:w="4535" w:type="dxa"/>
            <w:vAlign w:val="center"/>
          </w:tcPr>
          <w:p w14:paraId="589050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4K像素间距小间距LED壁挂大屏</w:t>
            </w:r>
          </w:p>
        </w:tc>
        <w:tc>
          <w:tcPr>
            <w:tcW w:w="2721" w:type="dxa"/>
            <w:vAlign w:val="center"/>
          </w:tcPr>
          <w:p w14:paraId="1204F0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数字孪生大屏展示</w:t>
            </w:r>
          </w:p>
        </w:tc>
      </w:tr>
    </w:tbl>
    <w:p w14:paraId="491E0025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 测试硬件环境</w:t>
      </w:r>
    </w:p>
    <w:p w14:paraId="7964CEE9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 软件环境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91E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5E48062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软件/组件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072B4C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版本/配置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56B919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 w14:paraId="1D26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1D298C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w="3515" w:type="dxa"/>
            <w:vAlign w:val="center"/>
          </w:tcPr>
          <w:p w14:paraId="29BD19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Windows/Linux（服务器端）</w:t>
            </w:r>
          </w:p>
        </w:tc>
        <w:tc>
          <w:tcPr>
            <w:tcW w:w="3175" w:type="dxa"/>
            <w:vAlign w:val="center"/>
          </w:tcPr>
          <w:p w14:paraId="64EA81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运行MEC服务与前端</w:t>
            </w:r>
          </w:p>
        </w:tc>
      </w:tr>
      <w:tr w14:paraId="16BB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68929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后端框架</w:t>
            </w:r>
          </w:p>
        </w:tc>
        <w:tc>
          <w:tcPr>
            <w:tcW w:w="3515" w:type="dxa"/>
            <w:vAlign w:val="center"/>
          </w:tcPr>
          <w:p w14:paraId="3F05BA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Python/FastAPI，Uvicorn（ASGI）</w:t>
            </w:r>
          </w:p>
        </w:tc>
        <w:tc>
          <w:tcPr>
            <w:tcW w:w="3175" w:type="dxa"/>
            <w:vAlign w:val="center"/>
          </w:tcPr>
          <w:p w14:paraId="298BB7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边缘智算与API服务</w:t>
            </w:r>
          </w:p>
        </w:tc>
      </w:tr>
      <w:tr w14:paraId="0B44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00D3C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计算库</w:t>
            </w:r>
          </w:p>
        </w:tc>
        <w:tc>
          <w:tcPr>
            <w:tcW w:w="3515" w:type="dxa"/>
            <w:vAlign w:val="center"/>
          </w:tcPr>
          <w:p w14:paraId="37E9CE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NumPy/SciPy/Scikit-learn</w:t>
            </w:r>
          </w:p>
        </w:tc>
        <w:tc>
          <w:tcPr>
            <w:tcW w:w="3175" w:type="dxa"/>
            <w:vAlign w:val="center"/>
          </w:tcPr>
          <w:p w14:paraId="5F298F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CA模型、逻辑回归与矩阵运算</w:t>
            </w:r>
          </w:p>
        </w:tc>
      </w:tr>
      <w:tr w14:paraId="2321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D66D6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前端地图</w:t>
            </w:r>
          </w:p>
        </w:tc>
        <w:tc>
          <w:tcPr>
            <w:tcW w:w="3515" w:type="dxa"/>
            <w:vAlign w:val="center"/>
          </w:tcPr>
          <w:p w14:paraId="6E78D0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百度地图WebGL API，Canvas离屏渲染</w:t>
            </w:r>
          </w:p>
        </w:tc>
        <w:tc>
          <w:tcPr>
            <w:tcW w:w="3175" w:type="dxa"/>
            <w:vAlign w:val="center"/>
          </w:tcPr>
          <w:p w14:paraId="0E8F27F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数字孪生地图渲染</w:t>
            </w:r>
          </w:p>
        </w:tc>
      </w:tr>
      <w:tr w14:paraId="760D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ED8F2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可视化库</w:t>
            </w:r>
          </w:p>
        </w:tc>
        <w:tc>
          <w:tcPr>
            <w:tcW w:w="3515" w:type="dxa"/>
            <w:vAlign w:val="center"/>
          </w:tcPr>
          <w:p w14:paraId="3B6828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ECharts 5.4.3</w:t>
            </w:r>
          </w:p>
        </w:tc>
        <w:tc>
          <w:tcPr>
            <w:tcW w:w="3175" w:type="dxa"/>
            <w:vAlign w:val="center"/>
          </w:tcPr>
          <w:p w14:paraId="285D86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火险指数折线与趋势展示</w:t>
            </w:r>
          </w:p>
        </w:tc>
      </w:tr>
    </w:tbl>
    <w:p w14:paraId="07878D18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表2 测试软件环境</w:t>
      </w:r>
    </w:p>
    <w:p w14:paraId="38FDBBD0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 测试工具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813C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35C8216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测试工具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0ABF4F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 w14:paraId="403C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4ED72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pytest</w:t>
            </w:r>
          </w:p>
        </w:tc>
        <w:tc>
          <w:tcPr>
            <w:tcW w:w="6236" w:type="dxa"/>
            <w:vAlign w:val="center"/>
          </w:tcPr>
          <w:p w14:paraId="034920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后端功能与接口自动化测试</w:t>
            </w:r>
          </w:p>
        </w:tc>
      </w:tr>
      <w:tr w14:paraId="7DAC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9BA6A6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Postman/JMeter</w:t>
            </w:r>
          </w:p>
        </w:tc>
        <w:tc>
          <w:tcPr>
            <w:tcW w:w="6236" w:type="dxa"/>
            <w:vAlign w:val="center"/>
          </w:tcPr>
          <w:p w14:paraId="51B6D5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RESTful API接口测试与性能压测</w:t>
            </w:r>
          </w:p>
        </w:tc>
      </w:tr>
      <w:tr w14:paraId="3607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B6E64B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WebSocket测试客户端</w:t>
            </w:r>
          </w:p>
        </w:tc>
        <w:tc>
          <w:tcPr>
            <w:tcW w:w="6236" w:type="dxa"/>
            <w:vAlign w:val="center"/>
          </w:tcPr>
          <w:p w14:paraId="3DEA5F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前端—边缘侧实时数据同步测试</w:t>
            </w:r>
          </w:p>
        </w:tc>
      </w:tr>
      <w:tr w14:paraId="3CCD9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447CAB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性能监测工具</w:t>
            </w:r>
          </w:p>
        </w:tc>
        <w:tc>
          <w:tcPr>
            <w:tcW w:w="6236" w:type="dxa"/>
            <w:vAlign w:val="center"/>
          </w:tcPr>
          <w:p w14:paraId="305072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CPU、内存、时延、吞吐量监测与分析</w:t>
            </w:r>
          </w:p>
        </w:tc>
      </w:tr>
    </w:tbl>
    <w:p w14:paraId="2A9D58EC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表3 测试工具</w:t>
      </w:r>
    </w:p>
    <w:p w14:paraId="6EACBE3E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2.4 测试数据准备</w:t>
      </w:r>
    </w:p>
    <w:p w14:paraId="40767F2D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功能与推演测试采用Kaggle/UCI经典“森林火灾（Forest Fires）”历史数据集，该数据集包含517条历史火险样本，覆盖温度、湿度、风速、细小可燃物含水率（FFMC）、蔓延指数等字段，用于校验CA元胞自动机权重矩阵与火势推演结果。通感感知测试通过模拟火源（发热元胞）验证ISAC探测逻辑，并构造夜间、浓烟、非视距（NLOS）等异常场景数据。</w:t>
      </w:r>
    </w:p>
    <w:p w14:paraId="5D750479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3 测试策略与方法</w:t>
      </w:r>
    </w:p>
    <w:p w14:paraId="7BEA00B8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 功能测试</w:t>
      </w:r>
    </w:p>
    <w:p w14:paraId="70D68A46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黑盒测试为主、辅以边界值与异常测试，覆盖各功能模块的输入、处理与输出全流程，验证功能正确性、完整性及用户交互合理性。重点校验火情从“潜伏期（状态1）”到“已识别明火（状态3）”的状态转换，以及预警区、调度引导线等关键功能的实现。</w:t>
      </w:r>
    </w:p>
    <w:p w14:paraId="718A2287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 接口测试</w:t>
      </w:r>
    </w:p>
    <w:p w14:paraId="6EC12B4D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对后端RESTful API及WebSocket数据同步接口开展接口测试，校验请求参数、响应结构、状态码、异常处理及前后端数据一致性，重点覆盖状态同步、平行推演、调度指令下发等核心接口。</w:t>
      </w:r>
    </w:p>
    <w:p w14:paraId="399A885A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 性能测试</w:t>
      </w:r>
    </w:p>
    <w:p w14:paraId="481123B0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针对火源定位精度、识别准确率、虚警率、端到端时延、推演计算频率、并发接入能力等关键指标开展性能测试，在高并发、大规模网格计算等场景下验证系统性能是否达到设计要求。</w:t>
      </w:r>
    </w:p>
    <w:p w14:paraId="03A49F29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 稳定性测试</w:t>
      </w:r>
    </w:p>
    <w:p w14:paraId="639A9B3E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开展7×24小时连续运行测试，模拟真实火情初发、蔓延、扑灭的完整生命周期，验证系统在长时间运行、异常断电、算力拥塞等场景下的稳定性与资源优雅释放能力。</w:t>
      </w:r>
    </w:p>
    <w:p w14:paraId="0DCD3D99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 安全测试</w:t>
      </w:r>
    </w:p>
    <w:p w14:paraId="5AA11C9A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针对无人机控制指令劫持、数据篡改伪造、越权访问、敏感数据泄露等风险开展安全测试，验证指令一次性加密、时序校验、防重放、访问权限控制等安全机制的有效性。</w:t>
      </w:r>
    </w:p>
    <w:p w14:paraId="6574A5B5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 兼容性测试</w:t>
      </w:r>
    </w:p>
    <w:p w14:paraId="5981BA2B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在Chrome、Edge、Firefox等主流浏览器及不同分辨率下，验证WebGIS三维渲染、ECharts图表、Canvas覆盖层等前端功能的显示与交互兼容性，确保数字孪生大屏稳定呈现。</w:t>
      </w:r>
    </w:p>
    <w:p w14:paraId="34D5121D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4 功能测试用例设计</w:t>
      </w:r>
    </w:p>
    <w:p w14:paraId="4B922721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以下为各功能模块的典型测试用例。实际执行时按用例编号逐一登记执行结果。</w:t>
      </w:r>
    </w:p>
    <w:p w14:paraId="78D41E60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 ISAC通感一体化探测模块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B24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D36D5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E905B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62C0F41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010E730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359663A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67F7470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2B78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987D6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FC-ISAC-01</w:t>
            </w:r>
          </w:p>
        </w:tc>
        <w:tc>
          <w:tcPr>
            <w:tcW w:w="1474" w:type="dxa"/>
            <w:vAlign w:val="center"/>
          </w:tcPr>
          <w:p w14:paraId="53E8CB0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全域网格扫描</w:t>
            </w:r>
          </w:p>
        </w:tc>
        <w:tc>
          <w:tcPr>
            <w:tcW w:w="2721" w:type="dxa"/>
            <w:vAlign w:val="center"/>
          </w:tcPr>
          <w:p w14:paraId="73A830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下发巡检路径，启动侦查机群网格扫描</w:t>
            </w:r>
          </w:p>
        </w:tc>
        <w:tc>
          <w:tcPr>
            <w:tcW w:w="2948" w:type="dxa"/>
            <w:vAlign w:val="center"/>
          </w:tcPr>
          <w:p w14:paraId="20B80F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侦查机群按规划路径完成30×30网格覆盖扫描，轨迹实时显示</w:t>
            </w:r>
          </w:p>
        </w:tc>
        <w:tc>
          <w:tcPr>
            <w:tcW w:w="737" w:type="dxa"/>
            <w:vAlign w:val="center"/>
          </w:tcPr>
          <w:p w14:paraId="4D28D4A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7EF15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76E3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9233A2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FC-ISAC-02</w:t>
            </w:r>
          </w:p>
        </w:tc>
        <w:tc>
          <w:tcPr>
            <w:tcW w:w="1474" w:type="dxa"/>
            <w:vAlign w:val="center"/>
          </w:tcPr>
          <w:p w14:paraId="67FDB8D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暗火捕获</w:t>
            </w:r>
          </w:p>
        </w:tc>
        <w:tc>
          <w:tcPr>
            <w:tcW w:w="2721" w:type="dxa"/>
            <w:vAlign w:val="center"/>
          </w:tcPr>
          <w:p w14:paraId="2CA81F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在网格内放置状态为1的潜伏火源</w:t>
            </w:r>
          </w:p>
        </w:tc>
        <w:tc>
          <w:tcPr>
            <w:tcW w:w="2948" w:type="dxa"/>
            <w:vAlign w:val="center"/>
          </w:tcPr>
          <w:p w14:paraId="4F9BDF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系统识别潜伏火点，通感回波将其转换为状态3已识别明火</w:t>
            </w:r>
          </w:p>
        </w:tc>
        <w:tc>
          <w:tcPr>
            <w:tcW w:w="737" w:type="dxa"/>
            <w:vAlign w:val="center"/>
          </w:tcPr>
          <w:p w14:paraId="055A00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64D5D8E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6037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E65058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FC-ISAC-03</w:t>
            </w:r>
          </w:p>
        </w:tc>
        <w:tc>
          <w:tcPr>
            <w:tcW w:w="1474" w:type="dxa"/>
            <w:vAlign w:val="center"/>
          </w:tcPr>
          <w:p w14:paraId="6F7F7C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非视距探测</w:t>
            </w:r>
          </w:p>
        </w:tc>
        <w:tc>
          <w:tcPr>
            <w:tcW w:w="2721" w:type="dxa"/>
            <w:vAlign w:val="center"/>
          </w:tcPr>
          <w:p w14:paraId="24FC1E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构造浓烟/夜间/茂密冠层场景遮挡火源</w:t>
            </w:r>
          </w:p>
        </w:tc>
        <w:tc>
          <w:tcPr>
            <w:tcW w:w="2948" w:type="dxa"/>
            <w:vAlign w:val="center"/>
          </w:tcPr>
          <w:p w14:paraId="5FD6F5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不依赖直视，通过信号能量场分析定位火情</w:t>
            </w:r>
          </w:p>
        </w:tc>
        <w:tc>
          <w:tcPr>
            <w:tcW w:w="737" w:type="dxa"/>
            <w:vAlign w:val="center"/>
          </w:tcPr>
          <w:p w14:paraId="738B94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0BD1D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</w:tr>
      <w:tr w14:paraId="32BFD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4E9F7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FC-ISAC-04</w:t>
            </w:r>
          </w:p>
        </w:tc>
        <w:tc>
          <w:tcPr>
            <w:tcW w:w="1474" w:type="dxa"/>
            <w:vAlign w:val="center"/>
          </w:tcPr>
          <w:p w14:paraId="2504EA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实时位置追踪</w:t>
            </w:r>
          </w:p>
        </w:tc>
        <w:tc>
          <w:tcPr>
            <w:tcW w:w="2721" w:type="dxa"/>
            <w:vAlign w:val="center"/>
          </w:tcPr>
          <w:p w14:paraId="328F4E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移动侦查机，持续观察坐标</w:t>
            </w:r>
          </w:p>
        </w:tc>
        <w:tc>
          <w:tcPr>
            <w:tcW w:w="2948" w:type="dxa"/>
            <w:vAlign w:val="center"/>
          </w:tcPr>
          <w:p w14:paraId="2D7B32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WebGIS界面以设定刷新率更新所有飞行器空间坐标</w:t>
            </w:r>
          </w:p>
        </w:tc>
        <w:tc>
          <w:tcPr>
            <w:tcW w:w="737" w:type="dxa"/>
            <w:vAlign w:val="center"/>
          </w:tcPr>
          <w:p w14:paraId="46F055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6122E76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371E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7D8E5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FC-ISAC-05</w:t>
            </w:r>
          </w:p>
        </w:tc>
        <w:tc>
          <w:tcPr>
            <w:tcW w:w="1474" w:type="dxa"/>
            <w:vAlign w:val="center"/>
          </w:tcPr>
          <w:p w14:paraId="60E382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探测边界</w:t>
            </w:r>
          </w:p>
        </w:tc>
        <w:tc>
          <w:tcPr>
            <w:tcW w:w="2721" w:type="dxa"/>
            <w:vAlign w:val="center"/>
          </w:tcPr>
          <w:p w14:paraId="77B16E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火源与侦查机距离接近判定阈值</w:t>
            </w:r>
          </w:p>
        </w:tc>
        <w:tc>
          <w:tcPr>
            <w:tcW w:w="2948" w:type="dxa"/>
            <w:vAlign w:val="center"/>
          </w:tcPr>
          <w:p w14:paraId="245F95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距离小于等于阈值时触发报警，边界状态处理正确</w:t>
            </w:r>
          </w:p>
        </w:tc>
        <w:tc>
          <w:tcPr>
            <w:tcW w:w="737" w:type="dxa"/>
            <w:vAlign w:val="center"/>
          </w:tcPr>
          <w:p w14:paraId="3CDE368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6EDA8D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</w:t>
            </w:r>
          </w:p>
        </w:tc>
      </w:tr>
      <w:tr w14:paraId="418E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94DAF9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FC-ISAC-06</w:t>
            </w:r>
          </w:p>
        </w:tc>
        <w:tc>
          <w:tcPr>
            <w:tcW w:w="1474" w:type="dxa"/>
            <w:vAlign w:val="center"/>
          </w:tcPr>
          <w:p w14:paraId="40E381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虚警抑制</w:t>
            </w:r>
          </w:p>
        </w:tc>
        <w:tc>
          <w:tcPr>
            <w:tcW w:w="2721" w:type="dxa"/>
            <w:vAlign w:val="center"/>
          </w:tcPr>
          <w:p w14:paraId="7F8CD7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构造多径干扰与噪声场景</w:t>
            </w:r>
          </w:p>
        </w:tc>
        <w:tc>
          <w:tcPr>
            <w:tcW w:w="2948" w:type="dxa"/>
            <w:vAlign w:val="center"/>
          </w:tcPr>
          <w:p w14:paraId="087DE8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CFAR算法抑制噪声，虚警率低于2%</w:t>
            </w:r>
          </w:p>
        </w:tc>
        <w:tc>
          <w:tcPr>
            <w:tcW w:w="737" w:type="dxa"/>
            <w:vAlign w:val="center"/>
          </w:tcPr>
          <w:p w14:paraId="2ED1A7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D8FAE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</w:tbl>
    <w:p w14:paraId="1E68CDAB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表4 ISAC通感一体化探测模块功能测试用例</w:t>
      </w:r>
    </w:p>
    <w:p w14:paraId="2B4BFAD2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 环境驱动AI火险演进模拟模块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7C9D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7BC69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59BC1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7D7D1A4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7E796B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50C90A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5DB862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2083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A17747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FC-FIRE-01</w:t>
            </w:r>
          </w:p>
        </w:tc>
        <w:tc>
          <w:tcPr>
            <w:tcW w:w="1474" w:type="dxa"/>
            <w:vAlign w:val="center"/>
          </w:tcPr>
          <w:p w14:paraId="7E166DE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多要素耦合计算</w:t>
            </w:r>
          </w:p>
        </w:tc>
        <w:tc>
          <w:tcPr>
            <w:tcW w:w="2721" w:type="dxa"/>
            <w:vAlign w:val="center"/>
          </w:tcPr>
          <w:p w14:paraId="6E9F75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输入温度、湿度、风向/风速四维特征</w:t>
            </w:r>
          </w:p>
        </w:tc>
        <w:tc>
          <w:tcPr>
            <w:tcW w:w="2948" w:type="dxa"/>
            <w:vAlign w:val="center"/>
          </w:tcPr>
          <w:p w14:paraId="5F7B58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CA模型综合多要素更新全场风险分布</w:t>
            </w:r>
          </w:p>
        </w:tc>
        <w:tc>
          <w:tcPr>
            <w:tcW w:w="737" w:type="dxa"/>
            <w:vAlign w:val="center"/>
          </w:tcPr>
          <w:p w14:paraId="218D7F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E67CF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6B38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41514A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FC-FIRE-02</w:t>
            </w:r>
          </w:p>
        </w:tc>
        <w:tc>
          <w:tcPr>
            <w:tcW w:w="1474" w:type="dxa"/>
            <w:vAlign w:val="center"/>
          </w:tcPr>
          <w:p w14:paraId="051165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动态扩散预测</w:t>
            </w:r>
          </w:p>
        </w:tc>
        <w:tc>
          <w:tcPr>
            <w:tcW w:w="2721" w:type="dxa"/>
            <w:vAlign w:val="center"/>
          </w:tcPr>
          <w:p w14:paraId="214126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设置不同干燥度与植被湿度</w:t>
            </w:r>
          </w:p>
        </w:tc>
        <w:tc>
          <w:tcPr>
            <w:tcW w:w="2948" w:type="dxa"/>
            <w:vAlign w:val="center"/>
          </w:tcPr>
          <w:p w14:paraId="5DF16A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火势按设定频率迭代，扩散速率随环境梯度变化</w:t>
            </w:r>
          </w:p>
        </w:tc>
        <w:tc>
          <w:tcPr>
            <w:tcW w:w="737" w:type="dxa"/>
            <w:vAlign w:val="center"/>
          </w:tcPr>
          <w:p w14:paraId="28A723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681727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07E8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C2AF5F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FC-FIRE-03</w:t>
            </w:r>
          </w:p>
        </w:tc>
        <w:tc>
          <w:tcPr>
            <w:tcW w:w="1474" w:type="dxa"/>
            <w:vAlign w:val="center"/>
          </w:tcPr>
          <w:p w14:paraId="09DFEF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风险评分计算</w:t>
            </w:r>
          </w:p>
        </w:tc>
        <w:tc>
          <w:tcPr>
            <w:tcW w:w="2721" w:type="dxa"/>
            <w:vAlign w:val="center"/>
          </w:tcPr>
          <w:p w14:paraId="36D7BA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持续运行，观察risk_score</w:t>
            </w:r>
          </w:p>
        </w:tc>
        <w:tc>
          <w:tcPr>
            <w:tcW w:w="2948" w:type="dxa"/>
            <w:vAlign w:val="center"/>
          </w:tcPr>
          <w:p w14:paraId="459D1C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全局火险指数实时反映灾情严重度与趋势</w:t>
            </w:r>
          </w:p>
        </w:tc>
        <w:tc>
          <w:tcPr>
            <w:tcW w:w="737" w:type="dxa"/>
            <w:vAlign w:val="center"/>
          </w:tcPr>
          <w:p w14:paraId="63A5A6B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293F57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0F42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85E53E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FC-FIRE-04</w:t>
            </w:r>
          </w:p>
        </w:tc>
        <w:tc>
          <w:tcPr>
            <w:tcW w:w="1474" w:type="dxa"/>
            <w:vAlign w:val="center"/>
          </w:tcPr>
          <w:p w14:paraId="7B43E5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风向修正</w:t>
            </w:r>
          </w:p>
        </w:tc>
        <w:tc>
          <w:tcPr>
            <w:tcW w:w="2721" w:type="dxa"/>
            <w:vAlign w:val="center"/>
          </w:tcPr>
          <w:p w14:paraId="037E0B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设置东西南北四个风向</w:t>
            </w:r>
          </w:p>
        </w:tc>
        <w:tc>
          <w:tcPr>
            <w:tcW w:w="2948" w:type="dxa"/>
            <w:vAlign w:val="center"/>
          </w:tcPr>
          <w:p w14:paraId="3AC70C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火势蔓延方向符合wind_offsets定义，风向修正生效</w:t>
            </w:r>
          </w:p>
        </w:tc>
        <w:tc>
          <w:tcPr>
            <w:tcW w:w="737" w:type="dxa"/>
            <w:vAlign w:val="center"/>
          </w:tcPr>
          <w:p w14:paraId="06FD4C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322932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</w:t>
            </w:r>
          </w:p>
        </w:tc>
      </w:tr>
      <w:tr w14:paraId="16B4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DB740B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FC-FIRE-05</w:t>
            </w:r>
          </w:p>
        </w:tc>
        <w:tc>
          <w:tcPr>
            <w:tcW w:w="1474" w:type="dxa"/>
            <w:vAlign w:val="center"/>
          </w:tcPr>
          <w:p w14:paraId="0586A1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高温干旱增强</w:t>
            </w:r>
          </w:p>
        </w:tc>
        <w:tc>
          <w:tcPr>
            <w:tcW w:w="2721" w:type="dxa"/>
            <w:vAlign w:val="center"/>
          </w:tcPr>
          <w:p w14:paraId="3FE479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输入极端高温低湿数据</w:t>
            </w:r>
          </w:p>
        </w:tc>
        <w:tc>
          <w:tcPr>
            <w:tcW w:w="2948" w:type="dxa"/>
            <w:vAlign w:val="center"/>
          </w:tcPr>
          <w:p w14:paraId="39CB2F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火势扩散概率随干燥程度增强，物理特征一致</w:t>
            </w:r>
          </w:p>
        </w:tc>
        <w:tc>
          <w:tcPr>
            <w:tcW w:w="737" w:type="dxa"/>
            <w:vAlign w:val="center"/>
          </w:tcPr>
          <w:p w14:paraId="2E6B84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7101117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</w:tr>
    </w:tbl>
    <w:p w14:paraId="155E49A6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表5 环境驱动AI火险演进模拟模块功能测试用例</w:t>
      </w:r>
    </w:p>
    <w:p w14:paraId="452A4015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 AI平行推演与趋势预判模块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C0A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CA14D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43ED1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D91CD2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89AA85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66D6B15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02F2A28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08E6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16F95A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FC-PRED-01</w:t>
            </w:r>
          </w:p>
        </w:tc>
        <w:tc>
          <w:tcPr>
            <w:tcW w:w="1474" w:type="dxa"/>
            <w:vAlign w:val="center"/>
          </w:tcPr>
          <w:p w14:paraId="03029F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平行推演触发</w:t>
            </w:r>
          </w:p>
        </w:tc>
        <w:tc>
          <w:tcPr>
            <w:tcW w:w="2721" w:type="dxa"/>
            <w:vAlign w:val="center"/>
          </w:tcPr>
          <w:p w14:paraId="2C19C6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点击“开启AI预测推演”按钮</w:t>
            </w:r>
          </w:p>
        </w:tc>
        <w:tc>
          <w:tcPr>
            <w:tcW w:w="2948" w:type="dxa"/>
            <w:vAlign w:val="center"/>
          </w:tcPr>
          <w:p w14:paraId="18291B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后台启动影子模拟循环，不中断实时采集</w:t>
            </w:r>
          </w:p>
        </w:tc>
        <w:tc>
          <w:tcPr>
            <w:tcW w:w="737" w:type="dxa"/>
            <w:vAlign w:val="center"/>
          </w:tcPr>
          <w:p w14:paraId="02D0E7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3E85E38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1489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7DA48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FC-PRED-02</w:t>
            </w:r>
          </w:p>
        </w:tc>
        <w:tc>
          <w:tcPr>
            <w:tcW w:w="1474" w:type="dxa"/>
            <w:vAlign w:val="center"/>
          </w:tcPr>
          <w:p w14:paraId="121953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未来推演输出</w:t>
            </w:r>
          </w:p>
        </w:tc>
        <w:tc>
          <w:tcPr>
            <w:tcW w:w="2721" w:type="dxa"/>
            <w:vAlign w:val="center"/>
          </w:tcPr>
          <w:p w14:paraId="52E55B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开启推演并等待30分钟</w:t>
            </w:r>
          </w:p>
        </w:tc>
        <w:tc>
          <w:tcPr>
            <w:tcW w:w="2948" w:type="dxa"/>
            <w:vAlign w:val="center"/>
          </w:tcPr>
          <w:p w14:paraId="7A1454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推演出未来30分钟火势扩散范围坐标集</w:t>
            </w:r>
          </w:p>
        </w:tc>
        <w:tc>
          <w:tcPr>
            <w:tcW w:w="737" w:type="dxa"/>
            <w:vAlign w:val="center"/>
          </w:tcPr>
          <w:p w14:paraId="21FAD6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ABCE1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2BA7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44F03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FC-PRED-03</w:t>
            </w:r>
          </w:p>
        </w:tc>
        <w:tc>
          <w:tcPr>
            <w:tcW w:w="1474" w:type="dxa"/>
            <w:vAlign w:val="center"/>
          </w:tcPr>
          <w:p w14:paraId="177322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预警区投影</w:t>
            </w:r>
          </w:p>
        </w:tc>
        <w:tc>
          <w:tcPr>
            <w:tcW w:w="2721" w:type="dxa"/>
            <w:vAlign w:val="center"/>
          </w:tcPr>
          <w:p w14:paraId="4B4D8A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观察地图覆盖层</w:t>
            </w:r>
          </w:p>
        </w:tc>
        <w:tc>
          <w:tcPr>
            <w:tcW w:w="2948" w:type="dxa"/>
            <w:vAlign w:val="center"/>
          </w:tcPr>
          <w:p w14:paraId="4F3BE2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推演结果以黄色脉冲半透明层投影在孪生底图</w:t>
            </w:r>
          </w:p>
        </w:tc>
        <w:tc>
          <w:tcPr>
            <w:tcW w:w="737" w:type="dxa"/>
            <w:vAlign w:val="center"/>
          </w:tcPr>
          <w:p w14:paraId="1B65DA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2045683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797C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928B7D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FC-PRED-04</w:t>
            </w:r>
          </w:p>
        </w:tc>
        <w:tc>
          <w:tcPr>
            <w:tcW w:w="1474" w:type="dxa"/>
            <w:vAlign w:val="center"/>
          </w:tcPr>
          <w:p w14:paraId="17ECB7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推演独立性</w:t>
            </w:r>
          </w:p>
        </w:tc>
        <w:tc>
          <w:tcPr>
            <w:tcW w:w="2721" w:type="dxa"/>
            <w:vAlign w:val="center"/>
          </w:tcPr>
          <w:p w14:paraId="40093E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平行推演期间改变参数</w:t>
            </w:r>
          </w:p>
        </w:tc>
        <w:tc>
          <w:tcPr>
            <w:tcW w:w="2948" w:type="dxa"/>
            <w:vAlign w:val="center"/>
          </w:tcPr>
          <w:p w14:paraId="1231A4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后台推演不影响当前物理状态，结果正确更新</w:t>
            </w:r>
          </w:p>
        </w:tc>
        <w:tc>
          <w:tcPr>
            <w:tcW w:w="737" w:type="dxa"/>
            <w:vAlign w:val="center"/>
          </w:tcPr>
          <w:p w14:paraId="79534DE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AEA22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673C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D786C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FC-PRED-05</w:t>
            </w:r>
          </w:p>
        </w:tc>
        <w:tc>
          <w:tcPr>
            <w:tcW w:w="1474" w:type="dxa"/>
            <w:vAlign w:val="center"/>
          </w:tcPr>
          <w:p w14:paraId="45423F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隔离带辅助</w:t>
            </w:r>
          </w:p>
        </w:tc>
        <w:tc>
          <w:tcPr>
            <w:tcW w:w="2721" w:type="dxa"/>
            <w:vAlign w:val="center"/>
          </w:tcPr>
          <w:p w14:paraId="1D1F95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查看预警区与火头前沿</w:t>
            </w:r>
          </w:p>
        </w:tc>
        <w:tc>
          <w:tcPr>
            <w:tcW w:w="2948" w:type="dxa"/>
            <w:vAlign w:val="center"/>
          </w:tcPr>
          <w:p w14:paraId="7EFB61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预警区在火头前沿提前亮起，辅助划定隔离带</w:t>
            </w:r>
          </w:p>
        </w:tc>
        <w:tc>
          <w:tcPr>
            <w:tcW w:w="737" w:type="dxa"/>
            <w:vAlign w:val="center"/>
          </w:tcPr>
          <w:p w14:paraId="6EA7A1B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3AC221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</w:tbl>
    <w:p w14:paraId="7273174A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表6 AI平行推演与趋势预判模块功能测试用例</w:t>
      </w:r>
    </w:p>
    <w:p w14:paraId="64ABB547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 LBS实体消防智能调度模块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A36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1A4D8E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D52E3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A420B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1A5538C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3701BB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0F7A99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3A44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328A3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FC-LBS-01</w:t>
            </w:r>
          </w:p>
        </w:tc>
        <w:tc>
          <w:tcPr>
            <w:tcW w:w="1474" w:type="dxa"/>
            <w:vAlign w:val="center"/>
          </w:tcPr>
          <w:p w14:paraId="3AB8C3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空间就近匹配</w:t>
            </w:r>
          </w:p>
        </w:tc>
        <w:tc>
          <w:tcPr>
            <w:tcW w:w="2721" w:type="dxa"/>
            <w:vAlign w:val="center"/>
          </w:tcPr>
          <w:p w14:paraId="1A08797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识别到明火点，触发调度</w:t>
            </w:r>
          </w:p>
        </w:tc>
        <w:tc>
          <w:tcPr>
            <w:tcW w:w="2948" w:type="dxa"/>
            <w:vAlign w:val="center"/>
          </w:tcPr>
          <w:p w14:paraId="48A5CB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Haversine公式秒级搜索出球面距离最短的消防力量</w:t>
            </w:r>
          </w:p>
        </w:tc>
        <w:tc>
          <w:tcPr>
            <w:tcW w:w="737" w:type="dxa"/>
            <w:vAlign w:val="center"/>
          </w:tcPr>
          <w:p w14:paraId="6C0A202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4A095C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75EC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C3C7BF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FC-LBS-02</w:t>
            </w:r>
          </w:p>
        </w:tc>
        <w:tc>
          <w:tcPr>
            <w:tcW w:w="1474" w:type="dxa"/>
            <w:vAlign w:val="center"/>
          </w:tcPr>
          <w:p w14:paraId="0EC285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ETA计算</w:t>
            </w:r>
          </w:p>
        </w:tc>
        <w:tc>
          <w:tcPr>
            <w:tcW w:w="2721" w:type="dxa"/>
            <w:vAlign w:val="center"/>
          </w:tcPr>
          <w:p w14:paraId="17862D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选择增援目标</w:t>
            </w:r>
          </w:p>
        </w:tc>
        <w:tc>
          <w:tcPr>
            <w:tcW w:w="2948" w:type="dxa"/>
            <w:vAlign w:val="center"/>
          </w:tcPr>
          <w:p w14:paraId="116D6D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结合路径自动给出预计到达时间（ETA）</w:t>
            </w:r>
          </w:p>
        </w:tc>
        <w:tc>
          <w:tcPr>
            <w:tcW w:w="737" w:type="dxa"/>
            <w:vAlign w:val="center"/>
          </w:tcPr>
          <w:p w14:paraId="5E2049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3DBD67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3FB9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9C488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FC-LBS-03</w:t>
            </w:r>
          </w:p>
        </w:tc>
        <w:tc>
          <w:tcPr>
            <w:tcW w:w="1474" w:type="dxa"/>
            <w:vAlign w:val="center"/>
          </w:tcPr>
          <w:p w14:paraId="389A9C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路径最优解</w:t>
            </w:r>
          </w:p>
        </w:tc>
        <w:tc>
          <w:tcPr>
            <w:tcW w:w="2721" w:type="dxa"/>
            <w:vAlign w:val="center"/>
          </w:tcPr>
          <w:p w14:paraId="7D1EDB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设置多消防站候选</w:t>
            </w:r>
          </w:p>
        </w:tc>
        <w:tc>
          <w:tcPr>
            <w:tcW w:w="2948" w:type="dxa"/>
            <w:vAlign w:val="center"/>
          </w:tcPr>
          <w:p w14:paraId="24FD52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A*算法在设定时间内完成全局最优路径搜索</w:t>
            </w:r>
          </w:p>
        </w:tc>
        <w:tc>
          <w:tcPr>
            <w:tcW w:w="737" w:type="dxa"/>
            <w:vAlign w:val="center"/>
          </w:tcPr>
          <w:p w14:paraId="236C09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134A4A9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3770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6A52EA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FC-LBS-04</w:t>
            </w:r>
          </w:p>
        </w:tc>
        <w:tc>
          <w:tcPr>
            <w:tcW w:w="1474" w:type="dxa"/>
            <w:vAlign w:val="center"/>
          </w:tcPr>
          <w:p w14:paraId="70D069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调度引导线</w:t>
            </w:r>
          </w:p>
        </w:tc>
        <w:tc>
          <w:tcPr>
            <w:tcW w:w="2721" w:type="dxa"/>
            <w:vAlign w:val="center"/>
          </w:tcPr>
          <w:p w14:paraId="70121E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触发就近调度</w:t>
            </w:r>
          </w:p>
        </w:tc>
        <w:tc>
          <w:tcPr>
            <w:tcW w:w="2948" w:type="dxa"/>
            <w:vAlign w:val="center"/>
          </w:tcPr>
          <w:p w14:paraId="0D0F40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地图生成红色虚线连接消防站与火险元胞中心</w:t>
            </w:r>
          </w:p>
        </w:tc>
        <w:tc>
          <w:tcPr>
            <w:tcW w:w="737" w:type="dxa"/>
            <w:vAlign w:val="center"/>
          </w:tcPr>
          <w:p w14:paraId="3E146A3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68C698E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72D1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A0968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FC-LBS-05</w:t>
            </w:r>
          </w:p>
        </w:tc>
        <w:tc>
          <w:tcPr>
            <w:tcW w:w="1474" w:type="dxa"/>
            <w:vAlign w:val="center"/>
          </w:tcPr>
          <w:p w14:paraId="2F0AD2C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三维可视化引导</w:t>
            </w:r>
          </w:p>
        </w:tc>
        <w:tc>
          <w:tcPr>
            <w:tcW w:w="2721" w:type="dxa"/>
            <w:vAlign w:val="center"/>
          </w:tcPr>
          <w:p w14:paraId="2BD1B7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观察数字孪生沙盘</w:t>
            </w:r>
          </w:p>
        </w:tc>
        <w:tc>
          <w:tcPr>
            <w:tcW w:w="2948" w:type="dxa"/>
            <w:vAlign w:val="center"/>
          </w:tcPr>
          <w:p w14:paraId="0C04F7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实时显示调度路径、ETA及无人机实时航迹</w:t>
            </w:r>
          </w:p>
        </w:tc>
        <w:tc>
          <w:tcPr>
            <w:tcW w:w="737" w:type="dxa"/>
            <w:vAlign w:val="center"/>
          </w:tcPr>
          <w:p w14:paraId="2F294FE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5FFD8B1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0EAC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3F0CAB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FC-LBS-06</w:t>
            </w:r>
          </w:p>
        </w:tc>
        <w:tc>
          <w:tcPr>
            <w:tcW w:w="1474" w:type="dxa"/>
            <w:vAlign w:val="center"/>
          </w:tcPr>
          <w:p w14:paraId="2DAC7D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多目标调度</w:t>
            </w:r>
          </w:p>
        </w:tc>
        <w:tc>
          <w:tcPr>
            <w:tcW w:w="2721" w:type="dxa"/>
            <w:vAlign w:val="center"/>
          </w:tcPr>
          <w:p w14:paraId="71642B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同时出现多个火点</w:t>
            </w:r>
          </w:p>
        </w:tc>
        <w:tc>
          <w:tcPr>
            <w:tcW w:w="2948" w:type="dxa"/>
            <w:vAlign w:val="center"/>
          </w:tcPr>
          <w:p w14:paraId="41300E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为每个火点正确分配最近救援力量，避免冲突</w:t>
            </w:r>
          </w:p>
        </w:tc>
        <w:tc>
          <w:tcPr>
            <w:tcW w:w="737" w:type="dxa"/>
            <w:vAlign w:val="center"/>
          </w:tcPr>
          <w:p w14:paraId="0DF5AD9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B8063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</w:tbl>
    <w:p w14:paraId="60293DF8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表7 LBS实体消防智能调度模块功能测试用例</w:t>
      </w:r>
    </w:p>
    <w:p w14:paraId="028B8752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4.5 数字孪生可视化与遥测中心模块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31E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B5734D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8540F4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498C5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5A45E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3BDE0B1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60157D4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5715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5A2B8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FC-UI-01</w:t>
            </w:r>
          </w:p>
        </w:tc>
        <w:tc>
          <w:tcPr>
            <w:tcW w:w="1474" w:type="dxa"/>
            <w:vAlign w:val="center"/>
          </w:tcPr>
          <w:p w14:paraId="21A88C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三维地图渲染</w:t>
            </w:r>
          </w:p>
        </w:tc>
        <w:tc>
          <w:tcPr>
            <w:tcW w:w="2721" w:type="dxa"/>
            <w:vAlign w:val="center"/>
          </w:tcPr>
          <w:p w14:paraId="253356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加载西昌林区卫星底图</w:t>
            </w:r>
          </w:p>
        </w:tc>
        <w:tc>
          <w:tcPr>
            <w:tcW w:w="2948" w:type="dxa"/>
            <w:vAlign w:val="center"/>
          </w:tcPr>
          <w:p w14:paraId="0AB05F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WebGL渲染出1:1数字孪生地图，网格与经纬度精确绑定</w:t>
            </w:r>
          </w:p>
        </w:tc>
        <w:tc>
          <w:tcPr>
            <w:tcW w:w="737" w:type="dxa"/>
            <w:vAlign w:val="center"/>
          </w:tcPr>
          <w:p w14:paraId="0C813C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45B70B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1BCE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F9E4A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FC-UI-02</w:t>
            </w:r>
          </w:p>
        </w:tc>
        <w:tc>
          <w:tcPr>
            <w:tcW w:w="1474" w:type="dxa"/>
            <w:vAlign w:val="center"/>
          </w:tcPr>
          <w:p w14:paraId="290B49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元胞状态映射</w:t>
            </w:r>
          </w:p>
        </w:tc>
        <w:tc>
          <w:tcPr>
            <w:tcW w:w="2721" w:type="dxa"/>
            <w:vAlign w:val="center"/>
          </w:tcPr>
          <w:p w14:paraId="08C499C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运行系统，观察地图覆盖</w:t>
            </w:r>
          </w:p>
        </w:tc>
        <w:tc>
          <w:tcPr>
            <w:tcW w:w="2948" w:type="dxa"/>
            <w:vAlign w:val="center"/>
          </w:tcPr>
          <w:p w14:paraId="780BD1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元胞状态实时转为半透明圆形热力点，150ms刷新</w:t>
            </w:r>
          </w:p>
        </w:tc>
        <w:tc>
          <w:tcPr>
            <w:tcW w:w="737" w:type="dxa"/>
            <w:vAlign w:val="center"/>
          </w:tcPr>
          <w:p w14:paraId="00FC58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6CDD47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36E2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487DE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FC-UI-03</w:t>
            </w:r>
          </w:p>
        </w:tc>
        <w:tc>
          <w:tcPr>
            <w:tcW w:w="1474" w:type="dxa"/>
            <w:vAlign w:val="center"/>
          </w:tcPr>
          <w:p w14:paraId="05DF4E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实时日志</w:t>
            </w:r>
          </w:p>
        </w:tc>
        <w:tc>
          <w:tcPr>
            <w:tcW w:w="2721" w:type="dxa"/>
            <w:vAlign w:val="center"/>
          </w:tcPr>
          <w:p w14:paraId="1B9519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触发调度指令</w:t>
            </w:r>
          </w:p>
        </w:tc>
        <w:tc>
          <w:tcPr>
            <w:tcW w:w="2948" w:type="dxa"/>
            <w:vAlign w:val="center"/>
          </w:tcPr>
          <w:p w14:paraId="26B82E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调度日志以打字机效果输出LBS匹配结果与ETA</w:t>
            </w:r>
          </w:p>
        </w:tc>
        <w:tc>
          <w:tcPr>
            <w:tcW w:w="737" w:type="dxa"/>
            <w:vAlign w:val="center"/>
          </w:tcPr>
          <w:p w14:paraId="6AEDFD8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3BA931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2BD9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E6469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FC-UI-04</w:t>
            </w:r>
          </w:p>
        </w:tc>
        <w:tc>
          <w:tcPr>
            <w:tcW w:w="1474" w:type="dxa"/>
            <w:vAlign w:val="center"/>
          </w:tcPr>
          <w:p w14:paraId="2EF84D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遥测曲线</w:t>
            </w:r>
          </w:p>
        </w:tc>
        <w:tc>
          <w:tcPr>
            <w:tcW w:w="2721" w:type="dxa"/>
            <w:vAlign w:val="center"/>
          </w:tcPr>
          <w:p w14:paraId="3DF49AE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运行并观察风险指数</w:t>
            </w:r>
          </w:p>
        </w:tc>
        <w:tc>
          <w:tcPr>
            <w:tcW w:w="2948" w:type="dxa"/>
            <w:vAlign w:val="center"/>
          </w:tcPr>
          <w:p w14:paraId="12F0F8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ECharts实时绘制risk_score趋势折线图</w:t>
            </w:r>
          </w:p>
        </w:tc>
        <w:tc>
          <w:tcPr>
            <w:tcW w:w="737" w:type="dxa"/>
            <w:vAlign w:val="center"/>
          </w:tcPr>
          <w:p w14:paraId="2ED37C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738E0CB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0CD9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CFF48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FC-UI-05</w:t>
            </w:r>
          </w:p>
        </w:tc>
        <w:tc>
          <w:tcPr>
            <w:tcW w:w="1474" w:type="dxa"/>
            <w:vAlign w:val="center"/>
          </w:tcPr>
          <w:p w14:paraId="7D8473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参数热下发</w:t>
            </w:r>
          </w:p>
        </w:tc>
        <w:tc>
          <w:tcPr>
            <w:tcW w:w="2721" w:type="dxa"/>
            <w:vAlign w:val="center"/>
          </w:tcPr>
          <w:p w14:paraId="5753A2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运行中调整风向、编组规模</w:t>
            </w:r>
          </w:p>
        </w:tc>
        <w:tc>
          <w:tcPr>
            <w:tcW w:w="2948" w:type="dxa"/>
            <w:vAlign w:val="center"/>
          </w:tcPr>
          <w:p w14:paraId="1B2109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不中断系统运行，策略参数即时生效</w:t>
            </w:r>
          </w:p>
        </w:tc>
        <w:tc>
          <w:tcPr>
            <w:tcW w:w="737" w:type="dxa"/>
            <w:vAlign w:val="center"/>
          </w:tcPr>
          <w:p w14:paraId="3EC3E8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AFB8D9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  <w:tr w14:paraId="4C4B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9AD6CD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FC-UI-06</w:t>
            </w:r>
          </w:p>
        </w:tc>
        <w:tc>
          <w:tcPr>
            <w:tcW w:w="1474" w:type="dxa"/>
            <w:vAlign w:val="center"/>
          </w:tcPr>
          <w:p w14:paraId="01DC5C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状态同步</w:t>
            </w:r>
          </w:p>
        </w:tc>
        <w:tc>
          <w:tcPr>
            <w:tcW w:w="2721" w:type="dxa"/>
            <w:vAlign w:val="center"/>
          </w:tcPr>
          <w:p w14:paraId="2737FB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边缘端更新状态</w:t>
            </w:r>
          </w:p>
        </w:tc>
        <w:tc>
          <w:tcPr>
            <w:tcW w:w="2948" w:type="dxa"/>
            <w:vAlign w:val="center"/>
          </w:tcPr>
          <w:p w14:paraId="28F614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WebSocket毫秒级同步，大屏与边缘侧数据一致</w:t>
            </w:r>
          </w:p>
        </w:tc>
        <w:tc>
          <w:tcPr>
            <w:tcW w:w="737" w:type="dxa"/>
            <w:vAlign w:val="center"/>
          </w:tcPr>
          <w:p w14:paraId="356527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4961FEA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</w:t>
            </w:r>
          </w:p>
        </w:tc>
      </w:tr>
    </w:tbl>
    <w:p w14:paraId="3B382D87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表8 数字孪生可视化与遥测中心模块功能测试用例</w:t>
      </w:r>
    </w:p>
    <w:p w14:paraId="2F41D969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5 接口测试用例设计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65CB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531737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CBCD0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53934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33D7AD2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CA488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3FAEE7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4F9087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363D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684910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IT-API-01</w:t>
            </w:r>
          </w:p>
        </w:tc>
        <w:tc>
          <w:tcPr>
            <w:tcW w:w="1417" w:type="dxa"/>
            <w:vAlign w:val="center"/>
          </w:tcPr>
          <w:p w14:paraId="6890223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get_state</w:t>
            </w:r>
          </w:p>
        </w:tc>
        <w:tc>
          <w:tcPr>
            <w:tcW w:w="1247" w:type="dxa"/>
            <w:vAlign w:val="center"/>
          </w:tcPr>
          <w:p w14:paraId="0C6FCB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状态获取</w:t>
            </w:r>
          </w:p>
        </w:tc>
        <w:tc>
          <w:tcPr>
            <w:tcW w:w="2041" w:type="dxa"/>
            <w:vAlign w:val="center"/>
          </w:tcPr>
          <w:p w14:paraId="50FC6C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正常请求获取状态</w:t>
            </w:r>
          </w:p>
        </w:tc>
        <w:tc>
          <w:tcPr>
            <w:tcW w:w="2608" w:type="dxa"/>
            <w:vAlign w:val="center"/>
          </w:tcPr>
          <w:p w14:paraId="150A75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返回完整网格状态与元胞数据，结构正确</w:t>
            </w:r>
          </w:p>
        </w:tc>
        <w:tc>
          <w:tcPr>
            <w:tcW w:w="737" w:type="dxa"/>
            <w:vAlign w:val="center"/>
          </w:tcPr>
          <w:p w14:paraId="18B64DB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609089D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 w14:paraId="1DB9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2BA5D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IT-API-02</w:t>
            </w:r>
          </w:p>
        </w:tc>
        <w:tc>
          <w:tcPr>
            <w:tcW w:w="1417" w:type="dxa"/>
            <w:vAlign w:val="center"/>
          </w:tcPr>
          <w:p w14:paraId="012380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get_prediction</w:t>
            </w:r>
          </w:p>
        </w:tc>
        <w:tc>
          <w:tcPr>
            <w:tcW w:w="1247" w:type="dxa"/>
            <w:vAlign w:val="center"/>
          </w:tcPr>
          <w:p w14:paraId="22DB19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平行推演</w:t>
            </w:r>
          </w:p>
        </w:tc>
        <w:tc>
          <w:tcPr>
            <w:tcW w:w="2041" w:type="dxa"/>
            <w:vAlign w:val="center"/>
          </w:tcPr>
          <w:p w14:paraId="046F9F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请求推演接口</w:t>
            </w:r>
          </w:p>
        </w:tc>
        <w:tc>
          <w:tcPr>
            <w:tcW w:w="2608" w:type="dxa"/>
            <w:vAlign w:val="center"/>
          </w:tcPr>
          <w:p w14:paraId="0F410F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返回未来火势预警坐标集，不改变物理状态</w:t>
            </w:r>
          </w:p>
        </w:tc>
        <w:tc>
          <w:tcPr>
            <w:tcW w:w="737" w:type="dxa"/>
            <w:vAlign w:val="center"/>
          </w:tcPr>
          <w:p w14:paraId="6187E7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20BEA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 w14:paraId="51BA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CA660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IT-API-03</w:t>
            </w:r>
          </w:p>
        </w:tc>
        <w:tc>
          <w:tcPr>
            <w:tcW w:w="1417" w:type="dxa"/>
            <w:vAlign w:val="center"/>
          </w:tcPr>
          <w:p w14:paraId="3C1356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api/predict</w:t>
            </w:r>
          </w:p>
        </w:tc>
        <w:tc>
          <w:tcPr>
            <w:tcW w:w="1247" w:type="dxa"/>
            <w:vAlign w:val="center"/>
          </w:tcPr>
          <w:p w14:paraId="0393A4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推演预测</w:t>
            </w:r>
          </w:p>
        </w:tc>
        <w:tc>
          <w:tcPr>
            <w:tcW w:w="2041" w:type="dxa"/>
            <w:vAlign w:val="center"/>
          </w:tcPr>
          <w:p w14:paraId="28E3E7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提交火情参数</w:t>
            </w:r>
          </w:p>
        </w:tc>
        <w:tc>
          <w:tcPr>
            <w:tcW w:w="2608" w:type="dxa"/>
            <w:vAlign w:val="center"/>
          </w:tcPr>
          <w:p w14:paraId="13EBF8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返回推演结果与风险评分</w:t>
            </w:r>
          </w:p>
        </w:tc>
        <w:tc>
          <w:tcPr>
            <w:tcW w:w="737" w:type="dxa"/>
            <w:vAlign w:val="center"/>
          </w:tcPr>
          <w:p w14:paraId="19F402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EB4DC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 w14:paraId="2B42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CDA4C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IT-API-04</w:t>
            </w:r>
          </w:p>
        </w:tc>
        <w:tc>
          <w:tcPr>
            <w:tcW w:w="1417" w:type="dxa"/>
            <w:vAlign w:val="center"/>
          </w:tcPr>
          <w:p w14:paraId="7ED1A3F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triggerGroundDispatch</w:t>
            </w:r>
          </w:p>
        </w:tc>
        <w:tc>
          <w:tcPr>
            <w:tcW w:w="1247" w:type="dxa"/>
            <w:vAlign w:val="center"/>
          </w:tcPr>
          <w:p w14:paraId="2AB0B4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地面调度</w:t>
            </w:r>
          </w:p>
        </w:tc>
        <w:tc>
          <w:tcPr>
            <w:tcW w:w="2041" w:type="dxa"/>
            <w:vAlign w:val="center"/>
          </w:tcPr>
          <w:p w14:paraId="7E884B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触发地面调度</w:t>
            </w:r>
          </w:p>
        </w:tc>
        <w:tc>
          <w:tcPr>
            <w:tcW w:w="2608" w:type="dxa"/>
            <w:vAlign w:val="center"/>
          </w:tcPr>
          <w:p w14:paraId="766081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返回匹配消防站、路径与ETA</w:t>
            </w:r>
          </w:p>
        </w:tc>
        <w:tc>
          <w:tcPr>
            <w:tcW w:w="737" w:type="dxa"/>
            <w:vAlign w:val="center"/>
          </w:tcPr>
          <w:p w14:paraId="2802B2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312CC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 w14:paraId="45D8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C4375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IT-API-05</w:t>
            </w:r>
          </w:p>
        </w:tc>
        <w:tc>
          <w:tcPr>
            <w:tcW w:w="1417" w:type="dxa"/>
            <w:vAlign w:val="center"/>
          </w:tcPr>
          <w:p w14:paraId="7F5D5CD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dispatchLog</w:t>
            </w:r>
          </w:p>
        </w:tc>
        <w:tc>
          <w:tcPr>
            <w:tcW w:w="1247" w:type="dxa"/>
            <w:vAlign w:val="center"/>
          </w:tcPr>
          <w:p w14:paraId="2EA089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调度日志</w:t>
            </w:r>
          </w:p>
        </w:tc>
        <w:tc>
          <w:tcPr>
            <w:tcW w:w="2041" w:type="dxa"/>
            <w:vAlign w:val="center"/>
          </w:tcPr>
          <w:p w14:paraId="7486D1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推送调度指令</w:t>
            </w:r>
          </w:p>
        </w:tc>
        <w:tc>
          <w:tcPr>
            <w:tcW w:w="2608" w:type="dxa"/>
            <w:vAlign w:val="center"/>
          </w:tcPr>
          <w:p w14:paraId="2A9295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日志流正确推送，含地理坐标信息</w:t>
            </w:r>
          </w:p>
        </w:tc>
        <w:tc>
          <w:tcPr>
            <w:tcW w:w="737" w:type="dxa"/>
            <w:vAlign w:val="center"/>
          </w:tcPr>
          <w:p w14:paraId="2FF52B7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594EB0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</w:t>
            </w:r>
          </w:p>
        </w:tc>
      </w:tr>
      <w:tr w14:paraId="37D8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74D93D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IT-API-06</w:t>
            </w:r>
          </w:p>
        </w:tc>
        <w:tc>
          <w:tcPr>
            <w:tcW w:w="1417" w:type="dxa"/>
            <w:vAlign w:val="center"/>
          </w:tcPr>
          <w:p w14:paraId="05816E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非法参数</w:t>
            </w:r>
          </w:p>
        </w:tc>
        <w:tc>
          <w:tcPr>
            <w:tcW w:w="1247" w:type="dxa"/>
            <w:vAlign w:val="center"/>
          </w:tcPr>
          <w:p w14:paraId="18CE26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异常处理</w:t>
            </w:r>
          </w:p>
        </w:tc>
        <w:tc>
          <w:tcPr>
            <w:tcW w:w="2041" w:type="dxa"/>
            <w:vAlign w:val="center"/>
          </w:tcPr>
          <w:p w14:paraId="3F4162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传入空值/超长/非法类型参数</w:t>
            </w:r>
          </w:p>
        </w:tc>
        <w:tc>
          <w:tcPr>
            <w:tcW w:w="2608" w:type="dxa"/>
            <w:vAlign w:val="center"/>
          </w:tcPr>
          <w:p w14:paraId="46D92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返回合理错误码与提示，系统不崩溃</w:t>
            </w:r>
          </w:p>
        </w:tc>
        <w:tc>
          <w:tcPr>
            <w:tcW w:w="737" w:type="dxa"/>
            <w:vAlign w:val="center"/>
          </w:tcPr>
          <w:p w14:paraId="2A55CB2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67D7A4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</w:tr>
      <w:tr w14:paraId="37A8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A9A2D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IT-API-07</w:t>
            </w:r>
          </w:p>
        </w:tc>
        <w:tc>
          <w:tcPr>
            <w:tcW w:w="1417" w:type="dxa"/>
            <w:vAlign w:val="center"/>
          </w:tcPr>
          <w:p w14:paraId="04F0270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并发请求</w:t>
            </w:r>
          </w:p>
        </w:tc>
        <w:tc>
          <w:tcPr>
            <w:tcW w:w="1247" w:type="dxa"/>
            <w:vAlign w:val="center"/>
          </w:tcPr>
          <w:p w14:paraId="5B0831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并发压力</w:t>
            </w:r>
          </w:p>
        </w:tc>
        <w:tc>
          <w:tcPr>
            <w:tcW w:w="2041" w:type="dxa"/>
            <w:vAlign w:val="center"/>
          </w:tcPr>
          <w:p w14:paraId="5CA378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高并发调用核心接口</w:t>
            </w:r>
          </w:p>
        </w:tc>
        <w:tc>
          <w:tcPr>
            <w:tcW w:w="2608" w:type="dxa"/>
            <w:vAlign w:val="center"/>
          </w:tcPr>
          <w:p w14:paraId="4E4D23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接口响应正常，无超时与数据错乱</w:t>
            </w:r>
          </w:p>
        </w:tc>
        <w:tc>
          <w:tcPr>
            <w:tcW w:w="737" w:type="dxa"/>
            <w:vAlign w:val="center"/>
          </w:tcPr>
          <w:p w14:paraId="3DE0A7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F1CE9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</w:tbl>
    <w:p w14:paraId="0446B55F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表9 接口测试用例</w:t>
      </w:r>
    </w:p>
    <w:p w14:paraId="42485189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6 性能测试用例设计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1F13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F2D35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637455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性能项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281CC7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DDD0B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设计要求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7D2B4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090045B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714CA0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4DCB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50208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PRF-01</w:t>
            </w:r>
          </w:p>
        </w:tc>
        <w:tc>
          <w:tcPr>
            <w:tcW w:w="1361" w:type="dxa"/>
            <w:vAlign w:val="center"/>
          </w:tcPr>
          <w:p w14:paraId="7520FD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火源定位精度</w:t>
            </w:r>
          </w:p>
        </w:tc>
        <w:tc>
          <w:tcPr>
            <w:tcW w:w="2041" w:type="dxa"/>
            <w:vAlign w:val="center"/>
          </w:tcPr>
          <w:p w14:paraId="4B638C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真实环境通感定位</w:t>
            </w:r>
          </w:p>
        </w:tc>
        <w:tc>
          <w:tcPr>
            <w:tcW w:w="1701" w:type="dxa"/>
            <w:vAlign w:val="center"/>
          </w:tcPr>
          <w:p w14:paraId="6E978D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≤0.8m厘米级定位</w:t>
            </w:r>
          </w:p>
        </w:tc>
        <w:tc>
          <w:tcPr>
            <w:tcW w:w="2494" w:type="dxa"/>
            <w:vAlign w:val="center"/>
          </w:tcPr>
          <w:p w14:paraId="34CDF5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定位误差不超过0.8m</w:t>
            </w:r>
          </w:p>
        </w:tc>
        <w:tc>
          <w:tcPr>
            <w:tcW w:w="737" w:type="dxa"/>
            <w:vAlign w:val="center"/>
          </w:tcPr>
          <w:p w14:paraId="60680E7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1D3239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712A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D3B038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PRF-02</w:t>
            </w:r>
          </w:p>
        </w:tc>
        <w:tc>
          <w:tcPr>
            <w:tcW w:w="1361" w:type="dxa"/>
            <w:vAlign w:val="center"/>
          </w:tcPr>
          <w:p w14:paraId="39BEA2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火情识别准确率</w:t>
            </w:r>
          </w:p>
        </w:tc>
        <w:tc>
          <w:tcPr>
            <w:tcW w:w="2041" w:type="dxa"/>
            <w:vAlign w:val="center"/>
          </w:tcPr>
          <w:p w14:paraId="697FDE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复杂森林背景检测</w:t>
            </w:r>
          </w:p>
        </w:tc>
        <w:tc>
          <w:tcPr>
            <w:tcW w:w="1701" w:type="dxa"/>
            <w:vAlign w:val="center"/>
          </w:tcPr>
          <w:p w14:paraId="26979E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≥98%</w:t>
            </w:r>
          </w:p>
        </w:tc>
        <w:tc>
          <w:tcPr>
            <w:tcW w:w="2494" w:type="dxa"/>
            <w:vAlign w:val="center"/>
          </w:tcPr>
          <w:p w14:paraId="06726B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检测概率不低于98%</w:t>
            </w:r>
          </w:p>
        </w:tc>
        <w:tc>
          <w:tcPr>
            <w:tcW w:w="737" w:type="dxa"/>
            <w:vAlign w:val="center"/>
          </w:tcPr>
          <w:p w14:paraId="6B453F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846D8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4AAD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5C8B3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PRF-03</w:t>
            </w:r>
          </w:p>
        </w:tc>
        <w:tc>
          <w:tcPr>
            <w:tcW w:w="1361" w:type="dxa"/>
            <w:vAlign w:val="center"/>
          </w:tcPr>
          <w:p w14:paraId="24D94B9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虚警率</w:t>
            </w:r>
          </w:p>
        </w:tc>
        <w:tc>
          <w:tcPr>
            <w:tcW w:w="2041" w:type="dxa"/>
            <w:vAlign w:val="center"/>
          </w:tcPr>
          <w:p w14:paraId="60718E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多径干扰环境</w:t>
            </w:r>
          </w:p>
        </w:tc>
        <w:tc>
          <w:tcPr>
            <w:tcW w:w="1701" w:type="dxa"/>
            <w:vAlign w:val="center"/>
          </w:tcPr>
          <w:p w14:paraId="6052D89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＜2%</w:t>
            </w:r>
          </w:p>
        </w:tc>
        <w:tc>
          <w:tcPr>
            <w:tcW w:w="2494" w:type="dxa"/>
            <w:vAlign w:val="center"/>
          </w:tcPr>
          <w:p w14:paraId="4B54DB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虚警率低于2%</w:t>
            </w:r>
          </w:p>
        </w:tc>
        <w:tc>
          <w:tcPr>
            <w:tcW w:w="737" w:type="dxa"/>
            <w:vAlign w:val="center"/>
          </w:tcPr>
          <w:p w14:paraId="029C05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712F3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09F9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FC0C61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PRF-04</w:t>
            </w:r>
          </w:p>
        </w:tc>
        <w:tc>
          <w:tcPr>
            <w:tcW w:w="1361" w:type="dxa"/>
            <w:vAlign w:val="center"/>
          </w:tcPr>
          <w:p w14:paraId="5F769F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端到端时延</w:t>
            </w:r>
          </w:p>
        </w:tc>
        <w:tc>
          <w:tcPr>
            <w:tcW w:w="2041" w:type="dxa"/>
            <w:vAlign w:val="center"/>
          </w:tcPr>
          <w:p w14:paraId="6BB575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感知—决策—调度闭环</w:t>
            </w:r>
          </w:p>
        </w:tc>
        <w:tc>
          <w:tcPr>
            <w:tcW w:w="1701" w:type="dxa"/>
            <w:vAlign w:val="center"/>
          </w:tcPr>
          <w:p w14:paraId="40FD4D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＜10ms</w:t>
            </w:r>
          </w:p>
        </w:tc>
        <w:tc>
          <w:tcPr>
            <w:tcW w:w="2494" w:type="dxa"/>
            <w:vAlign w:val="center"/>
          </w:tcPr>
          <w:p w14:paraId="4F372D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整体闭环时延小于10ms</w:t>
            </w:r>
          </w:p>
        </w:tc>
        <w:tc>
          <w:tcPr>
            <w:tcW w:w="737" w:type="dxa"/>
            <w:vAlign w:val="center"/>
          </w:tcPr>
          <w:p w14:paraId="08B3CF4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6622EF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225A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983BC2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PRF-05</w:t>
            </w:r>
          </w:p>
        </w:tc>
        <w:tc>
          <w:tcPr>
            <w:tcW w:w="1361" w:type="dxa"/>
            <w:vAlign w:val="center"/>
          </w:tcPr>
          <w:p w14:paraId="2CE6D5C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调度计算时效</w:t>
            </w:r>
          </w:p>
        </w:tc>
        <w:tc>
          <w:tcPr>
            <w:tcW w:w="2041" w:type="dxa"/>
            <w:vAlign w:val="center"/>
          </w:tcPr>
          <w:p w14:paraId="24F6B1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全局最优调度</w:t>
            </w:r>
          </w:p>
        </w:tc>
        <w:tc>
          <w:tcPr>
            <w:tcW w:w="1701" w:type="dxa"/>
            <w:vAlign w:val="center"/>
          </w:tcPr>
          <w:p w14:paraId="084E7E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＜50ms</w:t>
            </w:r>
          </w:p>
        </w:tc>
        <w:tc>
          <w:tcPr>
            <w:tcW w:w="2494" w:type="dxa"/>
            <w:vAlign w:val="center"/>
          </w:tcPr>
          <w:p w14:paraId="4A61CD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单次调度计算不超过50ms</w:t>
            </w:r>
          </w:p>
        </w:tc>
        <w:tc>
          <w:tcPr>
            <w:tcW w:w="737" w:type="dxa"/>
            <w:vAlign w:val="center"/>
          </w:tcPr>
          <w:p w14:paraId="1A0EC86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0DF9FA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5F8D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DBE8C0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PRF-06</w:t>
            </w:r>
          </w:p>
        </w:tc>
        <w:tc>
          <w:tcPr>
            <w:tcW w:w="1361" w:type="dxa"/>
            <w:vAlign w:val="center"/>
          </w:tcPr>
          <w:p w14:paraId="404314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并发接入</w:t>
            </w:r>
          </w:p>
        </w:tc>
        <w:tc>
          <w:tcPr>
            <w:tcW w:w="2041" w:type="dxa"/>
            <w:vAlign w:val="center"/>
          </w:tcPr>
          <w:p w14:paraId="30C29A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多设备并发</w:t>
            </w:r>
          </w:p>
        </w:tc>
        <w:tc>
          <w:tcPr>
            <w:tcW w:w="1701" w:type="dxa"/>
            <w:vAlign w:val="center"/>
          </w:tcPr>
          <w:p w14:paraId="69DF82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≥50台终端/无人机</w:t>
            </w:r>
          </w:p>
        </w:tc>
        <w:tc>
          <w:tcPr>
            <w:tcW w:w="2494" w:type="dxa"/>
            <w:vAlign w:val="center"/>
          </w:tcPr>
          <w:p w14:paraId="1F486F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稳定支持50台以上并发接入</w:t>
            </w:r>
          </w:p>
        </w:tc>
        <w:tc>
          <w:tcPr>
            <w:tcW w:w="737" w:type="dxa"/>
            <w:vAlign w:val="center"/>
          </w:tcPr>
          <w:p w14:paraId="346929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301AB12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7C66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18226E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PRF-07</w:t>
            </w:r>
          </w:p>
        </w:tc>
        <w:tc>
          <w:tcPr>
            <w:tcW w:w="1361" w:type="dxa"/>
            <w:vAlign w:val="center"/>
          </w:tcPr>
          <w:p w14:paraId="571D25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推演渲染帧率</w:t>
            </w:r>
          </w:p>
        </w:tc>
        <w:tc>
          <w:tcPr>
            <w:tcW w:w="2041" w:type="dxa"/>
            <w:vAlign w:val="center"/>
          </w:tcPr>
          <w:p w14:paraId="6AC67A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三维孪生渲染</w:t>
            </w:r>
          </w:p>
        </w:tc>
        <w:tc>
          <w:tcPr>
            <w:tcW w:w="1701" w:type="dxa"/>
            <w:vAlign w:val="center"/>
          </w:tcPr>
          <w:p w14:paraId="561814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60fps 4K</w:t>
            </w:r>
          </w:p>
        </w:tc>
        <w:tc>
          <w:tcPr>
            <w:tcW w:w="2494" w:type="dxa"/>
            <w:vAlign w:val="center"/>
          </w:tcPr>
          <w:p w14:paraId="045795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渲染帧率稳定60fps</w:t>
            </w:r>
          </w:p>
        </w:tc>
        <w:tc>
          <w:tcPr>
            <w:tcW w:w="737" w:type="dxa"/>
            <w:vAlign w:val="center"/>
          </w:tcPr>
          <w:p w14:paraId="409570A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2ABFD9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0A082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B6F0E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PRF-08</w:t>
            </w:r>
          </w:p>
        </w:tc>
        <w:tc>
          <w:tcPr>
            <w:tcW w:w="1361" w:type="dxa"/>
            <w:vAlign w:val="center"/>
          </w:tcPr>
          <w:p w14:paraId="2C710D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态势同步延迟</w:t>
            </w:r>
          </w:p>
        </w:tc>
        <w:tc>
          <w:tcPr>
            <w:tcW w:w="2041" w:type="dxa"/>
            <w:vAlign w:val="center"/>
          </w:tcPr>
          <w:p w14:paraId="31C453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现场与孪生大屏</w:t>
            </w:r>
          </w:p>
        </w:tc>
        <w:tc>
          <w:tcPr>
            <w:tcW w:w="1701" w:type="dxa"/>
            <w:vAlign w:val="center"/>
          </w:tcPr>
          <w:p w14:paraId="53E6A3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＜20ms</w:t>
            </w:r>
          </w:p>
        </w:tc>
        <w:tc>
          <w:tcPr>
            <w:tcW w:w="2494" w:type="dxa"/>
            <w:vAlign w:val="center"/>
          </w:tcPr>
          <w:p w14:paraId="4387F2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态势同步延迟小于20ms</w:t>
            </w:r>
          </w:p>
        </w:tc>
        <w:tc>
          <w:tcPr>
            <w:tcW w:w="737" w:type="dxa"/>
            <w:vAlign w:val="center"/>
          </w:tcPr>
          <w:p w14:paraId="77FBF1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155505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  <w:tr w14:paraId="6FCE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5150C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PRF-09</w:t>
            </w:r>
          </w:p>
        </w:tc>
        <w:tc>
          <w:tcPr>
            <w:tcW w:w="1361" w:type="dxa"/>
            <w:vAlign w:val="center"/>
          </w:tcPr>
          <w:p w14:paraId="562C77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火势推演预测</w:t>
            </w:r>
          </w:p>
        </w:tc>
        <w:tc>
          <w:tcPr>
            <w:tcW w:w="2041" w:type="dxa"/>
            <w:vAlign w:val="center"/>
          </w:tcPr>
          <w:p w14:paraId="47AD3B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未来火势预判</w:t>
            </w:r>
          </w:p>
        </w:tc>
        <w:tc>
          <w:tcPr>
            <w:tcW w:w="1701" w:type="dxa"/>
            <w:vAlign w:val="center"/>
          </w:tcPr>
          <w:p w14:paraId="4C85D7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30min</w:t>
            </w:r>
          </w:p>
        </w:tc>
        <w:tc>
          <w:tcPr>
            <w:tcW w:w="2494" w:type="dxa"/>
            <w:vAlign w:val="center"/>
          </w:tcPr>
          <w:p w14:paraId="704FB6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支持未来30分钟火势趋势预判</w:t>
            </w:r>
          </w:p>
        </w:tc>
        <w:tc>
          <w:tcPr>
            <w:tcW w:w="737" w:type="dxa"/>
            <w:vAlign w:val="center"/>
          </w:tcPr>
          <w:p w14:paraId="0CE107B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1235ED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</w:tr>
    </w:tbl>
    <w:p w14:paraId="6D8239CA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表10 性能测试用例</w:t>
      </w:r>
    </w:p>
    <w:p w14:paraId="795EE910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7 安全测试用例设计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D6B8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3C2BB0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847323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B99164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05012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69C1247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4D23CB6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6959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3BD8B8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SEC-01</w:t>
            </w:r>
          </w:p>
        </w:tc>
        <w:tc>
          <w:tcPr>
            <w:tcW w:w="1474" w:type="dxa"/>
            <w:vAlign w:val="center"/>
          </w:tcPr>
          <w:p w14:paraId="229E95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指令劫持</w:t>
            </w:r>
          </w:p>
        </w:tc>
        <w:tc>
          <w:tcPr>
            <w:tcW w:w="2608" w:type="dxa"/>
            <w:vAlign w:val="center"/>
          </w:tcPr>
          <w:p w14:paraId="0E8BBB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截获并重放无人机控制指令</w:t>
            </w:r>
          </w:p>
        </w:tc>
        <w:tc>
          <w:tcPr>
            <w:tcW w:w="3402" w:type="dxa"/>
            <w:vAlign w:val="center"/>
          </w:tcPr>
          <w:p w14:paraId="15C1F2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一次性加密、时序校验、防重放生效，异常指令被拒绝</w:t>
            </w:r>
          </w:p>
        </w:tc>
        <w:tc>
          <w:tcPr>
            <w:tcW w:w="737" w:type="dxa"/>
            <w:vAlign w:val="center"/>
          </w:tcPr>
          <w:p w14:paraId="6FB191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631FD8E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</w:tr>
      <w:tr w14:paraId="5B89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3824E8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SEC-02</w:t>
            </w:r>
          </w:p>
        </w:tc>
        <w:tc>
          <w:tcPr>
            <w:tcW w:w="1474" w:type="dxa"/>
            <w:vAlign w:val="center"/>
          </w:tcPr>
          <w:p w14:paraId="14CB145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数据篡改</w:t>
            </w:r>
          </w:p>
        </w:tc>
        <w:tc>
          <w:tcPr>
            <w:tcW w:w="2608" w:type="dxa"/>
            <w:vAlign w:val="center"/>
          </w:tcPr>
          <w:p w14:paraId="32F588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篡改火情数据与调度指令</w:t>
            </w:r>
          </w:p>
        </w:tc>
        <w:tc>
          <w:tcPr>
            <w:tcW w:w="3402" w:type="dxa"/>
            <w:vAlign w:val="center"/>
          </w:tcPr>
          <w:p w14:paraId="68B39C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关键指令二次校验，异常指令拒绝执行</w:t>
            </w:r>
          </w:p>
        </w:tc>
        <w:tc>
          <w:tcPr>
            <w:tcW w:w="737" w:type="dxa"/>
            <w:vAlign w:val="center"/>
          </w:tcPr>
          <w:p w14:paraId="7F93671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96BD14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</w:tr>
      <w:tr w14:paraId="3208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602AD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SEC-03</w:t>
            </w:r>
          </w:p>
        </w:tc>
        <w:tc>
          <w:tcPr>
            <w:tcW w:w="1474" w:type="dxa"/>
            <w:vAlign w:val="center"/>
          </w:tcPr>
          <w:p w14:paraId="085D4B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越权访问</w:t>
            </w:r>
          </w:p>
        </w:tc>
        <w:tc>
          <w:tcPr>
            <w:tcW w:w="2608" w:type="dxa"/>
            <w:vAlign w:val="center"/>
          </w:tcPr>
          <w:p w14:paraId="4216CB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未授权账号访问管理接口</w:t>
            </w:r>
          </w:p>
        </w:tc>
        <w:tc>
          <w:tcPr>
            <w:tcW w:w="3402" w:type="dxa"/>
            <w:vAlign w:val="center"/>
          </w:tcPr>
          <w:p w14:paraId="53B6C4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访问权限最小化，未授权访问被拒绝</w:t>
            </w:r>
          </w:p>
        </w:tc>
        <w:tc>
          <w:tcPr>
            <w:tcW w:w="737" w:type="dxa"/>
            <w:vAlign w:val="center"/>
          </w:tcPr>
          <w:p w14:paraId="138B370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67729D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</w:tr>
      <w:tr w14:paraId="55AB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11D21B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SEC-04</w:t>
            </w:r>
          </w:p>
        </w:tc>
        <w:tc>
          <w:tcPr>
            <w:tcW w:w="1474" w:type="dxa"/>
            <w:vAlign w:val="center"/>
          </w:tcPr>
          <w:p w14:paraId="7EDAB0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非法接入</w:t>
            </w:r>
          </w:p>
        </w:tc>
        <w:tc>
          <w:tcPr>
            <w:tcW w:w="2608" w:type="dxa"/>
            <w:vAlign w:val="center"/>
          </w:tcPr>
          <w:p w14:paraId="43B28F6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伪造设备身份接入</w:t>
            </w:r>
          </w:p>
        </w:tc>
        <w:tc>
          <w:tcPr>
            <w:tcW w:w="3402" w:type="dxa"/>
            <w:vAlign w:val="center"/>
          </w:tcPr>
          <w:p w14:paraId="5DD1FA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设备身份认证+加密通信，非法接入被拒绝</w:t>
            </w:r>
          </w:p>
        </w:tc>
        <w:tc>
          <w:tcPr>
            <w:tcW w:w="737" w:type="dxa"/>
            <w:vAlign w:val="center"/>
          </w:tcPr>
          <w:p w14:paraId="0278173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B0F51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</w:tr>
      <w:tr w14:paraId="002A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B22FE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SEC-05</w:t>
            </w:r>
          </w:p>
        </w:tc>
        <w:tc>
          <w:tcPr>
            <w:tcW w:w="1474" w:type="dxa"/>
            <w:vAlign w:val="center"/>
          </w:tcPr>
          <w:p w14:paraId="03AFF5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数据泄露</w:t>
            </w:r>
          </w:p>
        </w:tc>
        <w:tc>
          <w:tcPr>
            <w:tcW w:w="2608" w:type="dxa"/>
            <w:vAlign w:val="center"/>
          </w:tcPr>
          <w:p w14:paraId="797C23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访问敏感地理与火情数据</w:t>
            </w:r>
          </w:p>
        </w:tc>
        <w:tc>
          <w:tcPr>
            <w:tcW w:w="3402" w:type="dxa"/>
            <w:vAlign w:val="center"/>
          </w:tcPr>
          <w:p w14:paraId="0695F2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敏感字段脱敏，访问留痕可审计</w:t>
            </w:r>
          </w:p>
        </w:tc>
        <w:tc>
          <w:tcPr>
            <w:tcW w:w="737" w:type="dxa"/>
            <w:vAlign w:val="center"/>
          </w:tcPr>
          <w:p w14:paraId="7153CE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4EB252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</w:tr>
      <w:tr w14:paraId="4D68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190EBA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SEC-06</w:t>
            </w:r>
          </w:p>
        </w:tc>
        <w:tc>
          <w:tcPr>
            <w:tcW w:w="1474" w:type="dxa"/>
            <w:vAlign w:val="center"/>
          </w:tcPr>
          <w:p w14:paraId="2406BA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指令白名单</w:t>
            </w:r>
          </w:p>
        </w:tc>
        <w:tc>
          <w:tcPr>
            <w:tcW w:w="2608" w:type="dxa"/>
            <w:vAlign w:val="center"/>
          </w:tcPr>
          <w:p w14:paraId="47358B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发送白名单外指令</w:t>
            </w:r>
          </w:p>
        </w:tc>
        <w:tc>
          <w:tcPr>
            <w:tcW w:w="3402" w:type="dxa"/>
            <w:vAlign w:val="center"/>
          </w:tcPr>
          <w:p w14:paraId="5898A2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无人机仅接受授权指令，异常指令被忽略</w:t>
            </w:r>
          </w:p>
        </w:tc>
        <w:tc>
          <w:tcPr>
            <w:tcW w:w="737" w:type="dxa"/>
            <w:vAlign w:val="center"/>
          </w:tcPr>
          <w:p w14:paraId="2372740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2708178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</w:tr>
    </w:tbl>
    <w:p w14:paraId="2FDD4CD2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表11 安全测试用例</w:t>
      </w:r>
    </w:p>
    <w:p w14:paraId="517009B1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8 兼容性与稳定性测试用例设计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029C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5058C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1194B0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11E10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182DB69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343FE9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091673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</w:tr>
      <w:tr w14:paraId="7F16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B380B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CST-01</w:t>
            </w:r>
          </w:p>
        </w:tc>
        <w:tc>
          <w:tcPr>
            <w:tcW w:w="1474" w:type="dxa"/>
            <w:vAlign w:val="center"/>
          </w:tcPr>
          <w:p w14:paraId="0052F1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浏览器兼容</w:t>
            </w:r>
          </w:p>
        </w:tc>
        <w:tc>
          <w:tcPr>
            <w:tcW w:w="2608" w:type="dxa"/>
            <w:vAlign w:val="center"/>
          </w:tcPr>
          <w:p w14:paraId="6F4D6B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Chrome/Edge/Firefox打开平台</w:t>
            </w:r>
          </w:p>
        </w:tc>
        <w:tc>
          <w:tcPr>
            <w:tcW w:w="3402" w:type="dxa"/>
            <w:vAlign w:val="center"/>
          </w:tcPr>
          <w:p w14:paraId="5C208D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三维地图、图表、覆盖层正常渲染与交互</w:t>
            </w:r>
          </w:p>
        </w:tc>
        <w:tc>
          <w:tcPr>
            <w:tcW w:w="737" w:type="dxa"/>
            <w:vAlign w:val="center"/>
          </w:tcPr>
          <w:p w14:paraId="7EFCB6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59EC3E7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</w:t>
            </w:r>
          </w:p>
        </w:tc>
      </w:tr>
      <w:tr w14:paraId="5C15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96148C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CST-02</w:t>
            </w:r>
          </w:p>
        </w:tc>
        <w:tc>
          <w:tcPr>
            <w:tcW w:w="1474" w:type="dxa"/>
            <w:vAlign w:val="center"/>
          </w:tcPr>
          <w:p w14:paraId="425EEE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分辨率适配</w:t>
            </w:r>
          </w:p>
        </w:tc>
        <w:tc>
          <w:tcPr>
            <w:tcW w:w="2608" w:type="dxa"/>
            <w:vAlign w:val="center"/>
          </w:tcPr>
          <w:p w14:paraId="0428CE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不同分辨率与4K大屏</w:t>
            </w:r>
          </w:p>
        </w:tc>
        <w:tc>
          <w:tcPr>
            <w:tcW w:w="3402" w:type="dxa"/>
            <w:vAlign w:val="center"/>
          </w:tcPr>
          <w:p w14:paraId="0C7B10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界面布局正常，无错位与元素溢出</w:t>
            </w:r>
          </w:p>
        </w:tc>
        <w:tc>
          <w:tcPr>
            <w:tcW w:w="737" w:type="dxa"/>
            <w:vAlign w:val="center"/>
          </w:tcPr>
          <w:p w14:paraId="1D793BE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3AB322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</w:t>
            </w:r>
          </w:p>
        </w:tc>
      </w:tr>
      <w:tr w14:paraId="02AAF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C9806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CST-03</w:t>
            </w:r>
          </w:p>
        </w:tc>
        <w:tc>
          <w:tcPr>
            <w:tcW w:w="1474" w:type="dxa"/>
            <w:vAlign w:val="center"/>
          </w:tcPr>
          <w:p w14:paraId="3C3B2E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WebGL支持</w:t>
            </w:r>
          </w:p>
        </w:tc>
        <w:tc>
          <w:tcPr>
            <w:tcW w:w="2608" w:type="dxa"/>
            <w:vAlign w:val="center"/>
          </w:tcPr>
          <w:p w14:paraId="05D72B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关闭/降级WebGL环境</w:t>
            </w:r>
          </w:p>
        </w:tc>
        <w:tc>
          <w:tcPr>
            <w:tcW w:w="3402" w:type="dxa"/>
            <w:vAlign w:val="center"/>
          </w:tcPr>
          <w:p w14:paraId="40F5FC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地图渲染有降级或明确提示，不影响核心功能</w:t>
            </w:r>
          </w:p>
        </w:tc>
        <w:tc>
          <w:tcPr>
            <w:tcW w:w="737" w:type="dxa"/>
            <w:vAlign w:val="center"/>
          </w:tcPr>
          <w:p w14:paraId="412E87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907" w:type="dxa"/>
            <w:vAlign w:val="center"/>
          </w:tcPr>
          <w:p w14:paraId="2619D2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</w:t>
            </w:r>
          </w:p>
        </w:tc>
      </w:tr>
      <w:tr w14:paraId="0650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D2E8FD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CST-04</w:t>
            </w:r>
          </w:p>
        </w:tc>
        <w:tc>
          <w:tcPr>
            <w:tcW w:w="1474" w:type="dxa"/>
            <w:vAlign w:val="center"/>
          </w:tcPr>
          <w:p w14:paraId="072CD4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长时间运行</w:t>
            </w:r>
          </w:p>
        </w:tc>
        <w:tc>
          <w:tcPr>
            <w:tcW w:w="2608" w:type="dxa"/>
            <w:vAlign w:val="center"/>
          </w:tcPr>
          <w:p w14:paraId="308145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7×24小时连续运行</w:t>
            </w:r>
          </w:p>
        </w:tc>
        <w:tc>
          <w:tcPr>
            <w:tcW w:w="3402" w:type="dxa"/>
            <w:vAlign w:val="center"/>
          </w:tcPr>
          <w:p w14:paraId="62287B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系统无故障稳定运行，无内存溢出</w:t>
            </w:r>
          </w:p>
        </w:tc>
        <w:tc>
          <w:tcPr>
            <w:tcW w:w="737" w:type="dxa"/>
            <w:vAlign w:val="center"/>
          </w:tcPr>
          <w:p w14:paraId="1CD7937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09AEE7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稳定性</w:t>
            </w:r>
          </w:p>
        </w:tc>
      </w:tr>
      <w:tr w14:paraId="2EE8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0F1D1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CST-05</w:t>
            </w:r>
          </w:p>
        </w:tc>
        <w:tc>
          <w:tcPr>
            <w:tcW w:w="1474" w:type="dxa"/>
            <w:vAlign w:val="center"/>
          </w:tcPr>
          <w:p w14:paraId="1DBA1CE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异常断电恢复</w:t>
            </w:r>
          </w:p>
        </w:tc>
        <w:tc>
          <w:tcPr>
            <w:tcW w:w="2608" w:type="dxa"/>
            <w:vAlign w:val="center"/>
          </w:tcPr>
          <w:p w14:paraId="39E932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模拟断电后重启</w:t>
            </w:r>
          </w:p>
        </w:tc>
        <w:tc>
          <w:tcPr>
            <w:tcW w:w="3402" w:type="dxa"/>
            <w:vAlign w:val="center"/>
          </w:tcPr>
          <w:p w14:paraId="7F53D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协程任务优雅恢复，资源释放，数据不损坏</w:t>
            </w:r>
          </w:p>
        </w:tc>
        <w:tc>
          <w:tcPr>
            <w:tcW w:w="737" w:type="dxa"/>
            <w:vAlign w:val="center"/>
          </w:tcPr>
          <w:p w14:paraId="66F5E80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48698EA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稳定性</w:t>
            </w:r>
          </w:p>
        </w:tc>
      </w:tr>
      <w:tr w14:paraId="5971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DF7EA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CST-06</w:t>
            </w:r>
          </w:p>
        </w:tc>
        <w:tc>
          <w:tcPr>
            <w:tcW w:w="1474" w:type="dxa"/>
            <w:vAlign w:val="center"/>
          </w:tcPr>
          <w:p w14:paraId="4EF6A5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算力拥塞</w:t>
            </w:r>
          </w:p>
        </w:tc>
        <w:tc>
          <w:tcPr>
            <w:tcW w:w="2608" w:type="dxa"/>
            <w:vAlign w:val="center"/>
          </w:tcPr>
          <w:p w14:paraId="18A607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模拟高并发算力拥塞</w:t>
            </w:r>
          </w:p>
        </w:tc>
        <w:tc>
          <w:tcPr>
            <w:tcW w:w="3402" w:type="dxa"/>
            <w:vAlign w:val="center"/>
          </w:tcPr>
          <w:p w14:paraId="32B032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非核心业务限流，核心感知与调度功能正常</w:t>
            </w:r>
          </w:p>
        </w:tc>
        <w:tc>
          <w:tcPr>
            <w:tcW w:w="737" w:type="dxa"/>
            <w:vAlign w:val="center"/>
          </w:tcPr>
          <w:p w14:paraId="37582C7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3A6863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稳定性</w:t>
            </w:r>
          </w:p>
        </w:tc>
      </w:tr>
    </w:tbl>
    <w:p w14:paraId="0DF0A502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表12 兼容性与稳定性测试用例</w:t>
      </w:r>
    </w:p>
    <w:p w14:paraId="1E096DA5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9 测试执行进度与资源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89C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7EF71D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5C799C4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测试内容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5D081C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投入人力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F8772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预计周期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30173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产出物</w:t>
            </w:r>
          </w:p>
        </w:tc>
      </w:tr>
      <w:tr w14:paraId="59C69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607BF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测试准备</w:t>
            </w:r>
          </w:p>
        </w:tc>
        <w:tc>
          <w:tcPr>
            <w:tcW w:w="2948" w:type="dxa"/>
            <w:vAlign w:val="center"/>
          </w:tcPr>
          <w:p w14:paraId="576676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测试方案、用例评审、环境搭建</w:t>
            </w:r>
          </w:p>
        </w:tc>
        <w:tc>
          <w:tcPr>
            <w:tcW w:w="1474" w:type="dxa"/>
            <w:vAlign w:val="center"/>
          </w:tcPr>
          <w:p w14:paraId="69B4191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测试工程师2人</w:t>
            </w:r>
          </w:p>
        </w:tc>
        <w:tc>
          <w:tcPr>
            <w:tcW w:w="1474" w:type="dxa"/>
            <w:vAlign w:val="center"/>
          </w:tcPr>
          <w:p w14:paraId="40F2EF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1周</w:t>
            </w:r>
          </w:p>
        </w:tc>
        <w:tc>
          <w:tcPr>
            <w:tcW w:w="1474" w:type="dxa"/>
            <w:vAlign w:val="center"/>
          </w:tcPr>
          <w:p w14:paraId="537F01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测试方案、用例</w:t>
            </w:r>
          </w:p>
        </w:tc>
      </w:tr>
      <w:tr w14:paraId="2E51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CCDE41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功能测试</w:t>
            </w:r>
          </w:p>
        </w:tc>
        <w:tc>
          <w:tcPr>
            <w:tcW w:w="2948" w:type="dxa"/>
            <w:vAlign w:val="center"/>
          </w:tcPr>
          <w:p w14:paraId="07D022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六大功能模块黑盒与边界测试</w:t>
            </w:r>
          </w:p>
        </w:tc>
        <w:tc>
          <w:tcPr>
            <w:tcW w:w="1474" w:type="dxa"/>
            <w:vAlign w:val="center"/>
          </w:tcPr>
          <w:p w14:paraId="04A152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测试工程师2人</w:t>
            </w:r>
          </w:p>
        </w:tc>
        <w:tc>
          <w:tcPr>
            <w:tcW w:w="1474" w:type="dxa"/>
            <w:vAlign w:val="center"/>
          </w:tcPr>
          <w:p w14:paraId="06CEBF0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2周</w:t>
            </w:r>
          </w:p>
        </w:tc>
        <w:tc>
          <w:tcPr>
            <w:tcW w:w="1474" w:type="dxa"/>
            <w:vAlign w:val="center"/>
          </w:tcPr>
          <w:p w14:paraId="50F66F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功能测试记录</w:t>
            </w:r>
          </w:p>
        </w:tc>
      </w:tr>
      <w:tr w14:paraId="5060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B043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接口与性能测试</w:t>
            </w:r>
          </w:p>
        </w:tc>
        <w:tc>
          <w:tcPr>
            <w:tcW w:w="2948" w:type="dxa"/>
            <w:vAlign w:val="center"/>
          </w:tcPr>
          <w:p w14:paraId="6F1B19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API接口、并发与性能压测</w:t>
            </w:r>
          </w:p>
        </w:tc>
        <w:tc>
          <w:tcPr>
            <w:tcW w:w="1474" w:type="dxa"/>
            <w:vAlign w:val="center"/>
          </w:tcPr>
          <w:p w14:paraId="5DB440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测试+开发2人</w:t>
            </w:r>
          </w:p>
        </w:tc>
        <w:tc>
          <w:tcPr>
            <w:tcW w:w="1474" w:type="dxa"/>
            <w:vAlign w:val="center"/>
          </w:tcPr>
          <w:p w14:paraId="7AEB63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1周</w:t>
            </w:r>
          </w:p>
        </w:tc>
        <w:tc>
          <w:tcPr>
            <w:tcW w:w="1474" w:type="dxa"/>
            <w:vAlign w:val="center"/>
          </w:tcPr>
          <w:p w14:paraId="5AEE4C3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接口/性能报告</w:t>
            </w:r>
          </w:p>
        </w:tc>
      </w:tr>
      <w:tr w14:paraId="0641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4A9B5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稳定性与安全测试</w:t>
            </w:r>
          </w:p>
        </w:tc>
        <w:tc>
          <w:tcPr>
            <w:tcW w:w="2948" w:type="dxa"/>
            <w:vAlign w:val="center"/>
          </w:tcPr>
          <w:p w14:paraId="0977A0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7×24稳定性、安全专项</w:t>
            </w:r>
          </w:p>
        </w:tc>
        <w:tc>
          <w:tcPr>
            <w:tcW w:w="1474" w:type="dxa"/>
            <w:vAlign w:val="center"/>
          </w:tcPr>
          <w:p w14:paraId="64C98B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测试工程师2人</w:t>
            </w:r>
          </w:p>
        </w:tc>
        <w:tc>
          <w:tcPr>
            <w:tcW w:w="1474" w:type="dxa"/>
            <w:vAlign w:val="center"/>
          </w:tcPr>
          <w:p w14:paraId="09E61FC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1周</w:t>
            </w:r>
          </w:p>
        </w:tc>
        <w:tc>
          <w:tcPr>
            <w:tcW w:w="1474" w:type="dxa"/>
            <w:vAlign w:val="center"/>
          </w:tcPr>
          <w:p w14:paraId="503F08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稳定性/安全报告</w:t>
            </w:r>
          </w:p>
        </w:tc>
      </w:tr>
      <w:tr w14:paraId="129E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08C0E2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回归与验收</w:t>
            </w:r>
          </w:p>
        </w:tc>
        <w:tc>
          <w:tcPr>
            <w:tcW w:w="2948" w:type="dxa"/>
            <w:vAlign w:val="center"/>
          </w:tcPr>
          <w:p w14:paraId="12146A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缺陷修复回归、全流程验收</w:t>
            </w:r>
          </w:p>
        </w:tc>
        <w:tc>
          <w:tcPr>
            <w:tcW w:w="1474" w:type="dxa"/>
            <w:vAlign w:val="center"/>
          </w:tcPr>
          <w:p w14:paraId="6456A2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测试+开发</w:t>
            </w:r>
          </w:p>
        </w:tc>
        <w:tc>
          <w:tcPr>
            <w:tcW w:w="1474" w:type="dxa"/>
            <w:vAlign w:val="center"/>
          </w:tcPr>
          <w:p w14:paraId="6D50764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1周</w:t>
            </w:r>
          </w:p>
        </w:tc>
        <w:tc>
          <w:tcPr>
            <w:tcW w:w="1474" w:type="dxa"/>
            <w:vAlign w:val="center"/>
          </w:tcPr>
          <w:p w14:paraId="6B26D5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测试总结报告</w:t>
            </w:r>
          </w:p>
        </w:tc>
      </w:tr>
    </w:tbl>
    <w:p w14:paraId="245EABC2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表13 测试执行进度计划</w:t>
      </w:r>
    </w:p>
    <w:p w14:paraId="3222E11E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10 缺陷管理</w:t>
      </w:r>
    </w:p>
    <w:p w14:paraId="71D6AD8E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 缺陷等级划分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651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5E995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缺陷等级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67442B3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7824FD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处理时限</w:t>
            </w:r>
          </w:p>
        </w:tc>
      </w:tr>
      <w:tr w14:paraId="328F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6BF5D0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致命（S1）</w:t>
            </w:r>
          </w:p>
        </w:tc>
        <w:tc>
          <w:tcPr>
            <w:tcW w:w="4762" w:type="dxa"/>
            <w:vAlign w:val="center"/>
          </w:tcPr>
          <w:p w14:paraId="6B4EBF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系统崩溃、核心功能不可用、数据丢失、危及安全</w:t>
            </w:r>
          </w:p>
        </w:tc>
        <w:tc>
          <w:tcPr>
            <w:tcW w:w="2608" w:type="dxa"/>
            <w:vAlign w:val="center"/>
          </w:tcPr>
          <w:p w14:paraId="7C3D43A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立即修复</w:t>
            </w:r>
          </w:p>
        </w:tc>
      </w:tr>
      <w:tr w14:paraId="018B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2F670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严重（S2）</w:t>
            </w:r>
          </w:p>
        </w:tc>
        <w:tc>
          <w:tcPr>
            <w:tcW w:w="4762" w:type="dxa"/>
            <w:vAlign w:val="center"/>
          </w:tcPr>
          <w:p w14:paraId="123E95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主要功能异常、关键指标不达标、有严重安全隐患</w:t>
            </w:r>
          </w:p>
        </w:tc>
        <w:tc>
          <w:tcPr>
            <w:tcW w:w="2608" w:type="dxa"/>
            <w:vAlign w:val="center"/>
          </w:tcPr>
          <w:p w14:paraId="3B5F1BF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当日修复</w:t>
            </w:r>
          </w:p>
        </w:tc>
      </w:tr>
      <w:tr w14:paraId="3656C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07ED75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一般（S3）</w:t>
            </w:r>
          </w:p>
        </w:tc>
        <w:tc>
          <w:tcPr>
            <w:tcW w:w="4762" w:type="dxa"/>
            <w:vAlign w:val="center"/>
          </w:tcPr>
          <w:p w14:paraId="7849EC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次要功能异常、界面问题、不影响主流程</w:t>
            </w:r>
          </w:p>
        </w:tc>
        <w:tc>
          <w:tcPr>
            <w:tcW w:w="2608" w:type="dxa"/>
            <w:vAlign w:val="center"/>
          </w:tcPr>
          <w:p w14:paraId="204E62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3日内修复</w:t>
            </w:r>
          </w:p>
        </w:tc>
      </w:tr>
      <w:tr w14:paraId="1F2F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068FB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轻微（S4）</w:t>
            </w:r>
          </w:p>
        </w:tc>
        <w:tc>
          <w:tcPr>
            <w:tcW w:w="4762" w:type="dxa"/>
            <w:vAlign w:val="center"/>
          </w:tcPr>
          <w:p w14:paraId="7C1FA8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提示文案、排版等轻微问题</w:t>
            </w:r>
          </w:p>
        </w:tc>
        <w:tc>
          <w:tcPr>
            <w:tcW w:w="2608" w:type="dxa"/>
            <w:vAlign w:val="center"/>
          </w:tcPr>
          <w:p w14:paraId="4BB55E4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版本内修复</w:t>
            </w:r>
          </w:p>
        </w:tc>
      </w:tr>
    </w:tbl>
    <w:p w14:paraId="67C4B1D1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表14 缺陷等级划分</w:t>
      </w:r>
    </w:p>
    <w:p w14:paraId="21FB5AED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10.2 缺陷管理流程</w:t>
      </w:r>
    </w:p>
    <w:p w14:paraId="335246A1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缺陷管理采用“提交—分派—修复—回归—关闭”闭环流程：测试人员登记缺陷并附复现步骤与日志，开发人员定位修复后提交，测试人员验证回归，确认通过后关闭。缺陷状态、等级、处理人及处理时限全程记录，按等级统计缺陷密度与修复率，作为评估系统质量与交付进度的依据。</w:t>
      </w:r>
    </w:p>
    <w:p w14:paraId="75D648B9">
      <w:pPr>
        <w:pStyle w:val="3"/>
        <w:keepNext/>
        <w:spacing w:before="280" w:after="120" w:line="440" w:lineRule="exact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11 测试结论与建议</w:t>
      </w:r>
    </w:p>
    <w:p w14:paraId="619796B5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 测试结论</w:t>
      </w:r>
    </w:p>
    <w:p w14:paraId="23D03206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测试文档依据平台设计方案，对系统功能、接口、性能、稳定性、安全及兼容性进行了系统的用例设计与测试规划。经全流程闭环测试验证，平台在感知—推演—决策—调度—可视化全链路具备良好的功能正确性，关键性能指标（火源定位精度、识别准确率、端到端时延、并发接入能力等）满足设计要求，系统具备长期稳定运行与异常恢复能力，安全机制可有效防范指令劫持、数据篡改与越权访问等风险。</w:t>
      </w:r>
    </w:p>
    <w:p w14:paraId="795AB895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 风险评估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442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1BCDB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风险类别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36E40A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风险描述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323DE3E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等级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36B757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 w14:paraId="0211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5B7480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技术风险</w:t>
            </w:r>
          </w:p>
        </w:tc>
        <w:tc>
          <w:tcPr>
            <w:tcW w:w="3175" w:type="dxa"/>
            <w:vAlign w:val="center"/>
          </w:tcPr>
          <w:p w14:paraId="102328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森林多径干扰导致感知误差、虚警率升高</w:t>
            </w:r>
          </w:p>
        </w:tc>
        <w:tc>
          <w:tcPr>
            <w:tcW w:w="907" w:type="dxa"/>
            <w:vAlign w:val="center"/>
          </w:tcPr>
          <w:p w14:paraId="080FB0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中/高</w:t>
            </w:r>
          </w:p>
        </w:tc>
        <w:tc>
          <w:tcPr>
            <w:tcW w:w="3288" w:type="dxa"/>
            <w:vAlign w:val="center"/>
          </w:tcPr>
          <w:p w14:paraId="733119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CFAR抑制噪声、多源交叉校验、动态调参</w:t>
            </w:r>
          </w:p>
        </w:tc>
      </w:tr>
      <w:tr w14:paraId="5F326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8CB03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网络风险</w:t>
            </w:r>
          </w:p>
        </w:tc>
        <w:tc>
          <w:tcPr>
            <w:tcW w:w="3175" w:type="dxa"/>
            <w:vAlign w:val="center"/>
          </w:tcPr>
          <w:p w14:paraId="64DA6A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山林地形遮挡导致URLLC通信中断</w:t>
            </w:r>
          </w:p>
        </w:tc>
        <w:tc>
          <w:tcPr>
            <w:tcW w:w="907" w:type="dxa"/>
            <w:vAlign w:val="center"/>
          </w:tcPr>
          <w:p w14:paraId="201A16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3288" w:type="dxa"/>
            <w:vAlign w:val="center"/>
          </w:tcPr>
          <w:p w14:paraId="489B91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宏微基站+中继覆盖、UPF分流、卫星备份</w:t>
            </w:r>
          </w:p>
        </w:tc>
      </w:tr>
      <w:tr w14:paraId="5756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1B85D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算力风险</w:t>
            </w:r>
          </w:p>
        </w:tc>
        <w:tc>
          <w:tcPr>
            <w:tcW w:w="3175" w:type="dxa"/>
            <w:vAlign w:val="center"/>
          </w:tcPr>
          <w:p w14:paraId="49E52E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高并发导致MEC算力拥塞、时延上升</w:t>
            </w:r>
          </w:p>
        </w:tc>
        <w:tc>
          <w:tcPr>
            <w:tcW w:w="907" w:type="dxa"/>
            <w:vAlign w:val="center"/>
          </w:tcPr>
          <w:p w14:paraId="569E74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3288" w:type="dxa"/>
            <w:vAlign w:val="center"/>
          </w:tcPr>
          <w:p w14:paraId="22BB369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算力动态卸载、集群弹性扩展、非核心限流</w:t>
            </w:r>
          </w:p>
        </w:tc>
      </w:tr>
      <w:tr w14:paraId="2F1B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7F4A3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安全风险</w:t>
            </w:r>
          </w:p>
        </w:tc>
        <w:tc>
          <w:tcPr>
            <w:tcW w:w="3175" w:type="dxa"/>
            <w:vAlign w:val="center"/>
          </w:tcPr>
          <w:p w14:paraId="60AC37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指令劫持、数据篡改、网络入侵</w:t>
            </w:r>
          </w:p>
        </w:tc>
        <w:tc>
          <w:tcPr>
            <w:tcW w:w="907" w:type="dxa"/>
            <w:vAlign w:val="center"/>
          </w:tcPr>
          <w:p w14:paraId="0E7384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3288" w:type="dxa"/>
            <w:vAlign w:val="center"/>
          </w:tcPr>
          <w:p w14:paraId="716BB8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加密签名、指令校验、防火墙与身份认证</w:t>
            </w:r>
          </w:p>
        </w:tc>
      </w:tr>
    </w:tbl>
    <w:p w14:paraId="51E0177B">
      <w:pPr>
        <w:spacing w:before="80" w:after="120" w:line="30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表15 主要风险与应对措施</w:t>
      </w:r>
    </w:p>
    <w:p w14:paraId="2AC7871C">
      <w:pPr>
        <w:pStyle w:val="4"/>
        <w:keepNext/>
        <w:spacing w:before="220" w:after="100" w:line="400" w:lineRule="exact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 遗留问题与建议</w:t>
      </w:r>
    </w:p>
    <w:p w14:paraId="6D44CD4B">
      <w:pPr>
        <w:spacing w:before="0" w:after="0" w:line="36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建议后续在外场真实林区环境下，进一步开展通感精度与URLLC切片时延的专项测试，并对大规模无人机集群协同调度进行压力验证。同时持续完善自动化测试用例库，将接口与性能回归测试纳入持续集成流程，提升系统迭代质量与效率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5520B0"/>
    <w:rsid w:val="4E89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exact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448" w:lineRule="exact"/>
      <w:jc w:val="left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92" w:lineRule="exact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360" w:line="504" w:lineRule="exact"/>
      <w:contextualSpacing/>
      <w:jc w:val="left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5405</Words>
  <Characters>6531</Characters>
  <Lines>0</Lines>
  <Paragraphs>0</Paragraphs>
  <TotalTime>1</TotalTime>
  <ScaleCrop>false</ScaleCrop>
  <LinksUpToDate>false</LinksUpToDate>
  <CharactersWithSpaces>6603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MITIONOS</cp:lastModifiedBy>
  <dcterms:modified xsi:type="dcterms:W3CDTF">2026-09-29T07:49:31Z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eyJoZGlkIjoiYTlmYjI0YjMxYmZlZDAyODE1YTBmNDlmNTA4YTdiMGEiLCJ1c2VySWQiOiIxNTMyNTAzNzE4In0=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7CCAEBB6CF9440D3B2861D4C6CF36A54_12</vt:lpwstr>
  </property>
</Properties>
</file>