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35662" w14:textId="4ECA6336" w:rsidR="00F24F95" w:rsidRPr="00C66B64" w:rsidRDefault="00F24F95" w:rsidP="00F24F95">
      <w:pPr>
        <w:spacing w:line="480" w:lineRule="auto"/>
        <w:rPr>
          <w:rFonts w:asciiTheme="minorHAnsi" w:hAnsiTheme="minorHAnsi" w:cstheme="minorHAnsi"/>
          <w:sz w:val="22"/>
          <w:szCs w:val="22"/>
        </w:rPr>
      </w:pPr>
    </w:p>
    <w:p w14:paraId="454CE024" w14:textId="313F9088" w:rsidR="00F24F95" w:rsidRPr="00C66B64" w:rsidRDefault="00F24F95" w:rsidP="00F24F95">
      <w:pPr>
        <w:spacing w:line="480" w:lineRule="auto"/>
        <w:rPr>
          <w:rFonts w:asciiTheme="minorHAnsi" w:hAnsiTheme="minorHAnsi" w:cstheme="minorHAnsi"/>
          <w:sz w:val="22"/>
          <w:szCs w:val="22"/>
        </w:rPr>
      </w:pPr>
    </w:p>
    <w:p w14:paraId="6E9887DF" w14:textId="6CA16760" w:rsidR="00F24F95" w:rsidRPr="00C66B64" w:rsidRDefault="00F24F95" w:rsidP="00F24F95">
      <w:pPr>
        <w:spacing w:line="480" w:lineRule="auto"/>
        <w:rPr>
          <w:rFonts w:asciiTheme="minorHAnsi" w:hAnsiTheme="minorHAnsi" w:cstheme="minorHAnsi"/>
          <w:sz w:val="22"/>
          <w:szCs w:val="22"/>
        </w:rPr>
      </w:pPr>
    </w:p>
    <w:p w14:paraId="0707C756" w14:textId="5076F2A7" w:rsidR="00F24F95" w:rsidRPr="00C66B64" w:rsidRDefault="00F24F95" w:rsidP="00F24F95">
      <w:pPr>
        <w:spacing w:line="480" w:lineRule="auto"/>
        <w:rPr>
          <w:rFonts w:asciiTheme="minorHAnsi" w:hAnsiTheme="minorHAnsi" w:cstheme="minorHAnsi"/>
          <w:sz w:val="22"/>
          <w:szCs w:val="22"/>
        </w:rPr>
      </w:pPr>
    </w:p>
    <w:p w14:paraId="7E47C449" w14:textId="77777777" w:rsidR="00F24F95" w:rsidRPr="00C66B64" w:rsidRDefault="00F24F95" w:rsidP="00F24F95">
      <w:pPr>
        <w:spacing w:line="480" w:lineRule="auto"/>
        <w:rPr>
          <w:rFonts w:asciiTheme="minorHAnsi" w:hAnsiTheme="minorHAnsi" w:cstheme="minorHAnsi"/>
          <w:sz w:val="22"/>
          <w:szCs w:val="22"/>
        </w:rPr>
      </w:pPr>
    </w:p>
    <w:p w14:paraId="2425E065" w14:textId="77777777" w:rsidR="00F24F95" w:rsidRPr="00C66B64" w:rsidRDefault="00F24F95" w:rsidP="00F24F95">
      <w:pPr>
        <w:spacing w:line="480" w:lineRule="auto"/>
        <w:rPr>
          <w:rFonts w:asciiTheme="minorHAnsi" w:hAnsiTheme="minorHAnsi" w:cstheme="minorHAnsi"/>
          <w:sz w:val="22"/>
          <w:szCs w:val="22"/>
        </w:rPr>
      </w:pPr>
    </w:p>
    <w:p w14:paraId="60D7B9EC" w14:textId="18B64A24" w:rsidR="00F24F95" w:rsidRDefault="0071422F" w:rsidP="00F24F95">
      <w:pPr>
        <w:spacing w:line="480" w:lineRule="auto"/>
        <w:jc w:val="center"/>
        <w:rPr>
          <w:rFonts w:asciiTheme="minorHAnsi" w:hAnsiTheme="minorHAnsi" w:cstheme="minorHAnsi"/>
          <w:b/>
          <w:bCs/>
          <w:sz w:val="22"/>
          <w:szCs w:val="22"/>
        </w:rPr>
      </w:pPr>
      <w:bookmarkStart w:id="0" w:name="bkMainUserName"/>
      <w:r w:rsidRPr="0071422F">
        <w:rPr>
          <w:rFonts w:asciiTheme="minorHAnsi" w:hAnsiTheme="minorHAnsi" w:cstheme="minorHAnsi"/>
          <w:b/>
          <w:bCs/>
          <w:sz w:val="22"/>
          <w:szCs w:val="22"/>
        </w:rPr>
        <w:t>Week 2-PART 1: Case Projects Ch. 4, 5, and 6</w:t>
      </w:r>
    </w:p>
    <w:p w14:paraId="24470665" w14:textId="77777777" w:rsidR="0071422F" w:rsidRPr="00C66B64" w:rsidRDefault="0071422F" w:rsidP="00F24F95">
      <w:pPr>
        <w:spacing w:line="480" w:lineRule="auto"/>
        <w:jc w:val="center"/>
        <w:rPr>
          <w:rFonts w:asciiTheme="minorHAnsi" w:hAnsiTheme="minorHAnsi" w:cstheme="minorHAnsi"/>
          <w:sz w:val="22"/>
          <w:szCs w:val="22"/>
        </w:rPr>
      </w:pPr>
    </w:p>
    <w:bookmarkEnd w:id="0"/>
    <w:p w14:paraId="0721BC55" w14:textId="4C0B6A04"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Matthew Freeman</w:t>
      </w:r>
    </w:p>
    <w:p w14:paraId="3442BED4" w14:textId="77777777" w:rsidR="00F24F95" w:rsidRPr="00C66B64" w:rsidRDefault="00F24F95" w:rsidP="00F24F95">
      <w:pPr>
        <w:spacing w:line="480" w:lineRule="auto"/>
        <w:jc w:val="center"/>
        <w:rPr>
          <w:rFonts w:asciiTheme="minorHAnsi" w:hAnsiTheme="minorHAnsi" w:cstheme="minorHAnsi"/>
          <w:sz w:val="22"/>
          <w:szCs w:val="22"/>
        </w:rPr>
      </w:pPr>
    </w:p>
    <w:p w14:paraId="7F9F9C76" w14:textId="77777777"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California Institute of Arts and Technology</w:t>
      </w:r>
    </w:p>
    <w:p w14:paraId="294245B7" w14:textId="77777777" w:rsidR="00F24F95" w:rsidRPr="00C66B64" w:rsidRDefault="00F24F95" w:rsidP="00F24F95">
      <w:pPr>
        <w:spacing w:line="480" w:lineRule="auto"/>
        <w:jc w:val="center"/>
        <w:rPr>
          <w:rFonts w:asciiTheme="minorHAnsi" w:hAnsiTheme="minorHAnsi" w:cstheme="minorHAnsi"/>
          <w:sz w:val="22"/>
          <w:szCs w:val="22"/>
        </w:rPr>
      </w:pPr>
    </w:p>
    <w:p w14:paraId="6E795837"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ASD-150</w:t>
      </w:r>
    </w:p>
    <w:p w14:paraId="403A34E9"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Quintin Miller M.S.</w:t>
      </w:r>
    </w:p>
    <w:p w14:paraId="26F88B6A" w14:textId="09764C4D"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 xml:space="preserve">January </w:t>
      </w:r>
      <w:r w:rsidR="0071422F">
        <w:rPr>
          <w:rFonts w:asciiTheme="minorHAnsi" w:hAnsiTheme="minorHAnsi" w:cstheme="minorHAnsi"/>
          <w:sz w:val="22"/>
          <w:szCs w:val="22"/>
        </w:rPr>
        <w:t>18</w:t>
      </w:r>
      <w:r w:rsidRPr="00C66B64">
        <w:rPr>
          <w:rFonts w:asciiTheme="minorHAnsi" w:hAnsiTheme="minorHAnsi" w:cstheme="minorHAnsi"/>
          <w:sz w:val="22"/>
          <w:szCs w:val="22"/>
        </w:rPr>
        <w:t>, 2020</w:t>
      </w:r>
    </w:p>
    <w:p w14:paraId="33AAED7F"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58218DC7" w14:textId="77777777" w:rsidR="0071422F" w:rsidRDefault="0071422F" w:rsidP="0071422F">
      <w:pPr>
        <w:pStyle w:val="APAAbstract"/>
        <w:jc w:val="center"/>
        <w:rPr>
          <w:rFonts w:asciiTheme="minorHAnsi" w:hAnsiTheme="minorHAnsi" w:cstheme="minorHAnsi"/>
          <w:b/>
          <w:sz w:val="22"/>
          <w:szCs w:val="22"/>
        </w:rPr>
      </w:pPr>
      <w:r w:rsidRPr="0071422F">
        <w:rPr>
          <w:rFonts w:asciiTheme="minorHAnsi" w:hAnsiTheme="minorHAnsi" w:cstheme="minorHAnsi"/>
          <w:b/>
          <w:sz w:val="22"/>
          <w:szCs w:val="22"/>
        </w:rPr>
        <w:lastRenderedPageBreak/>
        <w:t>Case Project 4-3: Choose a file system for Windows 10</w:t>
      </w:r>
    </w:p>
    <w:p w14:paraId="1AF5CC19" w14:textId="77777777" w:rsidR="006267DF" w:rsidRDefault="00C65ECC" w:rsidP="0071422F">
      <w:pPr>
        <w:pStyle w:val="APAAbstract"/>
        <w:ind w:firstLine="720"/>
        <w:rPr>
          <w:rFonts w:asciiTheme="minorHAnsi" w:hAnsiTheme="minorHAnsi" w:cstheme="minorHAnsi"/>
          <w:sz w:val="22"/>
          <w:szCs w:val="22"/>
        </w:rPr>
      </w:pPr>
      <w:r>
        <w:rPr>
          <w:rFonts w:asciiTheme="minorHAnsi" w:hAnsiTheme="minorHAnsi" w:cstheme="minorHAnsi"/>
          <w:sz w:val="22"/>
          <w:szCs w:val="22"/>
        </w:rPr>
        <w:t xml:space="preserve">The NTFS (New Technology File System), first introduced </w:t>
      </w:r>
      <w:r w:rsidR="006267DF">
        <w:rPr>
          <w:rFonts w:asciiTheme="minorHAnsi" w:hAnsiTheme="minorHAnsi" w:cstheme="minorHAnsi"/>
          <w:sz w:val="22"/>
          <w:szCs w:val="22"/>
        </w:rPr>
        <w:t>by Microsoft in 1993 with Windows NT 3.1</w:t>
      </w:r>
      <w:r>
        <w:rPr>
          <w:rFonts w:asciiTheme="minorHAnsi" w:hAnsiTheme="minorHAnsi" w:cstheme="minorHAnsi"/>
          <w:sz w:val="22"/>
          <w:szCs w:val="22"/>
        </w:rPr>
        <w:t>, is a journaling file system that helps reduce data corruption by recording changes not yet committed to the file system</w:t>
      </w:r>
      <w:r w:rsidR="006267DF">
        <w:rPr>
          <w:rFonts w:asciiTheme="minorHAnsi" w:hAnsiTheme="minorHAnsi" w:cstheme="minorHAnsi"/>
          <w:sz w:val="22"/>
          <w:szCs w:val="22"/>
        </w:rPr>
        <w:t xml:space="preserve"> in the event of a system failure. NTFS has many other advantages over older file systems such as FAT, such as file and folder-level security, ability to encrypt files, and indexing for faster file access. </w:t>
      </w:r>
    </w:p>
    <w:p w14:paraId="5C2625B1" w14:textId="1BAF21E6" w:rsidR="006658D8" w:rsidRPr="00C66B64" w:rsidRDefault="006267DF" w:rsidP="0071422F">
      <w:pPr>
        <w:pStyle w:val="APAAbstract"/>
        <w:ind w:firstLine="720"/>
        <w:rPr>
          <w:rFonts w:asciiTheme="minorHAnsi" w:hAnsiTheme="minorHAnsi" w:cstheme="minorHAnsi"/>
          <w:sz w:val="22"/>
          <w:szCs w:val="22"/>
        </w:rPr>
      </w:pPr>
      <w:r>
        <w:rPr>
          <w:rFonts w:asciiTheme="minorHAnsi" w:hAnsiTheme="minorHAnsi" w:cstheme="minorHAnsi"/>
          <w:sz w:val="22"/>
          <w:szCs w:val="22"/>
        </w:rPr>
        <w:t xml:space="preserve">File and folder-level security is accomplished in NTFS by assigning a security descriptor that defines ownership and access control lists outlining restrictions on file/folder interactions such as reading, writing, or executing. File encryption </w:t>
      </w:r>
      <w:r w:rsidR="00523856">
        <w:rPr>
          <w:rFonts w:asciiTheme="minorHAnsi" w:hAnsiTheme="minorHAnsi" w:cstheme="minorHAnsi"/>
          <w:sz w:val="22"/>
          <w:szCs w:val="22"/>
        </w:rPr>
        <w:t>is accomplished with the Encrypting File System and Microsoft’s CryptoAPI, and is recognized under the federal government’s C2 security rating as a stable and secure file system. NTFS also utilizes B-trees, self-balancing tree data structures that allow searches and various other interactions in logarithmic time</w:t>
      </w:r>
      <w:r w:rsidR="0032595B">
        <w:rPr>
          <w:rFonts w:asciiTheme="minorHAnsi" w:hAnsiTheme="minorHAnsi" w:cstheme="minorHAnsi"/>
          <w:sz w:val="22"/>
          <w:szCs w:val="22"/>
        </w:rPr>
        <w:t>.</w:t>
      </w:r>
    </w:p>
    <w:p w14:paraId="57BA5499" w14:textId="77777777" w:rsidR="0071422F" w:rsidRDefault="0071422F" w:rsidP="0071422F">
      <w:pPr>
        <w:pStyle w:val="APAAbstract"/>
        <w:jc w:val="center"/>
        <w:rPr>
          <w:rFonts w:asciiTheme="minorHAnsi" w:hAnsiTheme="minorHAnsi" w:cstheme="minorHAnsi"/>
          <w:b/>
          <w:sz w:val="22"/>
          <w:szCs w:val="22"/>
        </w:rPr>
      </w:pPr>
      <w:r w:rsidRPr="0071422F">
        <w:rPr>
          <w:rFonts w:asciiTheme="minorHAnsi" w:hAnsiTheme="minorHAnsi" w:cstheme="minorHAnsi"/>
          <w:b/>
          <w:sz w:val="22"/>
          <w:szCs w:val="22"/>
        </w:rPr>
        <w:t>Case Project 5-2: Decide to upgrade or not</w:t>
      </w:r>
    </w:p>
    <w:p w14:paraId="6081E98C" w14:textId="6F907905" w:rsidR="00235820" w:rsidRPr="00235820" w:rsidRDefault="00235820" w:rsidP="00235820">
      <w:pPr>
        <w:pStyle w:val="APAAbstract"/>
        <w:rPr>
          <w:rFonts w:asciiTheme="minorHAnsi" w:hAnsiTheme="minorHAnsi" w:cstheme="minorHAnsi"/>
          <w:sz w:val="22"/>
          <w:szCs w:val="22"/>
        </w:rPr>
      </w:pPr>
      <w:r>
        <w:rPr>
          <w:rFonts w:asciiTheme="minorHAnsi" w:hAnsiTheme="minorHAnsi" w:cstheme="minorHAnsi"/>
          <w:sz w:val="22"/>
          <w:szCs w:val="22"/>
        </w:rPr>
        <w:tab/>
      </w:r>
      <w:r w:rsidR="0032595B">
        <w:rPr>
          <w:rFonts w:asciiTheme="minorHAnsi" w:hAnsiTheme="minorHAnsi" w:cstheme="minorHAnsi"/>
          <w:sz w:val="22"/>
          <w:szCs w:val="22"/>
        </w:rPr>
        <w:t>The primary concern, when deciding to upgrade from Win7/8 to Win10 or not, is application compatibility and overall security and support. At the time of the book’s publication Win7 was still supported by Microsoft, however that is not the case any longer and the debate to whether to upgrade or not becomes fifty percent easier in the affirmative. The department has options when it comes to their proprietary software issue: Windows allows applications to be opened in Compatibility Mode, emulating older versions of operating systems and hardware, as well as the ability to host the proprietary applications in a virtual machine isolated away from potentially dangerous network exposure.</w:t>
      </w:r>
    </w:p>
    <w:p w14:paraId="4D13AF75" w14:textId="77777777" w:rsidR="0071422F" w:rsidRDefault="0071422F" w:rsidP="0071422F">
      <w:pPr>
        <w:pStyle w:val="APAAbstract"/>
        <w:jc w:val="center"/>
        <w:rPr>
          <w:rFonts w:asciiTheme="minorHAnsi" w:hAnsiTheme="minorHAnsi" w:cstheme="minorHAnsi"/>
          <w:b/>
          <w:sz w:val="22"/>
          <w:szCs w:val="22"/>
        </w:rPr>
      </w:pPr>
      <w:r w:rsidRPr="0071422F">
        <w:rPr>
          <w:rFonts w:asciiTheme="minorHAnsi" w:hAnsiTheme="minorHAnsi" w:cstheme="minorHAnsi"/>
          <w:b/>
          <w:sz w:val="22"/>
          <w:szCs w:val="22"/>
        </w:rPr>
        <w:t>Challenge Lab 6-1 Connect to a shared printer</w:t>
      </w:r>
    </w:p>
    <w:p w14:paraId="265223BC" w14:textId="365142BC" w:rsidR="00212672" w:rsidRPr="00212672" w:rsidRDefault="00212672" w:rsidP="00212672">
      <w:pPr>
        <w:pStyle w:val="APAAbstract"/>
        <w:rPr>
          <w:rFonts w:asciiTheme="minorHAnsi" w:hAnsiTheme="minorHAnsi" w:cstheme="minorHAnsi"/>
          <w:sz w:val="22"/>
          <w:szCs w:val="22"/>
        </w:rPr>
      </w:pPr>
      <w:r>
        <w:rPr>
          <w:rFonts w:asciiTheme="minorHAnsi" w:hAnsiTheme="minorHAnsi" w:cstheme="minorHAnsi"/>
          <w:sz w:val="22"/>
          <w:szCs w:val="22"/>
        </w:rPr>
        <w:tab/>
      </w:r>
      <w:r w:rsidR="00BD666F">
        <w:rPr>
          <w:rFonts w:asciiTheme="minorHAnsi" w:hAnsiTheme="minorHAnsi" w:cstheme="minorHAnsi"/>
          <w:sz w:val="22"/>
          <w:szCs w:val="22"/>
        </w:rPr>
        <w:t xml:space="preserve">Windows 10 makes it very straight forward </w:t>
      </w:r>
      <w:r w:rsidR="00DA698B">
        <w:rPr>
          <w:rFonts w:asciiTheme="minorHAnsi" w:hAnsiTheme="minorHAnsi" w:cstheme="minorHAnsi"/>
          <w:sz w:val="22"/>
          <w:szCs w:val="22"/>
        </w:rPr>
        <w:t xml:space="preserve">to connect to networked printers with Plug and Play. While there may be configuration required on the router the printers are connected to, depending on </w:t>
      </w:r>
      <w:r w:rsidR="00DA698B">
        <w:rPr>
          <w:rFonts w:asciiTheme="minorHAnsi" w:hAnsiTheme="minorHAnsi" w:cstheme="minorHAnsi"/>
          <w:sz w:val="22"/>
          <w:szCs w:val="22"/>
        </w:rPr>
        <w:lastRenderedPageBreak/>
        <w:t xml:space="preserve">the firmware installed on the printer, Windows 10 simply needs to allow the connected printer to be accessed by other nodes connected to the network. If another computer on the network happens to run Linux, the Line Printer Daemon (LPD), or in more recent distributions Common UNIX Printing System (CUPS), is the protocol utilized by the Linux system to install and interact with the networked printer. Linux users will need to access their Printer Settings application (whichever comes packaged with their Desktop Environment, or a separate </w:t>
      </w:r>
      <w:proofErr w:type="gramStart"/>
      <w:r w:rsidR="00DA698B">
        <w:rPr>
          <w:rFonts w:asciiTheme="minorHAnsi" w:hAnsiTheme="minorHAnsi" w:cstheme="minorHAnsi"/>
          <w:sz w:val="22"/>
          <w:szCs w:val="22"/>
        </w:rPr>
        <w:t>third party</w:t>
      </w:r>
      <w:proofErr w:type="gramEnd"/>
      <w:r w:rsidR="00DA698B">
        <w:rPr>
          <w:rFonts w:asciiTheme="minorHAnsi" w:hAnsiTheme="minorHAnsi" w:cstheme="minorHAnsi"/>
          <w:sz w:val="22"/>
          <w:szCs w:val="22"/>
        </w:rPr>
        <w:t xml:space="preserve"> alternative)</w:t>
      </w:r>
      <w:r w:rsidR="00B9217A">
        <w:rPr>
          <w:rFonts w:asciiTheme="minorHAnsi" w:hAnsiTheme="minorHAnsi" w:cstheme="minorHAnsi"/>
          <w:sz w:val="22"/>
          <w:szCs w:val="22"/>
        </w:rPr>
        <w:t xml:space="preserve"> and connect to the printer. Alternatively, Linux users may use the CUPS web admin tool by opening localhost:631 in their browser.</w:t>
      </w:r>
      <w:r w:rsidR="00DA698B">
        <w:rPr>
          <w:rFonts w:asciiTheme="minorHAnsi" w:hAnsiTheme="minorHAnsi" w:cstheme="minorHAnsi"/>
          <w:sz w:val="22"/>
          <w:szCs w:val="22"/>
        </w:rPr>
        <w:t xml:space="preserve"> </w:t>
      </w:r>
      <w:bookmarkStart w:id="1" w:name="_GoBack"/>
      <w:bookmarkEnd w:id="1"/>
    </w:p>
    <w:p w14:paraId="0684A8C0"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3C4CF329" w14:textId="77777777" w:rsidR="00F24F95" w:rsidRPr="00C66B64" w:rsidRDefault="00F24F95" w:rsidP="00F24F95">
      <w:pPr>
        <w:pStyle w:val="BodyText"/>
        <w:spacing w:after="0" w:line="480" w:lineRule="auto"/>
        <w:jc w:val="center"/>
        <w:rPr>
          <w:rFonts w:asciiTheme="minorHAnsi" w:hAnsiTheme="minorHAnsi" w:cstheme="minorHAnsi"/>
          <w:b/>
          <w:bCs/>
          <w:sz w:val="22"/>
          <w:szCs w:val="22"/>
        </w:rPr>
      </w:pPr>
      <w:r w:rsidRPr="00C66B64">
        <w:rPr>
          <w:rFonts w:asciiTheme="minorHAnsi" w:hAnsiTheme="minorHAnsi" w:cstheme="minorHAnsi"/>
          <w:b/>
          <w:bCs/>
          <w:sz w:val="22"/>
          <w:szCs w:val="22"/>
        </w:rPr>
        <w:lastRenderedPageBreak/>
        <w:t>References</w:t>
      </w:r>
    </w:p>
    <w:p w14:paraId="58E362BA" w14:textId="33FF2912" w:rsidR="00F24F95" w:rsidRDefault="00B363DA" w:rsidP="00B363DA">
      <w:pPr>
        <w:pStyle w:val="BodyText"/>
        <w:spacing w:line="480" w:lineRule="auto"/>
        <w:ind w:left="720" w:hanging="720"/>
        <w:rPr>
          <w:rFonts w:asciiTheme="minorHAnsi" w:hAnsiTheme="minorHAnsi" w:cstheme="minorHAnsi"/>
          <w:sz w:val="22"/>
          <w:szCs w:val="22"/>
        </w:rPr>
      </w:pPr>
      <w:proofErr w:type="spellStart"/>
      <w:r w:rsidRPr="00B363DA">
        <w:rPr>
          <w:rFonts w:asciiTheme="minorHAnsi" w:hAnsiTheme="minorHAnsi" w:cstheme="minorHAnsi"/>
          <w:sz w:val="22"/>
          <w:szCs w:val="22"/>
        </w:rPr>
        <w:t>Tomsho</w:t>
      </w:r>
      <w:proofErr w:type="spellEnd"/>
      <w:r w:rsidR="00F24F95" w:rsidRPr="00B363DA">
        <w:rPr>
          <w:rFonts w:asciiTheme="minorHAnsi" w:hAnsiTheme="minorHAnsi" w:cstheme="minorHAnsi"/>
          <w:sz w:val="22"/>
          <w:szCs w:val="22"/>
        </w:rPr>
        <w:t xml:space="preserve">, </w:t>
      </w:r>
      <w:r w:rsidRPr="00B363DA">
        <w:rPr>
          <w:rFonts w:asciiTheme="minorHAnsi" w:hAnsiTheme="minorHAnsi" w:cstheme="minorHAnsi"/>
          <w:sz w:val="22"/>
          <w:szCs w:val="22"/>
        </w:rPr>
        <w:t>G</w:t>
      </w:r>
      <w:r w:rsidR="00F24F95" w:rsidRPr="00B363DA">
        <w:rPr>
          <w:rFonts w:asciiTheme="minorHAnsi" w:hAnsiTheme="minorHAnsi" w:cstheme="minorHAnsi"/>
          <w:sz w:val="22"/>
          <w:szCs w:val="22"/>
        </w:rPr>
        <w:t xml:space="preserve">. (2017). </w:t>
      </w:r>
      <w:r w:rsidRPr="00B363DA">
        <w:rPr>
          <w:rFonts w:asciiTheme="minorHAnsi" w:hAnsiTheme="minorHAnsi" w:cstheme="minorHAnsi"/>
          <w:i/>
          <w:iCs/>
          <w:sz w:val="22"/>
          <w:szCs w:val="22"/>
        </w:rPr>
        <w:t>Guide to Operating Systems, 5th edition</w:t>
      </w:r>
      <w:r w:rsidR="00F24F95" w:rsidRPr="00B363DA">
        <w:rPr>
          <w:rFonts w:asciiTheme="minorHAnsi" w:hAnsiTheme="minorHAnsi" w:cstheme="minorHAnsi"/>
          <w:sz w:val="22"/>
          <w:szCs w:val="22"/>
        </w:rPr>
        <w:t xml:space="preserve">. </w:t>
      </w:r>
      <w:r>
        <w:rPr>
          <w:rFonts w:asciiTheme="minorHAnsi" w:hAnsiTheme="minorHAnsi" w:cstheme="minorHAnsi"/>
          <w:sz w:val="22"/>
          <w:szCs w:val="22"/>
        </w:rPr>
        <w:t xml:space="preserve">Boston MA: </w:t>
      </w:r>
      <w:r w:rsidRPr="00B363DA">
        <w:rPr>
          <w:rFonts w:asciiTheme="minorHAnsi" w:eastAsiaTheme="minorHAnsi" w:hAnsiTheme="minorHAnsi" w:cstheme="minorHAnsi"/>
          <w:bCs/>
          <w:sz w:val="22"/>
          <w:szCs w:val="22"/>
        </w:rPr>
        <w:t>Cengage Learning</w:t>
      </w:r>
      <w:r w:rsidR="00F24F95" w:rsidRPr="00B363DA">
        <w:rPr>
          <w:rStyle w:val="highlight"/>
          <w:rFonts w:asciiTheme="minorHAnsi" w:hAnsiTheme="minorHAnsi" w:cstheme="minorHAnsi"/>
          <w:sz w:val="22"/>
          <w:szCs w:val="22"/>
        </w:rPr>
        <w:t>.</w:t>
      </w:r>
      <w:r w:rsidR="00F24F95" w:rsidRPr="00B363DA">
        <w:rPr>
          <w:rFonts w:asciiTheme="minorHAnsi" w:hAnsiTheme="minorHAnsi" w:cstheme="minorHAnsi"/>
          <w:sz w:val="22"/>
          <w:szCs w:val="22"/>
        </w:rPr>
        <w:t xml:space="preserve"> </w:t>
      </w:r>
    </w:p>
    <w:p w14:paraId="5ED77499" w14:textId="147FABE1" w:rsidR="00523856" w:rsidRDefault="00523856" w:rsidP="00B363DA">
      <w:pPr>
        <w:pStyle w:val="BodyText"/>
        <w:spacing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(2012, July 7). </w:t>
      </w:r>
      <w:r>
        <w:rPr>
          <w:rFonts w:asciiTheme="minorHAnsi" w:hAnsiTheme="minorHAnsi" w:cstheme="minorHAnsi"/>
          <w:i/>
          <w:sz w:val="22"/>
          <w:szCs w:val="22"/>
        </w:rPr>
        <w:t xml:space="preserve">How EFS works. </w:t>
      </w:r>
      <w:r>
        <w:rPr>
          <w:rFonts w:asciiTheme="minorHAnsi" w:hAnsiTheme="minorHAnsi" w:cstheme="minorHAnsi"/>
          <w:sz w:val="22"/>
          <w:szCs w:val="22"/>
        </w:rPr>
        <w:t xml:space="preserve">Microsoft. </w:t>
      </w:r>
      <w:hyperlink r:id="rId7" w:history="1">
        <w:r w:rsidRPr="00523856">
          <w:rPr>
            <w:rStyle w:val="Hyperlink"/>
            <w:rFonts w:asciiTheme="minorHAnsi" w:hAnsiTheme="minorHAnsi" w:cstheme="minorHAnsi"/>
            <w:sz w:val="22"/>
            <w:szCs w:val="22"/>
          </w:rPr>
          <w:t>https://docs.microsoft.com/en-us/previous-versions/windows/it-pro/windows-2000-server/cc962103(v=technet.10)?redirectedfrom=MSDN</w:t>
        </w:r>
      </w:hyperlink>
    </w:p>
    <w:p w14:paraId="00F1A258" w14:textId="43D9D312" w:rsidR="0032595B" w:rsidRPr="003C5377" w:rsidRDefault="0032595B" w:rsidP="00B363DA">
      <w:pPr>
        <w:pStyle w:val="BodyText"/>
        <w:spacing w:line="480" w:lineRule="auto"/>
        <w:ind w:left="720" w:hanging="720"/>
        <w:rPr>
          <w:rFonts w:asciiTheme="minorHAnsi" w:hAnsiTheme="minorHAnsi" w:cstheme="minorHAnsi"/>
          <w:sz w:val="22"/>
          <w:szCs w:val="22"/>
        </w:rPr>
      </w:pPr>
      <w:r>
        <w:rPr>
          <w:rFonts w:asciiTheme="minorHAnsi" w:hAnsiTheme="minorHAnsi" w:cstheme="minorHAnsi"/>
          <w:sz w:val="22"/>
          <w:szCs w:val="22"/>
        </w:rPr>
        <w:t>(</w:t>
      </w:r>
      <w:r w:rsidR="003C5377">
        <w:rPr>
          <w:rFonts w:asciiTheme="minorHAnsi" w:hAnsiTheme="minorHAnsi" w:cstheme="minorHAnsi"/>
          <w:sz w:val="22"/>
          <w:szCs w:val="22"/>
        </w:rPr>
        <w:t xml:space="preserve">2019 July 30). </w:t>
      </w:r>
      <w:r w:rsidR="003C5377" w:rsidRPr="003C5377">
        <w:rPr>
          <w:rFonts w:asciiTheme="minorHAnsi" w:hAnsiTheme="minorHAnsi" w:cstheme="minorHAnsi"/>
          <w:i/>
          <w:sz w:val="22"/>
          <w:szCs w:val="22"/>
        </w:rPr>
        <w:t>Make older apps or programs compatible with Windows 10</w:t>
      </w:r>
      <w:r w:rsidR="003C5377">
        <w:rPr>
          <w:rFonts w:asciiTheme="minorHAnsi" w:hAnsiTheme="minorHAnsi" w:cstheme="minorHAnsi"/>
          <w:i/>
          <w:sz w:val="22"/>
          <w:szCs w:val="22"/>
        </w:rPr>
        <w:t xml:space="preserve">. </w:t>
      </w:r>
      <w:hyperlink r:id="rId8" w:history="1">
        <w:r w:rsidR="003C5377" w:rsidRPr="003C5377">
          <w:rPr>
            <w:rStyle w:val="Hyperlink"/>
            <w:rFonts w:asciiTheme="minorHAnsi" w:hAnsiTheme="minorHAnsi" w:cstheme="minorHAnsi"/>
            <w:sz w:val="22"/>
            <w:szCs w:val="22"/>
          </w:rPr>
          <w:t>https://support.microsoft.com/en-us/help/15078/windows-10-make-older-apps-or-programs-compatible</w:t>
        </w:r>
      </w:hyperlink>
    </w:p>
    <w:p w14:paraId="64FC6330" w14:textId="77777777" w:rsidR="00B363DA" w:rsidRPr="00C66B64" w:rsidRDefault="00B363DA" w:rsidP="00B363DA">
      <w:pPr>
        <w:pStyle w:val="BodyText"/>
        <w:spacing w:line="480" w:lineRule="auto"/>
        <w:ind w:left="720" w:hanging="720"/>
        <w:rPr>
          <w:rFonts w:asciiTheme="minorHAnsi" w:hAnsiTheme="minorHAnsi" w:cstheme="minorHAnsi"/>
          <w:sz w:val="22"/>
          <w:szCs w:val="22"/>
        </w:rPr>
      </w:pPr>
    </w:p>
    <w:p w14:paraId="7D0C81E6" w14:textId="77777777" w:rsidR="00DF2D31" w:rsidRPr="00C66B64" w:rsidRDefault="00DF2D31" w:rsidP="00F24F95">
      <w:pPr>
        <w:spacing w:line="480" w:lineRule="auto"/>
        <w:rPr>
          <w:rFonts w:asciiTheme="minorHAnsi" w:hAnsiTheme="minorHAnsi" w:cstheme="minorHAnsi"/>
          <w:sz w:val="22"/>
          <w:szCs w:val="22"/>
        </w:rPr>
      </w:pPr>
    </w:p>
    <w:sectPr w:rsidR="00DF2D31" w:rsidRPr="00C66B64" w:rsidSect="0014259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B188" w14:textId="77777777" w:rsidR="006A5D29" w:rsidRDefault="006A5D29">
      <w:r>
        <w:separator/>
      </w:r>
    </w:p>
  </w:endnote>
  <w:endnote w:type="continuationSeparator" w:id="0">
    <w:p w14:paraId="0F08C364" w14:textId="77777777" w:rsidR="006A5D29" w:rsidRDefault="006A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C429" w14:textId="77777777" w:rsidR="006A5D29" w:rsidRDefault="006A5D29">
      <w:r>
        <w:separator/>
      </w:r>
    </w:p>
  </w:footnote>
  <w:footnote w:type="continuationSeparator" w:id="0">
    <w:p w14:paraId="5602C151" w14:textId="77777777" w:rsidR="006A5D29" w:rsidRDefault="006A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5669"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2AFA5" w14:textId="77777777" w:rsidR="00292AAF" w:rsidRDefault="006A5D29" w:rsidP="002D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6CC3"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684D2E" w14:textId="77777777" w:rsidR="00292AAF" w:rsidRDefault="006A5D29" w:rsidP="002D538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283AE" w14:textId="77777777" w:rsidR="00F55E03" w:rsidRDefault="00B363DA" w:rsidP="00F55E03">
    <w:pPr>
      <w:pStyle w:val="Header"/>
      <w:ind w:right="360"/>
    </w:pPr>
    <w:r>
      <w:tab/>
    </w:r>
    <w:r>
      <w:tab/>
      <w:t>1</w:t>
    </w:r>
    <w:r>
      <w:tab/>
    </w:r>
  </w:p>
  <w:p w14:paraId="392270F2" w14:textId="77777777" w:rsidR="00142599" w:rsidRPr="00142599" w:rsidRDefault="006A5D29" w:rsidP="0014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060F"/>
    <w:multiLevelType w:val="multilevel"/>
    <w:tmpl w:val="5F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E8D"/>
    <w:multiLevelType w:val="multilevel"/>
    <w:tmpl w:val="94D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1"/>
    <w:rsid w:val="00212672"/>
    <w:rsid w:val="00235820"/>
    <w:rsid w:val="0032595B"/>
    <w:rsid w:val="003C5377"/>
    <w:rsid w:val="00523856"/>
    <w:rsid w:val="006267DF"/>
    <w:rsid w:val="006658D8"/>
    <w:rsid w:val="006A5D29"/>
    <w:rsid w:val="0071422F"/>
    <w:rsid w:val="00B363DA"/>
    <w:rsid w:val="00B9217A"/>
    <w:rsid w:val="00BD666F"/>
    <w:rsid w:val="00C0415C"/>
    <w:rsid w:val="00C65ECC"/>
    <w:rsid w:val="00C66B64"/>
    <w:rsid w:val="00CF7CD6"/>
    <w:rsid w:val="00DA698B"/>
    <w:rsid w:val="00DF2D31"/>
    <w:rsid w:val="00F2172F"/>
    <w:rsid w:val="00F23EAB"/>
    <w:rsid w:val="00F2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2A6"/>
  <w15:chartTrackingRefBased/>
  <w15:docId w15:val="{8B8593C4-1788-4817-8673-AAF82D4C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F95"/>
    <w:pPr>
      <w:tabs>
        <w:tab w:val="center" w:pos="4320"/>
        <w:tab w:val="right" w:pos="8640"/>
      </w:tabs>
    </w:pPr>
  </w:style>
  <w:style w:type="character" w:customStyle="1" w:styleId="HeaderChar">
    <w:name w:val="Header Char"/>
    <w:basedOn w:val="DefaultParagraphFont"/>
    <w:link w:val="Header"/>
    <w:uiPriority w:val="99"/>
    <w:rsid w:val="00F24F95"/>
    <w:rPr>
      <w:rFonts w:ascii="Times New Roman" w:eastAsia="Times New Roman" w:hAnsi="Times New Roman" w:cs="Times New Roman"/>
      <w:sz w:val="24"/>
      <w:szCs w:val="24"/>
    </w:rPr>
  </w:style>
  <w:style w:type="character" w:styleId="PageNumber">
    <w:name w:val="page number"/>
    <w:basedOn w:val="DefaultParagraphFont"/>
    <w:rsid w:val="00F24F95"/>
  </w:style>
  <w:style w:type="paragraph" w:customStyle="1" w:styleId="APAHeader">
    <w:name w:val="APA Header"/>
    <w:basedOn w:val="Normal"/>
    <w:next w:val="Normal"/>
    <w:rsid w:val="00F24F95"/>
    <w:pPr>
      <w:overflowPunct w:val="0"/>
      <w:autoSpaceDE w:val="0"/>
      <w:autoSpaceDN w:val="0"/>
      <w:adjustRightInd w:val="0"/>
      <w:spacing w:line="480" w:lineRule="auto"/>
      <w:jc w:val="center"/>
      <w:textAlignment w:val="baseline"/>
    </w:pPr>
    <w:rPr>
      <w:szCs w:val="20"/>
    </w:rPr>
  </w:style>
  <w:style w:type="paragraph" w:customStyle="1" w:styleId="APAAbstract">
    <w:name w:val="APA Abstract"/>
    <w:basedOn w:val="Normal"/>
    <w:rsid w:val="00F24F95"/>
    <w:pPr>
      <w:overflowPunct w:val="0"/>
      <w:autoSpaceDE w:val="0"/>
      <w:autoSpaceDN w:val="0"/>
      <w:adjustRightInd w:val="0"/>
      <w:spacing w:line="480" w:lineRule="auto"/>
      <w:textAlignment w:val="baseline"/>
    </w:pPr>
    <w:rPr>
      <w:szCs w:val="20"/>
    </w:rPr>
  </w:style>
  <w:style w:type="paragraph" w:customStyle="1" w:styleId="APAAbstractTitle">
    <w:name w:val="APA Abstract Title"/>
    <w:basedOn w:val="Normal"/>
    <w:rsid w:val="00F24F95"/>
    <w:pPr>
      <w:overflowPunct w:val="0"/>
      <w:autoSpaceDE w:val="0"/>
      <w:autoSpaceDN w:val="0"/>
      <w:adjustRightInd w:val="0"/>
      <w:spacing w:line="480" w:lineRule="auto"/>
      <w:jc w:val="center"/>
      <w:textAlignment w:val="baseline"/>
    </w:pPr>
    <w:rPr>
      <w:szCs w:val="20"/>
    </w:rPr>
  </w:style>
  <w:style w:type="paragraph" w:styleId="BodyText">
    <w:name w:val="Body Text"/>
    <w:basedOn w:val="Normal"/>
    <w:link w:val="BodyTextChar"/>
    <w:rsid w:val="00F24F95"/>
    <w:pPr>
      <w:overflowPunct w:val="0"/>
      <w:autoSpaceDE w:val="0"/>
      <w:autoSpaceDN w:val="0"/>
      <w:adjustRightInd w:val="0"/>
      <w:spacing w:after="120"/>
      <w:textAlignment w:val="baseline"/>
    </w:pPr>
    <w:rPr>
      <w:szCs w:val="20"/>
    </w:rPr>
  </w:style>
  <w:style w:type="character" w:customStyle="1" w:styleId="BodyTextChar">
    <w:name w:val="Body Text Char"/>
    <w:basedOn w:val="DefaultParagraphFont"/>
    <w:link w:val="BodyText"/>
    <w:rsid w:val="00F24F95"/>
    <w:rPr>
      <w:rFonts w:ascii="Times New Roman" w:eastAsia="Times New Roman" w:hAnsi="Times New Roman" w:cs="Times New Roman"/>
      <w:sz w:val="24"/>
      <w:szCs w:val="20"/>
    </w:rPr>
  </w:style>
  <w:style w:type="character" w:customStyle="1" w:styleId="highlight">
    <w:name w:val="highlight"/>
    <w:rsid w:val="00F24F95"/>
  </w:style>
  <w:style w:type="character" w:styleId="Hyperlink">
    <w:name w:val="Hyperlink"/>
    <w:rsid w:val="00F24F95"/>
    <w:rPr>
      <w:color w:val="0563C1"/>
      <w:u w:val="single"/>
    </w:rPr>
  </w:style>
  <w:style w:type="character" w:styleId="Emphasis">
    <w:name w:val="Emphasis"/>
    <w:uiPriority w:val="20"/>
    <w:qFormat/>
    <w:rsid w:val="00F24F95"/>
    <w:rPr>
      <w:i/>
      <w:iCs/>
    </w:rPr>
  </w:style>
  <w:style w:type="paragraph" w:customStyle="1" w:styleId="error">
    <w:name w:val="error"/>
    <w:basedOn w:val="Normal"/>
    <w:rsid w:val="00F24F95"/>
    <w:pPr>
      <w:spacing w:before="100" w:beforeAutospacing="1" w:after="100" w:afterAutospacing="1"/>
    </w:pPr>
  </w:style>
  <w:style w:type="paragraph" w:styleId="NormalWeb">
    <w:name w:val="Normal (Web)"/>
    <w:basedOn w:val="Normal"/>
    <w:uiPriority w:val="99"/>
    <w:semiHidden/>
    <w:unhideWhenUsed/>
    <w:rsid w:val="00F24F95"/>
    <w:pPr>
      <w:spacing w:before="100" w:beforeAutospacing="1" w:after="100" w:afterAutospacing="1"/>
    </w:pPr>
  </w:style>
  <w:style w:type="character" w:styleId="UnresolvedMention">
    <w:name w:val="Unresolved Mention"/>
    <w:basedOn w:val="DefaultParagraphFont"/>
    <w:uiPriority w:val="99"/>
    <w:semiHidden/>
    <w:unhideWhenUsed/>
    <w:rsid w:val="00C0415C"/>
    <w:rPr>
      <w:color w:val="605E5C"/>
      <w:shd w:val="clear" w:color="auto" w:fill="E1DFDD"/>
    </w:rPr>
  </w:style>
  <w:style w:type="character" w:styleId="HTMLCite">
    <w:name w:val="HTML Cite"/>
    <w:basedOn w:val="DefaultParagraphFont"/>
    <w:uiPriority w:val="99"/>
    <w:semiHidden/>
    <w:unhideWhenUsed/>
    <w:rsid w:val="00523856"/>
    <w:rPr>
      <w:i/>
      <w:iCs/>
    </w:rPr>
  </w:style>
  <w:style w:type="character" w:customStyle="1" w:styleId="reference-accessdate">
    <w:name w:val="reference-accessdate"/>
    <w:basedOn w:val="DefaultParagraphFont"/>
    <w:rsid w:val="00523856"/>
  </w:style>
  <w:style w:type="character" w:customStyle="1" w:styleId="nowrap">
    <w:name w:val="nowrap"/>
    <w:basedOn w:val="DefaultParagraphFont"/>
    <w:rsid w:val="00523856"/>
  </w:style>
  <w:style w:type="character" w:styleId="FollowedHyperlink">
    <w:name w:val="FollowedHyperlink"/>
    <w:basedOn w:val="DefaultParagraphFont"/>
    <w:uiPriority w:val="99"/>
    <w:semiHidden/>
    <w:unhideWhenUsed/>
    <w:rsid w:val="00523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5690">
      <w:bodyDiv w:val="1"/>
      <w:marLeft w:val="0"/>
      <w:marRight w:val="0"/>
      <w:marTop w:val="0"/>
      <w:marBottom w:val="0"/>
      <w:divBdr>
        <w:top w:val="none" w:sz="0" w:space="0" w:color="auto"/>
        <w:left w:val="none" w:sz="0" w:space="0" w:color="auto"/>
        <w:bottom w:val="none" w:sz="0" w:space="0" w:color="auto"/>
        <w:right w:val="none" w:sz="0" w:space="0" w:color="auto"/>
      </w:divBdr>
    </w:div>
    <w:div w:id="1259405735">
      <w:bodyDiv w:val="1"/>
      <w:marLeft w:val="0"/>
      <w:marRight w:val="0"/>
      <w:marTop w:val="0"/>
      <w:marBottom w:val="0"/>
      <w:divBdr>
        <w:top w:val="none" w:sz="0" w:space="0" w:color="auto"/>
        <w:left w:val="none" w:sz="0" w:space="0" w:color="auto"/>
        <w:bottom w:val="none" w:sz="0" w:space="0" w:color="auto"/>
        <w:right w:val="none" w:sz="0" w:space="0" w:color="auto"/>
      </w:divBdr>
    </w:div>
    <w:div w:id="1306668820">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920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15078/windows-10-make-older-apps-or-programs-compati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revious-versions/windows/it-pro/windows-2000-server/cc962103(v=technet.10)?redirectedfrom=MSD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3</cp:revision>
  <dcterms:created xsi:type="dcterms:W3CDTF">2020-01-17T19:14:00Z</dcterms:created>
  <dcterms:modified xsi:type="dcterms:W3CDTF">2020-01-17T19:32:00Z</dcterms:modified>
</cp:coreProperties>
</file>