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УСТАВ ПРОЕКТА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 документы, ссылки на которые на которые содержаться в настоящем документе являются его неотъемлемой частью.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7130"/>
        <w:tblGridChange w:id="0">
          <w:tblGrid>
            <w:gridCol w:w="2410"/>
            <w:gridCol w:w="71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проекта: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Т-Панель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Менеджер проекта: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Денисова Дарья Альбертовна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8"/>
        <w:gridCol w:w="1802"/>
        <w:gridCol w:w="6660"/>
        <w:tblGridChange w:id="0">
          <w:tblGrid>
            <w:gridCol w:w="1078"/>
            <w:gridCol w:w="1802"/>
            <w:gridCol w:w="666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c0c0c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Версии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(строки добавляются по необходимости):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Альфа-версия с базовым функционалом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Тестирование и выпуск бета-версии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Расширение интерфейса и функционала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Финальная версия; final 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8.0" w:type="pc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 Краткое описание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Название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Т-Панель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Суть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Разработка приложения для системной визуализации данных со специализацией на business intelligence.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Бизнес-окружение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Адаптивное приложение для внедрения в производственные SCADA-проекты, мобильные и десктопные решения для сбора, хранения, представления, предсказания и анализа данных; модуль No-code.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Цели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Разработать приложение, позволяющее выводить производственные и бизнес-данные за 10 месяцев.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Риски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Риск превышения бюджета — средний;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Риск потери членов команды — высокий;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Риск невыполнения дедлайнов — средний.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08.0" w:type="pc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 Описание продукта и поставок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Продуктом проекта является (перечень поставок)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Дистрибутив ПО;</w:t>
            </w:r>
          </w:p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базовое руководство пользователя и расширенное руководство разработчика;</w:t>
            </w:r>
          </w:p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облачное хранилище для управления данными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Главными требованиям к продукту являются (продукт позволяет):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Визуализировать данные из:</w:t>
            </w:r>
          </w:p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реляционных баз данных;</w:t>
            </w:r>
          </w:p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OLAP-cubes;</w:t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облачных хранилищ;</w:t>
            </w:r>
          </w:p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электронных таблиц;</w:t>
            </w:r>
          </w:p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Представлять данные в графовых базах знаний;</w:t>
            </w:r>
          </w:p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Загружать и выгружать данные из встроенного хранилища;</w:t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Анализировать данные — строить прогнозы и выборки по выбранным параметрам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Требованиями к продукту НЕ являются (продукт не включает):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Генерация данных; предоставление отдельного мобильного приложения для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Правила приемки поставок: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Соответствие разработанного ПО заявленным требованиям и стандартам безопасности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108.0" w:type="pct"/>
        <w:tblLayout w:type="fixed"/>
        <w:tblLook w:val="00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1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 Ограничения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 Вехи и дата завершения проекта: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Начало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Исследование необходимого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Альфа-версия с минимально необходимым функционалом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Бета-версия с поправками и расширенным функционалом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16/04/2023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Расширение интерфейса и доработка в соответствии с тестированием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16/06/2023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Финальная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16/08/2023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Завершение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16/08/2023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 Общий бюджет проекта: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миллиона рублей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 Ограничения по выполнению и организации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Модульная структура приложения с возможностью реализации в виде встраиваемых служб;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Обеспечение безопасности данных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08.0" w:type="pc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 Руководитель проекта и его полномочия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 Назначенный руководитель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Денисова Дарья Альбертовна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 Полномочия руководителя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Разработка ПО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Взаимодействие с аутсорс-компаниями по тестированию и безопасности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 Заинтересованные лица и ресурсы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Заказчик проекта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c5c5c"/>
                <w:sz w:val="24"/>
                <w:szCs w:val="24"/>
                <w:highlight w:val="white"/>
                <w:rtl w:val="0"/>
              </w:rPr>
              <w:t xml:space="preserve">ООО УК «ПМХ»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Метхолдинг, директор технического отдела Зимин Игорь Игоревич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Ключевые пользователи результатов проекта: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Отдел автоматизации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c5c5c"/>
                <w:sz w:val="24"/>
                <w:szCs w:val="24"/>
                <w:highlight w:val="white"/>
                <w:rtl w:val="0"/>
              </w:rPr>
              <w:t xml:space="preserve">ООО УК «ПМХ»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Метхолдинг, руководитель Попелышкин Александр Олегович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Отдел разработки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c5c5c"/>
                <w:sz w:val="24"/>
                <w:szCs w:val="24"/>
                <w:highlight w:val="white"/>
                <w:rtl w:val="0"/>
              </w:rPr>
              <w:t xml:space="preserve">ООО УК «ПМХ»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Метхолдинг, руководитель Козлов Михаил Александрович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Спонсор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c5c5c"/>
                <w:sz w:val="24"/>
                <w:szCs w:val="24"/>
                <w:highlight w:val="white"/>
                <w:rtl w:val="0"/>
              </w:rPr>
              <w:t xml:space="preserve">ООО УК «ПМХ»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Метхолдинг, директор технического отдела Зимин Игорь Игоревич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Куратор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Менеджер проектного офиса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c5c5c"/>
                <w:sz w:val="24"/>
                <w:szCs w:val="24"/>
                <w:highlight w:val="white"/>
                <w:rtl w:val="0"/>
              </w:rPr>
              <w:t xml:space="preserve">ООО УК «ПМХ»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Метхолдинг, Краевая Людмила Михайловна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Команда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Денисова Дарья Альбертовна — разработчик, менеджер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5.6 Инфраструктура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Совместимость с Windows Server 2012 R2;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взаимодействие с протоколом S7, Овен RS-485, OPC-UA;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5.7 Соисполнители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ООО “PerformanceLab” — компания, осуществляющая тестирование;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ООО “Безопасность АйТи Решений” — консалтинг-фирма по безопасности данных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00"/>
        <w:gridCol w:w="2700"/>
        <w:gridCol w:w="2700"/>
        <w:gridCol w:w="1440"/>
        <w:tblGridChange w:id="0">
          <w:tblGrid>
            <w:gridCol w:w="2700"/>
            <w:gridCol w:w="2700"/>
            <w:gridCol w:w="2700"/>
            <w:gridCol w:w="1440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800000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 Согласовательные подписи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Имя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&lt;Устав обязательно подписывается спонсором&gt;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означает согласие подписавшего со всеми положениями настоящего документа.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Устав проекта (Project Charter)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Страница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Т-Панель</w:t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1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1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32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v_TableText">
    <w:name w:val="Cov_Table Text"/>
    <w:basedOn w:val="Верхнийколонтитул"/>
    <w:next w:val="Cov_Table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A_TableBullet1">
    <w:name w:val="A_Table Bullet 1"/>
    <w:basedOn w:val="Обычный"/>
    <w:next w:val="A_TableBullet1"/>
    <w:autoRedefine w:val="0"/>
    <w:hidden w:val="0"/>
    <w:qFormat w:val="0"/>
    <w:pPr>
      <w:tabs>
        <w:tab w:val="left" w:leader="none" w:pos="360"/>
      </w:tabs>
      <w:suppressAutoHyphens w:val="1"/>
      <w:spacing w:before="12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A_BodyBullet1">
    <w:name w:val="A_Body Bullet 1"/>
    <w:basedOn w:val="A_TableBullet1"/>
    <w:next w:val="A_BodyBullet1"/>
    <w:autoRedefine w:val="0"/>
    <w:hidden w:val="0"/>
    <w:qFormat w:val="0"/>
    <w:pPr>
      <w:tabs>
        <w:tab w:val="left" w:leader="none" w:pos="360"/>
      </w:tabs>
      <w:suppressAutoHyphens w:val="1"/>
      <w:spacing w:before="6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_BodyText">
    <w:name w:val="A_Body Text"/>
    <w:basedOn w:val="Обычный"/>
    <w:next w:val="A_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_BodyBullet2">
    <w:name w:val="A_Body Bullet 2"/>
    <w:basedOn w:val="A_BodyBullet1"/>
    <w:next w:val="A_BodyBullet2"/>
    <w:autoRedefine w:val="0"/>
    <w:hidden w:val="0"/>
    <w:qFormat w:val="0"/>
    <w:pPr>
      <w:tabs>
        <w:tab w:val="clear" w:pos="360"/>
      </w:tabs>
      <w:suppressAutoHyphens w:val="1"/>
      <w:spacing w:before="0" w:line="1" w:lineRule="atLeast"/>
      <w:ind w:lef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jtoR2khIe3QvChKtQkEyNuQ3Q==">AMUW2mX9cbioiKnP+syhPSghbZBZ3JlPkeZ9C2ksBj5+dgAJuz07UnA0/l9QEjPKLsFRcdac+3xSAtI6SKvnuyk4tc2ux2QocBOhBuxxFloAAH0OgYD1ONk=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2010-09-07T11:52:00Z</dcterms:created>
  <dc:creator/>
</cp:coreProperties>
</file>