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9DDAB" w14:textId="6881BE4C" w:rsidR="00996A0C" w:rsidRPr="00996A0C" w:rsidRDefault="00996A0C" w:rsidP="00996A0C">
      <w:pPr>
        <w:jc w:val="center"/>
        <w:rPr>
          <w:sz w:val="36"/>
          <w:szCs w:val="36"/>
        </w:rPr>
      </w:pPr>
      <w:r w:rsidRPr="00996A0C">
        <w:rPr>
          <w:b/>
          <w:bCs/>
          <w:sz w:val="36"/>
          <w:szCs w:val="36"/>
        </w:rPr>
        <w:t>SUPERSTORE SALES DATASET</w:t>
      </w:r>
      <w:r w:rsidRPr="00996A0C">
        <w:rPr>
          <w:b/>
          <w:bCs/>
          <w:sz w:val="36"/>
          <w:szCs w:val="36"/>
        </w:rPr>
        <w:t xml:space="preserve"> REPORT</w:t>
      </w:r>
    </w:p>
    <w:p w14:paraId="042EA0D3" w14:textId="77777777" w:rsidR="00996A0C" w:rsidRDefault="00996A0C" w:rsidP="00996A0C">
      <w:pPr>
        <w:rPr>
          <w:b/>
          <w:bCs/>
        </w:rPr>
      </w:pPr>
    </w:p>
    <w:p w14:paraId="2B59DDA3" w14:textId="3279C2B0" w:rsidR="00996A0C" w:rsidRPr="00996A0C" w:rsidRDefault="00996A0C" w:rsidP="00996A0C">
      <w:pPr>
        <w:rPr>
          <w:b/>
          <w:bCs/>
        </w:rPr>
      </w:pPr>
      <w:r w:rsidRPr="00996A0C">
        <w:rPr>
          <w:b/>
          <w:bCs/>
        </w:rPr>
        <w:t>OBJECTIVE</w:t>
      </w:r>
    </w:p>
    <w:p w14:paraId="31987B13" w14:textId="77777777" w:rsidR="00996A0C" w:rsidRPr="00996A0C" w:rsidRDefault="00996A0C" w:rsidP="00996A0C">
      <w:r w:rsidRPr="00996A0C">
        <w:t xml:space="preserve">The Superstore Sales Dataset consisting of </w:t>
      </w:r>
      <w:r w:rsidRPr="00996A0C">
        <w:rPr>
          <w:b/>
          <w:bCs/>
        </w:rPr>
        <w:t>10,194 transactions</w:t>
      </w:r>
      <w:r w:rsidRPr="00996A0C">
        <w:t xml:space="preserve"> was </w:t>
      </w:r>
      <w:proofErr w:type="spellStart"/>
      <w:r w:rsidRPr="00996A0C">
        <w:t>analyzed</w:t>
      </w:r>
      <w:proofErr w:type="spellEnd"/>
      <w:r w:rsidRPr="00996A0C">
        <w:t xml:space="preserve"> using Python, Pandas, and Seaborn to understand sales performance, profitability, discount impact, and regional variations. Bar plots, box plots, scatter plots, and correlation metrics were utilized to identify important business patterns and optimize bottom-line performance.</w:t>
      </w:r>
    </w:p>
    <w:p w14:paraId="41B65EF8" w14:textId="2A5FA641" w:rsidR="00996A0C" w:rsidRPr="00996A0C" w:rsidRDefault="00996A0C" w:rsidP="00996A0C"/>
    <w:p w14:paraId="0C662C7C" w14:textId="77777777" w:rsidR="00996A0C" w:rsidRPr="00996A0C" w:rsidRDefault="00996A0C" w:rsidP="00996A0C">
      <w:pPr>
        <w:rPr>
          <w:b/>
          <w:bCs/>
        </w:rPr>
      </w:pPr>
      <w:r w:rsidRPr="00996A0C">
        <w:rPr>
          <w:b/>
          <w:bCs/>
        </w:rPr>
        <w:t>ANALYSIS AND 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3807"/>
        <w:gridCol w:w="3402"/>
      </w:tblGrid>
      <w:tr w:rsidR="00996A0C" w:rsidRPr="00996A0C" w14:paraId="59584E5D" w14:textId="77777777">
        <w:trPr>
          <w:tblCellSpacing w:w="15" w:type="dxa"/>
        </w:trPr>
        <w:tc>
          <w:tcPr>
            <w:tcW w:w="0" w:type="auto"/>
            <w:tcBorders>
              <w:bottom w:val="single" w:sz="4" w:space="0" w:color="DCDFE5"/>
            </w:tcBorders>
            <w:vAlign w:val="center"/>
            <w:hideMark/>
          </w:tcPr>
          <w:p w14:paraId="46C54319" w14:textId="77777777" w:rsidR="00996A0C" w:rsidRPr="00996A0C" w:rsidRDefault="00996A0C" w:rsidP="00996A0C">
            <w:pPr>
              <w:rPr>
                <w:b/>
                <w:bCs/>
              </w:rPr>
            </w:pPr>
            <w:r w:rsidRPr="00996A0C">
              <w:rPr>
                <w:b/>
                <w:bCs/>
              </w:rPr>
              <w:t>Analysis</w:t>
            </w:r>
          </w:p>
        </w:tc>
        <w:tc>
          <w:tcPr>
            <w:tcW w:w="0" w:type="auto"/>
            <w:tcBorders>
              <w:bottom w:val="single" w:sz="4" w:space="0" w:color="DCDFE5"/>
            </w:tcBorders>
            <w:vAlign w:val="center"/>
            <w:hideMark/>
          </w:tcPr>
          <w:p w14:paraId="18ABFCD0" w14:textId="77777777" w:rsidR="00996A0C" w:rsidRPr="00996A0C" w:rsidRDefault="00996A0C" w:rsidP="00996A0C">
            <w:pPr>
              <w:rPr>
                <w:b/>
                <w:bCs/>
              </w:rPr>
            </w:pPr>
            <w:r w:rsidRPr="00996A0C">
              <w:rPr>
                <w:b/>
                <w:bCs/>
              </w:rPr>
              <w:t>Key Finding</w:t>
            </w:r>
          </w:p>
        </w:tc>
        <w:tc>
          <w:tcPr>
            <w:tcW w:w="0" w:type="auto"/>
            <w:tcBorders>
              <w:bottom w:val="single" w:sz="4" w:space="0" w:color="DCDFE5"/>
            </w:tcBorders>
            <w:vAlign w:val="center"/>
            <w:hideMark/>
          </w:tcPr>
          <w:p w14:paraId="190E6C2A" w14:textId="77777777" w:rsidR="00996A0C" w:rsidRPr="00996A0C" w:rsidRDefault="00996A0C" w:rsidP="00996A0C">
            <w:pPr>
              <w:rPr>
                <w:b/>
                <w:bCs/>
              </w:rPr>
            </w:pPr>
            <w:r w:rsidRPr="00996A0C">
              <w:rPr>
                <w:b/>
                <w:bCs/>
              </w:rPr>
              <w:t>Business Insight</w:t>
            </w:r>
          </w:p>
        </w:tc>
      </w:tr>
      <w:tr w:rsidR="00996A0C" w:rsidRPr="00996A0C" w14:paraId="2F1A5103" w14:textId="77777777">
        <w:trPr>
          <w:tblCellSpacing w:w="15" w:type="dxa"/>
        </w:trPr>
        <w:tc>
          <w:tcPr>
            <w:tcW w:w="0" w:type="auto"/>
            <w:tcBorders>
              <w:bottom w:val="single" w:sz="4" w:space="0" w:color="DCDFE5"/>
            </w:tcBorders>
            <w:vAlign w:val="center"/>
            <w:hideMark/>
          </w:tcPr>
          <w:p w14:paraId="2BC32E16" w14:textId="77777777" w:rsidR="00996A0C" w:rsidRPr="00996A0C" w:rsidRDefault="00996A0C" w:rsidP="00996A0C">
            <w:r w:rsidRPr="00996A0C">
              <w:rPr>
                <w:b/>
                <w:bCs/>
              </w:rPr>
              <w:t>Sales by Category</w:t>
            </w:r>
          </w:p>
        </w:tc>
        <w:tc>
          <w:tcPr>
            <w:tcW w:w="0" w:type="auto"/>
            <w:tcBorders>
              <w:bottom w:val="single" w:sz="4" w:space="0" w:color="DCDFE5"/>
            </w:tcBorders>
            <w:vAlign w:val="center"/>
            <w:hideMark/>
          </w:tcPr>
          <w:p w14:paraId="79CBD5D5" w14:textId="77777777" w:rsidR="00996A0C" w:rsidRPr="00996A0C" w:rsidRDefault="00996A0C" w:rsidP="00996A0C">
            <w:r w:rsidRPr="00996A0C">
              <w:t xml:space="preserve">Technology leads revenue generation with </w:t>
            </w:r>
            <w:r w:rsidRPr="00996A0C">
              <w:rPr>
                <w:b/>
                <w:bCs/>
              </w:rPr>
              <w:t>$839,893.28</w:t>
            </w:r>
            <w:r w:rsidRPr="00996A0C">
              <w:t>, followed by Furniture (</w:t>
            </w:r>
            <w:r w:rsidRPr="00996A0C">
              <w:rPr>
                <w:b/>
                <w:bCs/>
              </w:rPr>
              <w:t>$754,747.76</w:t>
            </w:r>
            <w:r w:rsidRPr="00996A0C">
              <w:t>) and Office Supplies (</w:t>
            </w:r>
            <w:r w:rsidRPr="00996A0C">
              <w:rPr>
                <w:b/>
                <w:bCs/>
              </w:rPr>
              <w:t>$731,893.31</w:t>
            </w:r>
            <w:r w:rsidRPr="00996A0C">
              <w:t>).</w:t>
            </w:r>
          </w:p>
        </w:tc>
        <w:tc>
          <w:tcPr>
            <w:tcW w:w="0" w:type="auto"/>
            <w:tcBorders>
              <w:bottom w:val="single" w:sz="4" w:space="0" w:color="DCDFE5"/>
            </w:tcBorders>
            <w:vAlign w:val="center"/>
            <w:hideMark/>
          </w:tcPr>
          <w:p w14:paraId="1BD75666" w14:textId="77777777" w:rsidR="00996A0C" w:rsidRPr="00996A0C" w:rsidRDefault="00996A0C" w:rsidP="00996A0C">
            <w:r w:rsidRPr="00996A0C">
              <w:t>Prioritize inventory, product bundling, and marketing spend toward the high-demand Technology segment to capture maximum market scale.</w:t>
            </w:r>
          </w:p>
        </w:tc>
      </w:tr>
      <w:tr w:rsidR="00996A0C" w:rsidRPr="00996A0C" w14:paraId="3BC7326E" w14:textId="77777777">
        <w:trPr>
          <w:tblCellSpacing w:w="15" w:type="dxa"/>
        </w:trPr>
        <w:tc>
          <w:tcPr>
            <w:tcW w:w="0" w:type="auto"/>
            <w:tcBorders>
              <w:bottom w:val="single" w:sz="4" w:space="0" w:color="DCDFE5"/>
            </w:tcBorders>
            <w:vAlign w:val="center"/>
            <w:hideMark/>
          </w:tcPr>
          <w:p w14:paraId="1FA29E48" w14:textId="77777777" w:rsidR="00996A0C" w:rsidRPr="00996A0C" w:rsidRDefault="00996A0C" w:rsidP="00996A0C">
            <w:r w:rsidRPr="00996A0C">
              <w:rPr>
                <w:b/>
                <w:bCs/>
              </w:rPr>
              <w:t>Profit by Category &amp; Sub-Category</w:t>
            </w:r>
          </w:p>
        </w:tc>
        <w:tc>
          <w:tcPr>
            <w:tcW w:w="0" w:type="auto"/>
            <w:tcBorders>
              <w:bottom w:val="single" w:sz="4" w:space="0" w:color="DCDFE5"/>
            </w:tcBorders>
            <w:vAlign w:val="center"/>
            <w:hideMark/>
          </w:tcPr>
          <w:p w14:paraId="3C9F00DB" w14:textId="77777777" w:rsidR="00996A0C" w:rsidRPr="00996A0C" w:rsidRDefault="00996A0C" w:rsidP="00996A0C">
            <w:r w:rsidRPr="00996A0C">
              <w:t>High sales do not equal high profits; Technology generates the most profit (</w:t>
            </w:r>
            <w:r w:rsidRPr="00996A0C">
              <w:rPr>
                <w:b/>
                <w:bCs/>
              </w:rPr>
              <w:t>$146,543.38</w:t>
            </w:r>
            <w:r w:rsidRPr="00996A0C">
              <w:t>), while Furniture brings in massive sales but yields negligible profit (</w:t>
            </w:r>
            <w:r w:rsidRPr="00996A0C">
              <w:rPr>
                <w:b/>
                <w:bCs/>
              </w:rPr>
              <w:t>$19,729.99</w:t>
            </w:r>
            <w:r w:rsidRPr="00996A0C">
              <w:t>).</w:t>
            </w:r>
          </w:p>
        </w:tc>
        <w:tc>
          <w:tcPr>
            <w:tcW w:w="0" w:type="auto"/>
            <w:tcBorders>
              <w:bottom w:val="single" w:sz="4" w:space="0" w:color="DCDFE5"/>
            </w:tcBorders>
            <w:vAlign w:val="center"/>
            <w:hideMark/>
          </w:tcPr>
          <w:p w14:paraId="3AF09D16" w14:textId="77777777" w:rsidR="00996A0C" w:rsidRPr="00996A0C" w:rsidRDefault="00996A0C" w:rsidP="00996A0C">
            <w:r w:rsidRPr="00996A0C">
              <w:t>Review cost structures and pricing policies for Furniture. Highly loss-making sub-categories (like Tables and Bookcases) must be structurally optimized.</w:t>
            </w:r>
          </w:p>
        </w:tc>
      </w:tr>
      <w:tr w:rsidR="00996A0C" w:rsidRPr="00996A0C" w14:paraId="0D119F4F" w14:textId="77777777">
        <w:trPr>
          <w:tblCellSpacing w:w="15" w:type="dxa"/>
        </w:trPr>
        <w:tc>
          <w:tcPr>
            <w:tcW w:w="0" w:type="auto"/>
            <w:tcBorders>
              <w:bottom w:val="single" w:sz="4" w:space="0" w:color="DCDFE5"/>
            </w:tcBorders>
            <w:vAlign w:val="center"/>
            <w:hideMark/>
          </w:tcPr>
          <w:p w14:paraId="63E66CD7" w14:textId="77777777" w:rsidR="00996A0C" w:rsidRPr="00996A0C" w:rsidRDefault="00996A0C" w:rsidP="00996A0C">
            <w:r w:rsidRPr="00996A0C">
              <w:rPr>
                <w:b/>
                <w:bCs/>
              </w:rPr>
              <w:t>Sales &amp; Profit Distribution</w:t>
            </w:r>
          </w:p>
        </w:tc>
        <w:tc>
          <w:tcPr>
            <w:tcW w:w="0" w:type="auto"/>
            <w:tcBorders>
              <w:bottom w:val="single" w:sz="4" w:space="0" w:color="DCDFE5"/>
            </w:tcBorders>
            <w:vAlign w:val="center"/>
            <w:hideMark/>
          </w:tcPr>
          <w:p w14:paraId="19EA6DDE" w14:textId="77777777" w:rsidR="00996A0C" w:rsidRPr="00996A0C" w:rsidRDefault="00996A0C" w:rsidP="00996A0C">
            <w:r w:rsidRPr="00996A0C">
              <w:t xml:space="preserve">Distribution plots show wide variation. The overall business is healthy with a mean sale of </w:t>
            </w:r>
            <w:r w:rsidRPr="00996A0C">
              <w:rPr>
                <w:b/>
                <w:bCs/>
              </w:rPr>
              <w:t>$228.23</w:t>
            </w:r>
            <w:r w:rsidRPr="00996A0C">
              <w:t xml:space="preserve"> and an average profit of </w:t>
            </w:r>
            <w:r w:rsidRPr="00996A0C">
              <w:rPr>
                <w:b/>
                <w:bCs/>
              </w:rPr>
              <w:t>$28.67</w:t>
            </w:r>
            <w:r w:rsidRPr="00996A0C">
              <w:t xml:space="preserve"> per order.</w:t>
            </w:r>
          </w:p>
        </w:tc>
        <w:tc>
          <w:tcPr>
            <w:tcW w:w="0" w:type="auto"/>
            <w:tcBorders>
              <w:bottom w:val="single" w:sz="4" w:space="0" w:color="DCDFE5"/>
            </w:tcBorders>
            <w:vAlign w:val="center"/>
            <w:hideMark/>
          </w:tcPr>
          <w:p w14:paraId="5185977E" w14:textId="77777777" w:rsidR="00996A0C" w:rsidRPr="00996A0C" w:rsidRDefault="00996A0C" w:rsidP="00996A0C">
            <w:r w:rsidRPr="00996A0C">
              <w:t>High standard deviations and outlier values indicate extreme transactions that should be investigated to replicate high-value B2B deals.</w:t>
            </w:r>
          </w:p>
        </w:tc>
      </w:tr>
      <w:tr w:rsidR="00996A0C" w:rsidRPr="00996A0C" w14:paraId="3A4DE6A0" w14:textId="77777777">
        <w:trPr>
          <w:tblCellSpacing w:w="15" w:type="dxa"/>
        </w:trPr>
        <w:tc>
          <w:tcPr>
            <w:tcW w:w="0" w:type="auto"/>
            <w:tcBorders>
              <w:bottom w:val="single" w:sz="4" w:space="0" w:color="DCDFE5"/>
            </w:tcBorders>
            <w:vAlign w:val="center"/>
            <w:hideMark/>
          </w:tcPr>
          <w:p w14:paraId="781947B4" w14:textId="77777777" w:rsidR="00996A0C" w:rsidRPr="00996A0C" w:rsidRDefault="00996A0C" w:rsidP="00996A0C">
            <w:r w:rsidRPr="00996A0C">
              <w:rPr>
                <w:b/>
                <w:bCs/>
              </w:rPr>
              <w:t>Discount vs Profit</w:t>
            </w:r>
          </w:p>
        </w:tc>
        <w:tc>
          <w:tcPr>
            <w:tcW w:w="0" w:type="auto"/>
            <w:tcBorders>
              <w:bottom w:val="single" w:sz="4" w:space="0" w:color="DCDFE5"/>
            </w:tcBorders>
            <w:vAlign w:val="center"/>
            <w:hideMark/>
          </w:tcPr>
          <w:p w14:paraId="7CE0B275" w14:textId="77777777" w:rsidR="00996A0C" w:rsidRPr="00996A0C" w:rsidRDefault="00996A0C" w:rsidP="00996A0C">
            <w:r w:rsidRPr="00996A0C">
              <w:t>Higher discounts heavily compress profit margins; average profit is highest (</w:t>
            </w:r>
            <w:r w:rsidRPr="00996A0C">
              <w:rPr>
                <w:b/>
                <w:bCs/>
              </w:rPr>
              <w:t>$94.79</w:t>
            </w:r>
            <w:r w:rsidRPr="00996A0C">
              <w:t>) at a 10% discount but drops into steep negative losses past 30%.</w:t>
            </w:r>
          </w:p>
        </w:tc>
        <w:tc>
          <w:tcPr>
            <w:tcW w:w="0" w:type="auto"/>
            <w:tcBorders>
              <w:bottom w:val="single" w:sz="4" w:space="0" w:color="DCDFE5"/>
            </w:tcBorders>
            <w:vAlign w:val="center"/>
            <w:hideMark/>
          </w:tcPr>
          <w:p w14:paraId="532B2C43" w14:textId="77777777" w:rsidR="00996A0C" w:rsidRPr="00996A0C" w:rsidRDefault="00996A0C" w:rsidP="00996A0C">
            <w:r w:rsidRPr="00996A0C">
              <w:t>Strict discount controls are necessary to prevent aggressive promotions from creating major profit leaks on low-margin products.</w:t>
            </w:r>
          </w:p>
        </w:tc>
      </w:tr>
      <w:tr w:rsidR="00996A0C" w:rsidRPr="00996A0C" w14:paraId="35E32FFD" w14:textId="77777777">
        <w:trPr>
          <w:tblCellSpacing w:w="15" w:type="dxa"/>
        </w:trPr>
        <w:tc>
          <w:tcPr>
            <w:tcW w:w="0" w:type="auto"/>
            <w:tcBorders>
              <w:bottom w:val="single" w:sz="4" w:space="0" w:color="DCDFE5"/>
            </w:tcBorders>
            <w:vAlign w:val="center"/>
            <w:hideMark/>
          </w:tcPr>
          <w:p w14:paraId="59954B42" w14:textId="77777777" w:rsidR="00996A0C" w:rsidRPr="00996A0C" w:rsidRDefault="00996A0C" w:rsidP="00996A0C">
            <w:r w:rsidRPr="00996A0C">
              <w:rPr>
                <w:b/>
                <w:bCs/>
              </w:rPr>
              <w:lastRenderedPageBreak/>
              <w:t>Regional Performance</w:t>
            </w:r>
          </w:p>
        </w:tc>
        <w:tc>
          <w:tcPr>
            <w:tcW w:w="0" w:type="auto"/>
            <w:tcBorders>
              <w:bottom w:val="single" w:sz="4" w:space="0" w:color="DCDFE5"/>
            </w:tcBorders>
            <w:vAlign w:val="center"/>
            <w:hideMark/>
          </w:tcPr>
          <w:p w14:paraId="4F751996" w14:textId="77777777" w:rsidR="00996A0C" w:rsidRPr="00996A0C" w:rsidRDefault="00996A0C" w:rsidP="00996A0C">
            <w:r w:rsidRPr="00996A0C">
              <w:t xml:space="preserve">Profit contribution varies highly by geography. The </w:t>
            </w:r>
            <w:r w:rsidRPr="00996A0C">
              <w:rPr>
                <w:b/>
                <w:bCs/>
              </w:rPr>
              <w:t>West leads with $110,798.82</w:t>
            </w:r>
            <w:r w:rsidRPr="00996A0C">
              <w:t>, followed by the East ($94,883.26), South ($46,749.43), and Central ($39,865.31).</w:t>
            </w:r>
          </w:p>
        </w:tc>
        <w:tc>
          <w:tcPr>
            <w:tcW w:w="0" w:type="auto"/>
            <w:tcBorders>
              <w:bottom w:val="single" w:sz="4" w:space="0" w:color="DCDFE5"/>
            </w:tcBorders>
            <w:vAlign w:val="center"/>
            <w:hideMark/>
          </w:tcPr>
          <w:p w14:paraId="5A637DEF" w14:textId="77777777" w:rsidR="00996A0C" w:rsidRPr="00996A0C" w:rsidRDefault="00996A0C" w:rsidP="00996A0C">
            <w:r w:rsidRPr="00996A0C">
              <w:t>Replicate the successful sales mix and operational strategies used in the West and East to improve margins in weaker regions.</w:t>
            </w:r>
          </w:p>
        </w:tc>
      </w:tr>
      <w:tr w:rsidR="00996A0C" w:rsidRPr="00996A0C" w14:paraId="7F5EC3F7" w14:textId="77777777">
        <w:trPr>
          <w:tblCellSpacing w:w="15" w:type="dxa"/>
        </w:trPr>
        <w:tc>
          <w:tcPr>
            <w:tcW w:w="0" w:type="auto"/>
            <w:tcBorders>
              <w:bottom w:val="nil"/>
            </w:tcBorders>
            <w:vAlign w:val="center"/>
            <w:hideMark/>
          </w:tcPr>
          <w:p w14:paraId="67B4C18B" w14:textId="77777777" w:rsidR="00996A0C" w:rsidRPr="00996A0C" w:rsidRDefault="00996A0C" w:rsidP="00996A0C">
            <w:r w:rsidRPr="00996A0C">
              <w:rPr>
                <w:b/>
                <w:bCs/>
              </w:rPr>
              <w:t>Correlation Analysis</w:t>
            </w:r>
          </w:p>
        </w:tc>
        <w:tc>
          <w:tcPr>
            <w:tcW w:w="0" w:type="auto"/>
            <w:tcBorders>
              <w:bottom w:val="nil"/>
            </w:tcBorders>
            <w:vAlign w:val="center"/>
            <w:hideMark/>
          </w:tcPr>
          <w:p w14:paraId="1C71DA06" w14:textId="77777777" w:rsidR="00996A0C" w:rsidRPr="00996A0C" w:rsidRDefault="00996A0C" w:rsidP="00996A0C">
            <w:r w:rsidRPr="00996A0C">
              <w:t>Sales and Profit show a positive correlation, whereas Discount shows a strong negative relationship with bottom-line profitability.</w:t>
            </w:r>
          </w:p>
        </w:tc>
        <w:tc>
          <w:tcPr>
            <w:tcW w:w="0" w:type="auto"/>
            <w:tcBorders>
              <w:bottom w:val="nil"/>
            </w:tcBorders>
            <w:vAlign w:val="center"/>
            <w:hideMark/>
          </w:tcPr>
          <w:p w14:paraId="56C5DA91" w14:textId="77777777" w:rsidR="00996A0C" w:rsidRPr="00996A0C" w:rsidRDefault="00996A0C" w:rsidP="00996A0C">
            <w:r w:rsidRPr="00996A0C">
              <w:t>Focus strategic forecasting and business decisions heavily around regulating discounts rather than just scaling overall transaction quantity.</w:t>
            </w:r>
          </w:p>
        </w:tc>
      </w:tr>
    </w:tbl>
    <w:p w14:paraId="7190CC05" w14:textId="0BDC6BB0" w:rsidR="00996A0C" w:rsidRPr="00996A0C" w:rsidRDefault="00996A0C" w:rsidP="00996A0C"/>
    <w:p w14:paraId="5AEFCE3B" w14:textId="77777777" w:rsidR="00996A0C" w:rsidRPr="00996A0C" w:rsidRDefault="00996A0C" w:rsidP="00996A0C">
      <w:pPr>
        <w:rPr>
          <w:b/>
          <w:bCs/>
        </w:rPr>
      </w:pPr>
      <w:r w:rsidRPr="00996A0C">
        <w:rPr>
          <w:b/>
          <w:bCs/>
        </w:rPr>
        <w:t>DISCOUNT AND PROFIT ANALYSIS</w:t>
      </w:r>
    </w:p>
    <w:p w14:paraId="3CC7955C" w14:textId="77777777" w:rsidR="00996A0C" w:rsidRPr="00996A0C" w:rsidRDefault="00996A0C" w:rsidP="00996A0C">
      <w:r w:rsidRPr="00996A0C">
        <w:t xml:space="preserve">The scatter plot and grouped average analysis of Discount versus Profit show that discounting directly controls business profitability. When discounts are kept at </w:t>
      </w:r>
      <w:r w:rsidRPr="00996A0C">
        <w:rPr>
          <w:b/>
          <w:bCs/>
        </w:rPr>
        <w:t>0% to 10%</w:t>
      </w:r>
      <w:r w:rsidRPr="00996A0C">
        <w:t xml:space="preserve">, transactions yield strong average profits between </w:t>
      </w:r>
      <w:r w:rsidRPr="00996A0C">
        <w:rPr>
          <w:b/>
          <w:bCs/>
        </w:rPr>
        <w:t>$66.34 and $94.79</w:t>
      </w:r>
      <w:r w:rsidRPr="00996A0C">
        <w:t xml:space="preserve">. However, at a </w:t>
      </w:r>
      <w:r w:rsidRPr="00996A0C">
        <w:rPr>
          <w:b/>
          <w:bCs/>
        </w:rPr>
        <w:t>20% discount</w:t>
      </w:r>
      <w:r w:rsidRPr="00996A0C">
        <w:t xml:space="preserve">, profitability plummets to just </w:t>
      </w:r>
      <w:r w:rsidRPr="00996A0C">
        <w:rPr>
          <w:b/>
          <w:bCs/>
        </w:rPr>
        <w:t>$24.58</w:t>
      </w:r>
      <w:r w:rsidRPr="00996A0C">
        <w:t xml:space="preserve"> per order. Any discount at </w:t>
      </w:r>
      <w:r w:rsidRPr="00996A0C">
        <w:rPr>
          <w:b/>
          <w:bCs/>
        </w:rPr>
        <w:t>30% or greater triggers aggregate net losses</w:t>
      </w:r>
      <w:r w:rsidRPr="00996A0C">
        <w:t xml:space="preserve"> for the store, with the absolute worst profit erosion occurring at the 50% discount threshold, which loses an average of </w:t>
      </w:r>
      <w:r w:rsidRPr="00996A0C">
        <w:rPr>
          <w:b/>
          <w:bCs/>
        </w:rPr>
        <w:t>-$310.70</w:t>
      </w:r>
      <w:r w:rsidRPr="00996A0C">
        <w:t xml:space="preserve"> per transaction. This indicates that discount thresholds must be structurally limited to preserve the company's financial health.</w:t>
      </w:r>
    </w:p>
    <w:p w14:paraId="4FB9C1CA" w14:textId="221BF8C9" w:rsidR="00996A0C" w:rsidRPr="00996A0C" w:rsidRDefault="00996A0C" w:rsidP="00996A0C"/>
    <w:p w14:paraId="244C3448" w14:textId="77777777" w:rsidR="00996A0C" w:rsidRPr="00996A0C" w:rsidRDefault="00996A0C" w:rsidP="00996A0C">
      <w:pPr>
        <w:rPr>
          <w:b/>
          <w:bCs/>
        </w:rPr>
      </w:pPr>
      <w:r w:rsidRPr="00996A0C">
        <w:rPr>
          <w:b/>
          <w:bCs/>
        </w:rPr>
        <w:t>MAJOR BUSINESS INSIGHTS</w:t>
      </w:r>
    </w:p>
    <w:p w14:paraId="1A7E7617" w14:textId="77777777" w:rsidR="00996A0C" w:rsidRPr="00996A0C" w:rsidRDefault="00996A0C" w:rsidP="00996A0C">
      <w:pPr>
        <w:numPr>
          <w:ilvl w:val="0"/>
          <w:numId w:val="1"/>
        </w:numPr>
      </w:pPr>
      <w:r w:rsidRPr="00996A0C">
        <w:rPr>
          <w:b/>
          <w:bCs/>
        </w:rPr>
        <w:t>High volume does not guarantee profitability:</w:t>
      </w:r>
      <w:r w:rsidRPr="00996A0C">
        <w:t xml:space="preserve"> Furniture brings in substantial revenue but fails to deliver realistic profit margins due to operational inefficiencies.</w:t>
      </w:r>
    </w:p>
    <w:p w14:paraId="00851239" w14:textId="77777777" w:rsidR="00996A0C" w:rsidRPr="00996A0C" w:rsidRDefault="00996A0C" w:rsidP="00996A0C">
      <w:pPr>
        <w:numPr>
          <w:ilvl w:val="0"/>
          <w:numId w:val="1"/>
        </w:numPr>
      </w:pPr>
      <w:r w:rsidRPr="00996A0C">
        <w:rPr>
          <w:b/>
          <w:bCs/>
        </w:rPr>
        <w:t>Severe profit leaks in sub-categories:</w:t>
      </w:r>
      <w:r w:rsidRPr="00996A0C">
        <w:t xml:space="preserve"> Specific product types (such as Tables and Bookcases) drain the cash flow generated by stable performers like Copiers and Office Supplies.</w:t>
      </w:r>
    </w:p>
    <w:p w14:paraId="0C18BB39" w14:textId="77777777" w:rsidR="00996A0C" w:rsidRPr="00996A0C" w:rsidRDefault="00996A0C" w:rsidP="00996A0C">
      <w:pPr>
        <w:numPr>
          <w:ilvl w:val="0"/>
          <w:numId w:val="1"/>
        </w:numPr>
      </w:pPr>
      <w:r w:rsidRPr="00996A0C">
        <w:rPr>
          <w:b/>
          <w:bCs/>
        </w:rPr>
        <w:t>Aggressive promotions destroy value:</w:t>
      </w:r>
      <w:r w:rsidRPr="00996A0C">
        <w:t xml:space="preserve"> Offering discounts over 20% consistently results in selling items below cost price, creating severe profit loss.</w:t>
      </w:r>
    </w:p>
    <w:p w14:paraId="2BD33B1F" w14:textId="77777777" w:rsidR="00996A0C" w:rsidRPr="00996A0C" w:rsidRDefault="00996A0C" w:rsidP="00996A0C">
      <w:pPr>
        <w:numPr>
          <w:ilvl w:val="0"/>
          <w:numId w:val="1"/>
        </w:numPr>
      </w:pPr>
      <w:r w:rsidRPr="00996A0C">
        <w:rPr>
          <w:b/>
          <w:bCs/>
        </w:rPr>
        <w:t>Regional strategy mismatch:</w:t>
      </w:r>
      <w:r w:rsidRPr="00996A0C">
        <w:t xml:space="preserve"> The West and East regions are highly mature and profitable, while the Central and South regions are heavily underperforming.</w:t>
      </w:r>
    </w:p>
    <w:p w14:paraId="618FE931" w14:textId="2623F330" w:rsidR="00996A0C" w:rsidRDefault="00996A0C" w:rsidP="00996A0C"/>
    <w:p w14:paraId="33D068E8" w14:textId="77777777" w:rsidR="00996A0C" w:rsidRPr="00996A0C" w:rsidRDefault="00996A0C" w:rsidP="00996A0C"/>
    <w:p w14:paraId="68F1E596" w14:textId="77777777" w:rsidR="00996A0C" w:rsidRPr="00996A0C" w:rsidRDefault="00996A0C" w:rsidP="00996A0C">
      <w:pPr>
        <w:rPr>
          <w:b/>
          <w:bCs/>
        </w:rPr>
      </w:pPr>
      <w:r w:rsidRPr="00996A0C">
        <w:rPr>
          <w:b/>
          <w:bCs/>
        </w:rPr>
        <w:lastRenderedPageBreak/>
        <w:t>RECOMMENDATIONS</w:t>
      </w:r>
    </w:p>
    <w:p w14:paraId="2301997D" w14:textId="77777777" w:rsidR="00996A0C" w:rsidRPr="00996A0C" w:rsidRDefault="00996A0C" w:rsidP="00996A0C">
      <w:pPr>
        <w:numPr>
          <w:ilvl w:val="0"/>
          <w:numId w:val="2"/>
        </w:numPr>
      </w:pPr>
      <w:r w:rsidRPr="00996A0C">
        <w:rPr>
          <w:b/>
          <w:bCs/>
        </w:rPr>
        <w:t>Pricing &amp; Cost Audits:</w:t>
      </w:r>
      <w:r w:rsidRPr="00996A0C">
        <w:t xml:space="preserve"> Review product costing and pricing models for items with high sales volume but low net returns (particularly Furniture).</w:t>
      </w:r>
    </w:p>
    <w:p w14:paraId="0F6A1CC4" w14:textId="77777777" w:rsidR="00996A0C" w:rsidRPr="00996A0C" w:rsidRDefault="00996A0C" w:rsidP="00996A0C">
      <w:pPr>
        <w:numPr>
          <w:ilvl w:val="0"/>
          <w:numId w:val="2"/>
        </w:numPr>
      </w:pPr>
      <w:r w:rsidRPr="00996A0C">
        <w:rPr>
          <w:b/>
          <w:bCs/>
        </w:rPr>
        <w:t>Impose Hard Discount Caps:</w:t>
      </w:r>
      <w:r w:rsidRPr="00996A0C">
        <w:t xml:space="preserve"> Establish strict promotional boundaries; automatically cap customer or staff-level discounts below 20% to safeguard margins.</w:t>
      </w:r>
    </w:p>
    <w:p w14:paraId="74DE4233" w14:textId="77777777" w:rsidR="00996A0C" w:rsidRPr="00996A0C" w:rsidRDefault="00996A0C" w:rsidP="00996A0C">
      <w:pPr>
        <w:numPr>
          <w:ilvl w:val="0"/>
          <w:numId w:val="2"/>
        </w:numPr>
      </w:pPr>
      <w:r w:rsidRPr="00996A0C">
        <w:rPr>
          <w:b/>
          <w:bCs/>
        </w:rPr>
        <w:t>Product Line Management:</w:t>
      </w:r>
      <w:r w:rsidRPr="00996A0C">
        <w:t xml:space="preserve"> Intervene directly in consistently loss-making sub-categories by renegotiating vendor prices or adjusting retail margins.</w:t>
      </w:r>
    </w:p>
    <w:p w14:paraId="0D9E84CF" w14:textId="77777777" w:rsidR="00996A0C" w:rsidRPr="00996A0C" w:rsidRDefault="00996A0C" w:rsidP="00996A0C">
      <w:pPr>
        <w:numPr>
          <w:ilvl w:val="0"/>
          <w:numId w:val="2"/>
        </w:numPr>
      </w:pPr>
      <w:r w:rsidRPr="00996A0C">
        <w:rPr>
          <w:b/>
          <w:bCs/>
        </w:rPr>
        <w:t>Geographic Expansion:</w:t>
      </w:r>
      <w:r w:rsidRPr="00996A0C">
        <w:t xml:space="preserve"> Reallocate high-margin inventory and marketing resources to the West and East regions while troubleshooting operations in the Central region.</w:t>
      </w:r>
    </w:p>
    <w:p w14:paraId="1559AA6E" w14:textId="77777777" w:rsidR="00996A0C" w:rsidRPr="00996A0C" w:rsidRDefault="00996A0C" w:rsidP="00996A0C">
      <w:pPr>
        <w:numPr>
          <w:ilvl w:val="0"/>
          <w:numId w:val="2"/>
        </w:numPr>
      </w:pPr>
      <w:r w:rsidRPr="00996A0C">
        <w:rPr>
          <w:b/>
          <w:bCs/>
        </w:rPr>
        <w:t>Integrated Dashboards:</w:t>
      </w:r>
      <w:r w:rsidRPr="00996A0C">
        <w:t xml:space="preserve"> Implement cross-functional operational dashboards that dynamically track Sales, Discount, and Profit together in real-time.</w:t>
      </w:r>
    </w:p>
    <w:p w14:paraId="2BEBFE67" w14:textId="5D555F9A" w:rsidR="00996A0C" w:rsidRPr="00996A0C" w:rsidRDefault="00996A0C" w:rsidP="00996A0C"/>
    <w:p w14:paraId="178B70FD" w14:textId="77777777" w:rsidR="00996A0C" w:rsidRPr="00996A0C" w:rsidRDefault="00996A0C" w:rsidP="00996A0C">
      <w:pPr>
        <w:rPr>
          <w:b/>
          <w:bCs/>
        </w:rPr>
      </w:pPr>
      <w:r w:rsidRPr="00996A0C">
        <w:rPr>
          <w:b/>
          <w:bCs/>
        </w:rPr>
        <w:t>CONCLUSION</w:t>
      </w:r>
    </w:p>
    <w:p w14:paraId="5B7A5CE5" w14:textId="77777777" w:rsidR="00996A0C" w:rsidRPr="00996A0C" w:rsidRDefault="00996A0C" w:rsidP="00996A0C">
      <w:r w:rsidRPr="00996A0C">
        <w:t>The analysis demonstrates that deep data visualization and metric relationship testing provide critical business clarity that raw financial summaries miss. The Superstore dataset highlights the vital importance of balancing top-line revenue growth with strict baseline profitability. By enforcing a controlled discount strategy, re-evaluating product pricing, and applying localized regional monitoring, the business can plug its current profit leaks and secure sustainable long-term scaling.</w:t>
      </w:r>
    </w:p>
    <w:p w14:paraId="170F8443" w14:textId="77777777" w:rsidR="00996A0C" w:rsidRDefault="00996A0C"/>
    <w:sectPr w:rsidR="00996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2F0"/>
    <w:multiLevelType w:val="multilevel"/>
    <w:tmpl w:val="F9FC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676525"/>
    <w:multiLevelType w:val="multilevel"/>
    <w:tmpl w:val="288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771841">
    <w:abstractNumId w:val="0"/>
  </w:num>
  <w:num w:numId="2" w16cid:durableId="535629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A0C"/>
    <w:rsid w:val="00996A0C"/>
    <w:rsid w:val="009E7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BA1A"/>
  <w15:chartTrackingRefBased/>
  <w15:docId w15:val="{96449F60-5711-4031-AF1A-2726CE92C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A0C"/>
    <w:rPr>
      <w:rFonts w:eastAsiaTheme="majorEastAsia" w:cstheme="majorBidi"/>
      <w:color w:val="272727" w:themeColor="text1" w:themeTint="D8"/>
    </w:rPr>
  </w:style>
  <w:style w:type="paragraph" w:styleId="Title">
    <w:name w:val="Title"/>
    <w:basedOn w:val="Normal"/>
    <w:next w:val="Normal"/>
    <w:link w:val="TitleChar"/>
    <w:uiPriority w:val="10"/>
    <w:qFormat/>
    <w:rsid w:val="00996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A0C"/>
    <w:pPr>
      <w:spacing w:before="160"/>
      <w:jc w:val="center"/>
    </w:pPr>
    <w:rPr>
      <w:i/>
      <w:iCs/>
      <w:color w:val="404040" w:themeColor="text1" w:themeTint="BF"/>
    </w:rPr>
  </w:style>
  <w:style w:type="character" w:customStyle="1" w:styleId="QuoteChar">
    <w:name w:val="Quote Char"/>
    <w:basedOn w:val="DefaultParagraphFont"/>
    <w:link w:val="Quote"/>
    <w:uiPriority w:val="29"/>
    <w:rsid w:val="00996A0C"/>
    <w:rPr>
      <w:i/>
      <w:iCs/>
      <w:color w:val="404040" w:themeColor="text1" w:themeTint="BF"/>
    </w:rPr>
  </w:style>
  <w:style w:type="paragraph" w:styleId="ListParagraph">
    <w:name w:val="List Paragraph"/>
    <w:basedOn w:val="Normal"/>
    <w:uiPriority w:val="34"/>
    <w:qFormat/>
    <w:rsid w:val="00996A0C"/>
    <w:pPr>
      <w:ind w:left="720"/>
      <w:contextualSpacing/>
    </w:pPr>
  </w:style>
  <w:style w:type="character" w:styleId="IntenseEmphasis">
    <w:name w:val="Intense Emphasis"/>
    <w:basedOn w:val="DefaultParagraphFont"/>
    <w:uiPriority w:val="21"/>
    <w:qFormat/>
    <w:rsid w:val="00996A0C"/>
    <w:rPr>
      <w:i/>
      <w:iCs/>
      <w:color w:val="0F4761" w:themeColor="accent1" w:themeShade="BF"/>
    </w:rPr>
  </w:style>
  <w:style w:type="paragraph" w:styleId="IntenseQuote">
    <w:name w:val="Intense Quote"/>
    <w:basedOn w:val="Normal"/>
    <w:next w:val="Normal"/>
    <w:link w:val="IntenseQuoteChar"/>
    <w:uiPriority w:val="30"/>
    <w:qFormat/>
    <w:rsid w:val="00996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A0C"/>
    <w:rPr>
      <w:i/>
      <w:iCs/>
      <w:color w:val="0F4761" w:themeColor="accent1" w:themeShade="BF"/>
    </w:rPr>
  </w:style>
  <w:style w:type="character" w:styleId="IntenseReference">
    <w:name w:val="Intense Reference"/>
    <w:basedOn w:val="DefaultParagraphFont"/>
    <w:uiPriority w:val="32"/>
    <w:qFormat/>
    <w:rsid w:val="00996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737</Words>
  <Characters>4201</Characters>
  <Application>Microsoft Office Word</Application>
  <DocSecurity>0</DocSecurity>
  <Lines>35</Lines>
  <Paragraphs>9</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MADHUMITHA M</dc:creator>
  <cp:keywords/>
  <dc:description/>
  <cp:lastModifiedBy>MADHUMITHA M</cp:lastModifiedBy>
  <cp:revision>1</cp:revision>
  <dcterms:created xsi:type="dcterms:W3CDTF">2026-09-30T07:39:00Z</dcterms:created>
  <dcterms:modified xsi:type="dcterms:W3CDTF">2026-09-30T07:41:00Z</dcterms:modified>
</cp:coreProperties>
</file>