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before="0" w:after="40" w:line="276" w:lineRule="auto"/>
      </w:pPr>
      <w:r>
        <w:rPr>
          <w:rFonts w:ascii="IBM Plex Sans" w:hAnsi="IBM Plex Sans" w:cs="IBM Plex Sans"/>
          <w:b/>
          <w:bCs/>
          <w:color w:val="1F3864"/>
          <w:sz w:val="56"/>
          <w:szCs w:val="56"/>
        </w:rPr>
        <w:t xml:space="preserve">Northwind Analytics</w:t>
      </w:r>
    </w:p>
    <w:p>
      <w:pPr>
        <w:spacing w:before="0" w:after="400" w:line="276" w:lineRule="auto"/>
      </w:pPr>
      <w:r>
        <w:rPr>
          <w:rFonts w:ascii="IBM Plex Sans" w:hAnsi="IBM Plex Sans" w:cs="IBM Plex Sans"/>
          <w:color w:val="2E74B5"/>
          <w:sz w:val="24"/>
          <w:szCs w:val="24"/>
        </w:rPr>
        <w:t xml:space="preserve">Brand Guidelines — Edition 4, 2026</w:t>
      </w:r>
    </w:p>
    <w:p>
      <w:pPr>
        <w:spacing w:before="200" w:after="140" w:line="276" w:lineRule="auto"/>
      </w:pPr>
      <w:r>
        <w:rPr>
          <w:rFonts w:ascii="IBM Plex Sans" w:hAnsi="IBM Plex Sans" w:cs="IBM Plex Sans"/>
          <w:b/>
          <w:bCs/>
          <w:color w:val="1F3864"/>
          <w:sz w:val="32"/>
          <w:szCs w:val="32"/>
        </w:rPr>
        <w:t xml:space="preserve">1.  Identity</w:t>
      </w:r>
    </w:p>
    <w:p>
      <w:pPr>
        <w:spacing w:before="0" w:after="120" w:line="276" w:lineRule="auto"/>
      </w:pPr>
      <w:r>
        <w:rPr>
          <w:rFonts w:ascii="IBM Plex Sans" w:hAnsi="IBM Plex Sans" w:cs="IBM Plex Sans"/>
          <w:color w:val="404040"/>
          <w:sz w:val="22"/>
          <w:szCs w:val="22"/>
        </w:rPr>
        <w:t xml:space="preserve">The Northwind identity is three colours and one typeface. Every report, proposal and deck that leaves the company uses them, so a reader recognises the source of a document before reading a word of it.</w:t>
      </w:r>
    </w:p>
    <w:p>
      <w:pPr>
        <w:shd w:val="clear" w:color="auto" w:fill="F2F2F2"/>
        <w:spacing w:before="120" w:after="200" w:line="276" w:lineRule="auto"/>
      </w:pPr>
      <w:r>
        <w:rPr>
          <w:rFonts w:ascii="IBM Plex Sans" w:hAnsi="IBM Plex Sans" w:cs="IBM Plex Sans"/>
          <w:i/>
          <w:color w:val="C55A11"/>
          <w:sz w:val="22"/>
          <w:szCs w:val="22"/>
        </w:rPr>
        <w:t xml:space="preserve">Applied consistently, the palette does more work than a logo. It is the part of the identity that survives printing, forwarding and being pasted into someone else’s slide deck.</w:t>
      </w:r>
    </w:p>
    <w:p>
      <w:pPr>
        <w:spacing w:before="200" w:after="140" w:line="276" w:lineRule="auto"/>
      </w:pPr>
      <w:r>
        <w:rPr>
          <w:rFonts w:ascii="IBM Plex Sans" w:hAnsi="IBM Plex Sans" w:cs="IBM Plex Sans"/>
          <w:b/>
          <w:bCs/>
          <w:color w:val="1F3864"/>
          <w:sz w:val="32"/>
          <w:szCs w:val="32"/>
        </w:rPr>
        <w:t xml:space="preserve">2.  Colour</w:t>
      </w:r>
    </w:p>
    <w:p>
      <w:pPr>
        <w:spacing w:before="0" w:after="160" w:line="276" w:lineRule="auto"/>
      </w:pPr>
      <w:r>
        <w:rPr>
          <w:rFonts w:ascii="IBM Plex Sans" w:hAnsi="IBM Plex Sans" w:cs="IBM Plex Sans"/>
          <w:color w:val="404040"/>
          <w:sz w:val="22"/>
          <w:szCs w:val="22"/>
        </w:rPr>
        <w:t xml:space="preserve">Primary navy carries headings and structure. Secondary blue is for sub-headings and links. Accent orange marks emphasis and is used sparingly — roughly one element per page.</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00"/>
        <w:gridCol w:w="1800"/>
        <w:gridCol w:w="5360"/>
      </w:tblGrid>
      <w:tr>
        <w:tc>
          <w:tcPr>
            <w:tcW w:w="2200" w:type="dxa"/>
            <w:shd w:val="clear" w:color="auto" w:fill="1F3864"/>
            <w:vAlign w:val="center"/>
          </w:tcPr>
          <w:p>
            <w:pPr>
              <w:spacing w:before="0" w:after="40" w:line="240" w:lineRule="auto"/>
            </w:pPr>
            <w:r>
              <w:rPr>
                <w:rFonts w:ascii="IBM Plex Sans" w:hAnsi="IBM Plex Sans" w:cs="IBM Plex Sans"/>
                <w:b/>
                <w:bCs/>
                <w:color w:val="FFFFFF"/>
                <w:sz w:val="20"/>
                <w:szCs w:val="20"/>
              </w:rPr>
              <w:t xml:space="preserve">Role</w:t>
            </w:r>
          </w:p>
        </w:tc>
        <w:tc>
          <w:tcPr>
            <w:tcW w:w="1800" w:type="dxa"/>
            <w:shd w:val="clear" w:color="auto" w:fill="1F3864"/>
            <w:vAlign w:val="center"/>
          </w:tcPr>
          <w:p>
            <w:pPr>
              <w:spacing w:before="0" w:after="40" w:line="240" w:lineRule="auto"/>
            </w:pPr>
            <w:r>
              <w:rPr>
                <w:rFonts w:ascii="IBM Plex Sans" w:hAnsi="IBM Plex Sans" w:cs="IBM Plex Sans"/>
                <w:b/>
                <w:bCs/>
                <w:color w:val="FFFFFF"/>
                <w:sz w:val="20"/>
                <w:szCs w:val="20"/>
              </w:rPr>
              <w:t xml:space="preserve">Hex</w:t>
            </w:r>
          </w:p>
        </w:tc>
        <w:tc>
          <w:tcPr>
            <w:tcW w:w="5360" w:type="dxa"/>
            <w:shd w:val="clear" w:color="auto" w:fill="1F3864"/>
            <w:vAlign w:val="center"/>
          </w:tcPr>
          <w:p>
            <w:pPr>
              <w:spacing w:before="0" w:after="40" w:line="240" w:lineRule="auto"/>
            </w:pPr>
            <w:r>
              <w:rPr>
                <w:rFonts w:ascii="IBM Plex Sans" w:hAnsi="IBM Plex Sans" w:cs="IBM Plex Sans"/>
                <w:b/>
                <w:bCs/>
                <w:color w:val="FFFFFF"/>
                <w:sz w:val="20"/>
                <w:szCs w:val="20"/>
              </w:rPr>
              <w:t xml:space="preserve">Where it is used</w:t>
            </w:r>
          </w:p>
        </w:tc>
      </w:tr>
      <w:tr>
        <w:tc>
          <w:tcPr>
            <w:tcW w:w="2200" w:type="dxa"/>
            <w:vAlign w:val="center"/>
          </w:tcPr>
          <w:p>
            <w:pPr>
              <w:spacing w:before="0" w:after="40" w:line="240" w:lineRule="auto"/>
            </w:pPr>
            <w:r>
              <w:rPr>
                <w:rFonts w:ascii="IBM Plex Sans" w:hAnsi="IBM Plex Sans" w:cs="IBM Plex Sans"/>
                <w:b/>
                <w:bCs/>
                <w:color w:val="404040"/>
                <w:sz w:val="20"/>
                <w:szCs w:val="20"/>
              </w:rPr>
              <w:t xml:space="preserve">Primary</w:t>
            </w:r>
          </w:p>
        </w:tc>
        <w:tc>
          <w:tcPr>
            <w:tcW w:w="1800" w:type="dxa"/>
            <w:vAlign w:val="center"/>
          </w:tcPr>
          <w:p>
            <w:pPr>
              <w:spacing w:before="0" w:after="40" w:line="240" w:lineRule="auto"/>
            </w:pPr>
            <w:r>
              <w:rPr>
                <w:rFonts w:ascii="IBM Plex Sans" w:hAnsi="IBM Plex Sans" w:cs="IBM Plex Sans"/>
                <w:color w:val="2E74B5"/>
                <w:sz w:val="20"/>
                <w:szCs w:val="20"/>
              </w:rPr>
              <w:t xml:space="preserve">#1F3864</w:t>
            </w:r>
          </w:p>
        </w:tc>
        <w:tc>
          <w:tcPr>
            <w:tcW w:w="5360" w:type="dxa"/>
            <w:vAlign w:val="center"/>
          </w:tcPr>
          <w:p>
            <w:pPr>
              <w:spacing w:before="0" w:after="40" w:line="240" w:lineRule="auto"/>
            </w:pPr>
            <w:r>
              <w:rPr>
                <w:rFonts w:ascii="IBM Plex Sans" w:hAnsi="IBM Plex Sans" w:cs="IBM Plex Sans"/>
                <w:color w:val="404040"/>
                <w:sz w:val="20"/>
                <w:szCs w:val="20"/>
              </w:rPr>
              <w:t xml:space="preserve">Headings, rules, table headers</w:t>
            </w:r>
          </w:p>
        </w:tc>
      </w:tr>
      <w:tr>
        <w:tc>
          <w:tcPr>
            <w:tcW w:w="2200" w:type="dxa"/>
            <w:shd w:val="clear" w:color="auto" w:fill="F2F2F2"/>
            <w:vAlign w:val="center"/>
          </w:tcPr>
          <w:p>
            <w:pPr>
              <w:spacing w:before="0" w:after="40" w:line="240" w:lineRule="auto"/>
            </w:pPr>
            <w:r>
              <w:rPr>
                <w:rFonts w:ascii="IBM Plex Sans" w:hAnsi="IBM Plex Sans" w:cs="IBM Plex Sans"/>
                <w:b/>
                <w:bCs/>
                <w:color w:val="404040"/>
                <w:sz w:val="20"/>
                <w:szCs w:val="20"/>
              </w:rPr>
              <w:t xml:space="preserve">Secondary</w:t>
            </w:r>
          </w:p>
        </w:tc>
        <w:tc>
          <w:tcPr>
            <w:tcW w:w="1800" w:type="dxa"/>
            <w:shd w:val="clear" w:color="auto" w:fill="F2F2F2"/>
            <w:vAlign w:val="center"/>
          </w:tcPr>
          <w:p>
            <w:pPr>
              <w:spacing w:before="0" w:after="40" w:line="240" w:lineRule="auto"/>
            </w:pPr>
            <w:r>
              <w:rPr>
                <w:rFonts w:ascii="IBM Plex Sans" w:hAnsi="IBM Plex Sans" w:cs="IBM Plex Sans"/>
                <w:color w:val="2E74B5"/>
                <w:sz w:val="20"/>
                <w:szCs w:val="20"/>
              </w:rPr>
              <w:t xml:space="preserve">#2E74B5</w:t>
            </w:r>
          </w:p>
        </w:tc>
        <w:tc>
          <w:tcPr>
            <w:tcW w:w="5360" w:type="dxa"/>
            <w:shd w:val="clear" w:color="auto" w:fill="F2F2F2"/>
            <w:vAlign w:val="center"/>
          </w:tcPr>
          <w:p>
            <w:pPr>
              <w:spacing w:before="0" w:after="40" w:line="240" w:lineRule="auto"/>
            </w:pPr>
            <w:r>
              <w:rPr>
                <w:rFonts w:ascii="IBM Plex Sans" w:hAnsi="IBM Plex Sans" w:cs="IBM Plex Sans"/>
                <w:color w:val="404040"/>
                <w:sz w:val="20"/>
                <w:szCs w:val="20"/>
              </w:rPr>
              <w:t xml:space="preserve">Sub-headings and links</w:t>
            </w:r>
          </w:p>
        </w:tc>
      </w:tr>
      <w:tr>
        <w:tc>
          <w:tcPr>
            <w:tcW w:w="2200" w:type="dxa"/>
            <w:vAlign w:val="center"/>
          </w:tcPr>
          <w:p>
            <w:pPr>
              <w:spacing w:before="0" w:after="40" w:line="240" w:lineRule="auto"/>
            </w:pPr>
            <w:r>
              <w:rPr>
                <w:rFonts w:ascii="IBM Plex Sans" w:hAnsi="IBM Plex Sans" w:cs="IBM Plex Sans"/>
                <w:b/>
                <w:bCs/>
                <w:color w:val="404040"/>
                <w:sz w:val="20"/>
                <w:szCs w:val="20"/>
              </w:rPr>
              <w:t xml:space="preserve">Accent</w:t>
            </w:r>
          </w:p>
        </w:tc>
        <w:tc>
          <w:tcPr>
            <w:tcW w:w="1800" w:type="dxa"/>
            <w:vAlign w:val="center"/>
          </w:tcPr>
          <w:p>
            <w:pPr>
              <w:spacing w:before="0" w:after="40" w:line="240" w:lineRule="auto"/>
            </w:pPr>
            <w:r>
              <w:rPr>
                <w:rFonts w:ascii="IBM Plex Sans" w:hAnsi="IBM Plex Sans" w:cs="IBM Plex Sans"/>
                <w:color w:val="2E74B5"/>
                <w:sz w:val="20"/>
                <w:szCs w:val="20"/>
              </w:rPr>
              <w:t xml:space="preserve">#C55A11</w:t>
            </w:r>
          </w:p>
        </w:tc>
        <w:tc>
          <w:tcPr>
            <w:tcW w:w="5360" w:type="dxa"/>
            <w:vAlign w:val="center"/>
          </w:tcPr>
          <w:p>
            <w:pPr>
              <w:spacing w:before="0" w:after="40" w:line="240" w:lineRule="auto"/>
            </w:pPr>
            <w:r>
              <w:rPr>
                <w:rFonts w:ascii="IBM Plex Sans" w:hAnsi="IBM Plex Sans" w:cs="IBM Plex Sans"/>
                <w:color w:val="404040"/>
                <w:sz w:val="20"/>
                <w:szCs w:val="20"/>
              </w:rPr>
              <w:t xml:space="preserve">Emphasis, callouts, chart highlights</w:t>
            </w:r>
          </w:p>
        </w:tc>
      </w:tr>
      <w:tr>
        <w:tc>
          <w:tcPr>
            <w:tcW w:w="2200" w:type="dxa"/>
            <w:shd w:val="clear" w:color="auto" w:fill="F2F2F2"/>
            <w:vAlign w:val="center"/>
          </w:tcPr>
          <w:p>
            <w:pPr>
              <w:spacing w:before="0" w:after="40" w:line="240" w:lineRule="auto"/>
            </w:pPr>
            <w:r>
              <w:rPr>
                <w:rFonts w:ascii="IBM Plex Sans" w:hAnsi="IBM Plex Sans" w:cs="IBM Plex Sans"/>
                <w:b/>
                <w:bCs/>
                <w:color w:val="404040"/>
                <w:sz w:val="20"/>
                <w:szCs w:val="20"/>
              </w:rPr>
              <w:t xml:space="preserve">Surface</w:t>
            </w:r>
          </w:p>
        </w:tc>
        <w:tc>
          <w:tcPr>
            <w:tcW w:w="1800" w:type="dxa"/>
            <w:shd w:val="clear" w:color="auto" w:fill="F2F2F2"/>
            <w:vAlign w:val="center"/>
          </w:tcPr>
          <w:p>
            <w:pPr>
              <w:spacing w:before="0" w:after="40" w:line="240" w:lineRule="auto"/>
            </w:pPr>
            <w:r>
              <w:rPr>
                <w:rFonts w:ascii="IBM Plex Sans" w:hAnsi="IBM Plex Sans" w:cs="IBM Plex Sans"/>
                <w:color w:val="2E74B5"/>
                <w:sz w:val="20"/>
                <w:szCs w:val="20"/>
              </w:rPr>
              <w:t xml:space="preserve">#F2F2F2</w:t>
            </w:r>
          </w:p>
        </w:tc>
        <w:tc>
          <w:tcPr>
            <w:tcW w:w="5360" w:type="dxa"/>
            <w:shd w:val="clear" w:color="auto" w:fill="F2F2F2"/>
            <w:vAlign w:val="center"/>
          </w:tcPr>
          <w:p>
            <w:pPr>
              <w:spacing w:before="0" w:after="40" w:line="240" w:lineRule="auto"/>
            </w:pPr>
            <w:r>
              <w:rPr>
                <w:rFonts w:ascii="IBM Plex Sans" w:hAnsi="IBM Plex Sans" w:cs="IBM Plex Sans"/>
                <w:color w:val="404040"/>
                <w:sz w:val="20"/>
                <w:szCs w:val="20"/>
              </w:rPr>
              <w:t xml:space="preserve">Callout and sidebar backgrounds</w:t>
            </w:r>
          </w:p>
        </w:tc>
      </w:tr>
    </w:tbl>
    <w:p>
      <w:pPr>
        <w:spacing w:before="320" w:after="140" w:line="276" w:lineRule="auto"/>
      </w:pPr>
      <w:r>
        <w:rPr>
          <w:rFonts w:ascii="IBM Plex Sans" w:hAnsi="IBM Plex Sans" w:cs="IBM Plex Sans"/>
          <w:b/>
          <w:bCs/>
          <w:color w:val="1F3864"/>
          <w:sz w:val="32"/>
          <w:szCs w:val="32"/>
        </w:rPr>
        <w:t xml:space="preserve">3.  Typography</w:t>
      </w:r>
    </w:p>
    <w:p>
      <w:pPr>
        <w:spacing w:before="0" w:after="120" w:line="276" w:lineRule="auto"/>
      </w:pPr>
      <w:r>
        <w:rPr>
          <w:rFonts w:ascii="IBM Plex Sans" w:hAnsi="IBM Plex Sans" w:cs="IBM Plex Sans"/>
          <w:color w:val="404040"/>
          <w:sz w:val="22"/>
          <w:szCs w:val="22"/>
        </w:rPr>
        <w:t xml:space="preserve">One family across the whole system, in three weights. Headings are set in semibold, body text in regular, and captions in regular at a smaller size. Mixing families is the fastest way to make a document look assembled rather than written.</w:t>
      </w:r>
    </w:p>
    <w:p>
      <w:r>
        <w:br w:type="page"/>
      </w:r>
    </w:p>
    <w:p>
      <w:pPr>
        <w:spacing w:before="0" w:after="140" w:line="276" w:lineRule="auto"/>
      </w:pPr>
      <w:r>
        <w:rPr>
          <w:rFonts w:ascii="IBM Plex Sans" w:hAnsi="IBM Plex Sans" w:cs="IBM Plex Sans"/>
          <w:b/>
          <w:bCs/>
          <w:color w:val="1F3864"/>
          <w:sz w:val="32"/>
          <w:szCs w:val="32"/>
        </w:rPr>
        <w:t xml:space="preserve">4.  Documents</w:t>
      </w:r>
    </w:p>
    <w:p>
      <w:pPr>
        <w:spacing w:before="0" w:after="120" w:line="276" w:lineRule="auto"/>
      </w:pPr>
      <w:r>
        <w:rPr>
          <w:rFonts w:ascii="IBM Plex Sans" w:hAnsi="IBM Plex Sans" w:cs="IBM Plex Sans"/>
          <w:color w:val="404040"/>
          <w:sz w:val="22"/>
          <w:szCs w:val="22"/>
        </w:rPr>
        <w:t xml:space="preserve">Templates for reports, proposals and letters are maintained by the design team. Where an older document has to be reused, its colours and fonts are brought up to the current edition before it is sent.</w:t>
      </w:r>
    </w:p>
    <w:p>
      <w:pPr>
        <w:spacing w:before="0" w:after="120" w:line="276" w:lineRule="auto"/>
      </w:pPr>
      <w:r>
        <w:rPr>
          <w:rFonts w:ascii="IBM Plex Sans" w:hAnsi="IBM Plex Sans" w:cs="IBM Plex Sans"/>
          <w:color w:val="404040"/>
          <w:sz w:val="22"/>
          <w:szCs w:val="22"/>
        </w:rPr>
        <w:t xml:space="preserve">Sub-headings sit in secondary blue at 14pt, with a single line of space above and none below. Body text is 11pt with 1.15 line spacing. Tables take the navy header row shown on the previous page.</w:t>
      </w:r>
    </w:p>
    <w:p>
      <w:pPr>
        <w:shd w:val="clear" w:color="auto" w:fill="F2F2F2"/>
        <w:spacing w:before="160" w:after="200" w:line="276" w:lineRule="auto"/>
      </w:pPr>
      <w:r>
        <w:rPr>
          <w:rFonts w:ascii="IBM Plex Sans" w:hAnsi="IBM Plex Sans" w:cs="IBM Plex Sans"/>
          <w:i/>
          <w:color w:val="C55A11"/>
          <w:sz w:val="22"/>
          <w:szCs w:val="22"/>
        </w:rPr>
        <w:t xml:space="preserve">Questions about any of this go to the design team before the document is sent, not after.</w:t>
      </w:r>
    </w:p>
    <w:p>
      <w:pPr>
        <w:spacing w:before="200" w:after="140" w:line="276" w:lineRule="auto"/>
      </w:pPr>
      <w:r>
        <w:rPr>
          <w:rFonts w:ascii="IBM Plex Sans" w:hAnsi="IBM Plex Sans" w:cs="IBM Plex Sans"/>
          <w:b/>
          <w:bCs/>
          <w:color w:val="1F3864"/>
          <w:sz w:val="32"/>
          <w:szCs w:val="32"/>
        </w:rPr>
        <w:t xml:space="preserve">5.  Contact</w:t>
      </w:r>
    </w:p>
    <w:p>
      <w:pPr>
        <w:spacing w:before="0" w:after="120" w:line="276" w:lineRule="auto"/>
      </w:pPr>
      <w:r>
        <w:rPr>
          <w:rFonts w:ascii="IBM Plex Sans" w:hAnsi="IBM Plex Sans" w:cs="IBM Plex Sans"/>
          <w:color w:val="2E74B5"/>
          <w:sz w:val="22"/>
          <w:szCs w:val="22"/>
        </w:rPr>
        <w:t xml:space="preserve">design@northwind.example  ·  Extension 4120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IBM Plex Sans" w:hAnsi="IBM Plex Sans" w:cs="IBM Plex Sans"/>
        <w:color w:val="404040"/>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Northwind Analytics — Brand Guidelines</dc:title>
  <dc:creator>Northwind design team</dc:creator>
</cp:coreProperties>
</file>