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81D3C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B81D3C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230</w:t>
      </w:r>
    </w:p>
    <w:p w:rsidR="00000000" w:rsidRDefault="00B81D3C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B81D3C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רביעי, י"ט באדר ב' התשס"ה (30 במרץ 2005), שעה 10:30</w:t>
      </w: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B81D3C">
      <w:pPr>
        <w:tabs>
          <w:tab w:val="left" w:pos="1221"/>
        </w:tabs>
        <w:ind w:left="1788" w:hanging="1788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 xml:space="preserve">הארכת </w:t>
      </w:r>
      <w:r>
        <w:rPr>
          <w:rFonts w:cs="David"/>
          <w:sz w:val="24"/>
          <w:rtl/>
        </w:rPr>
        <w:t>תקופת כהונתו של קצין הכנסת</w:t>
      </w:r>
    </w:p>
    <w:p w:rsidR="00000000" w:rsidRDefault="00B81D3C">
      <w:pPr>
        <w:tabs>
          <w:tab w:val="left" w:pos="1221"/>
        </w:tabs>
        <w:ind w:left="1788" w:hanging="1788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רוני בר-און  -  היו"ר</w:t>
      </w:r>
    </w:p>
    <w:p w:rsidR="00000000" w:rsidRDefault="00B81D3C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יצחק כהן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אריה האן</w:t>
      </w:r>
      <w:r>
        <w:rPr>
          <w:rFonts w:cs="David"/>
          <w:sz w:val="24"/>
          <w:rtl/>
        </w:rPr>
        <w:tab/>
        <w:t>- מזכיר הכנסת</w:t>
      </w:r>
    </w:p>
    <w:p w:rsidR="00000000" w:rsidRDefault="00B81D3C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דוד לב</w:t>
      </w:r>
      <w:r>
        <w:rPr>
          <w:rFonts w:cs="David"/>
          <w:sz w:val="24"/>
          <w:rtl/>
        </w:rPr>
        <w:tab/>
        <w:t>- סגן מזכיר הכנסת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b/>
          <w:bCs/>
          <w:sz w:val="24"/>
          <w:rtl/>
        </w:rPr>
        <w:t>: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ארבל אסטרחן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tabs>
          <w:tab w:val="left" w:pos="1930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אתי בן-יוסף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אסתר מימון</w:t>
      </w:r>
    </w:p>
    <w:p w:rsidR="00000000" w:rsidRDefault="00B81D3C">
      <w:pPr>
        <w:rPr>
          <w:rFonts w:cs="David"/>
          <w:b/>
          <w:bCs/>
          <w:sz w:val="24"/>
          <w:rtl/>
        </w:rPr>
      </w:pPr>
    </w:p>
    <w:p w:rsidR="00000000" w:rsidRDefault="00B81D3C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>הארכת תקופת כהונתו של קצין הכנסת</w:t>
      </w:r>
    </w:p>
    <w:p w:rsidR="00000000" w:rsidRDefault="00B81D3C">
      <w:pPr>
        <w:jc w:val="center"/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ישיבת ועדת הכנסת מס' 230. חבר הכנסת איציק כהן, תודה רבה שהתייצבת. פנה אלי יושב-ראש הכנסת במכתב שזו לשונו: "תקופת כהונתו של קצין הכנסת, מר יצחק שד"ר, אשר החלה ביום 1 במרץ 2000 ונקבעה לחמש שנים הסתיימה זה לא כבר. 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בהתאם להוראות סעיף 8</w:t>
      </w:r>
      <w:r>
        <w:rPr>
          <w:rFonts w:cs="David"/>
          <w:sz w:val="24"/>
          <w:rtl/>
        </w:rPr>
        <w:t xml:space="preserve">(א) לחוק משכן הכנסת- - - יושב-ראש הכנסת, בהתייעצות עם הסגנים ובאישורה של ועדת הכנסת, ימנה את קצין הכנסת." 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לאחר שהוא שקל בעניין החליט כי יש מקום להאריך את תקופת כהונתו של קצין הכנסת לתקופה של שלוש שנים נוספות עם אפשרות להארכה נוספת לתקופה שלא תעלה על שנת</w:t>
      </w:r>
      <w:r>
        <w:rPr>
          <w:rFonts w:cs="David"/>
          <w:sz w:val="24"/>
          <w:rtl/>
        </w:rPr>
        <w:t>יים.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בהתייעצות שקיים עם הסגנים ביום 28 במרץ תמכו הסגנים פה אחד בהארכת תקופת כהונתו של קצין הכנסת.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הוא כותב: "הנני פונה אליך על מנת שתביא את החלטתי לאישור ועדת הכנסת בהקדם האפשרי." 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האם מישהו מבקש להגיד משהו בעניין הזה? אני מציע לאשר את זה. ארבל אסטרח</w:t>
      </w:r>
      <w:r>
        <w:rPr>
          <w:rFonts w:cs="David"/>
          <w:sz w:val="24"/>
          <w:rtl/>
        </w:rPr>
        <w:t>ן, האם זה בהתאם לחוזה?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ארבל אסטרחן: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זה בהתאם להוראות החוק.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בעד? תודה. מי נגד? מי נמנע?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B81D3C">
      <w:pPr>
        <w:jc w:val="center"/>
        <w:rPr>
          <w:rFonts w:cs="David"/>
          <w:sz w:val="24"/>
          <w:rtl/>
        </w:rPr>
      </w:pPr>
    </w:p>
    <w:p w:rsidR="00000000" w:rsidRDefault="00B81D3C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פה אחד</w:t>
      </w:r>
    </w:p>
    <w:p w:rsidR="00000000" w:rsidRDefault="00B81D3C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אושר להאריך את תקופת כהונתו של קצין הכנסת.</w:t>
      </w:r>
    </w:p>
    <w:p w:rsidR="00000000" w:rsidRDefault="00B81D3C">
      <w:pPr>
        <w:jc w:val="center"/>
        <w:rPr>
          <w:rFonts w:cs="David"/>
          <w:sz w:val="24"/>
          <w:rtl/>
        </w:rPr>
      </w:pPr>
    </w:p>
    <w:p w:rsidR="00000000" w:rsidRDefault="00B81D3C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רוני בר-און: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פה אחד אישרנו את הדברים, ככל שהדברים טעונים את אישורנו, ואנחנ</w:t>
      </w:r>
      <w:r>
        <w:rPr>
          <w:rFonts w:cs="David"/>
          <w:sz w:val="24"/>
          <w:rtl/>
        </w:rPr>
        <w:t>ו מאחלים לקצין הכנסת המשך פעילות פורה ומוצלח. תודה רבה. הישיבה נעולה.</w:t>
      </w:r>
    </w:p>
    <w:p w:rsidR="00000000" w:rsidRDefault="00B81D3C">
      <w:pPr>
        <w:rPr>
          <w:rFonts w:cs="David"/>
          <w:sz w:val="24"/>
          <w:rtl/>
        </w:rPr>
      </w:pPr>
    </w:p>
    <w:p w:rsidR="00000000" w:rsidRDefault="00B81D3C">
      <w:pPr>
        <w:pStyle w:val="9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10:31</w:t>
      </w:r>
    </w:p>
    <w:sectPr w:rsidR="00000000">
      <w:headerReference w:type="default" r:id="rId6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81D3C">
      <w:r>
        <w:separator/>
      </w:r>
    </w:p>
  </w:endnote>
  <w:endnote w:type="continuationSeparator" w:id="0">
    <w:p w:rsidR="00000000" w:rsidRDefault="00B8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81D3C">
      <w:r>
        <w:separator/>
      </w:r>
    </w:p>
  </w:footnote>
  <w:footnote w:type="continuationSeparator" w:id="0">
    <w:p w:rsidR="00000000" w:rsidRDefault="00B81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81D3C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2</w:t>
    </w:r>
    <w:r>
      <w:rPr>
        <w:rStyle w:val="a7"/>
        <w:rFonts w:cs="David"/>
      </w:rPr>
      <w:fldChar w:fldCharType="end"/>
    </w:r>
  </w:p>
  <w:p w:rsidR="00000000" w:rsidRDefault="00B81D3C">
    <w:pPr>
      <w:pStyle w:val="a3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B81D3C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>30.3.2005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D3C"/>
    <w:rsid w:val="00B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C62F1F0-BDDA-44C8-B2D6-E4FB0133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b/>
      <w:bCs/>
      <w:u w:val="single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27C03-54C4-47AA-B278-09061790998D}"/>
</file>

<file path=customXml/itemProps2.xml><?xml version="1.0" encoding="utf-8"?>
<ds:datastoreItem xmlns:ds="http://schemas.openxmlformats.org/officeDocument/2006/customXml" ds:itemID="{FC1BD5BA-431D-4457-AD8D-AF9B23457950}"/>
</file>

<file path=customXml/itemProps3.xml><?xml version="1.0" encoding="utf-8"?>
<ds:datastoreItem xmlns:ds="http://schemas.openxmlformats.org/officeDocument/2006/customXml" ds:itemID="{A3D45EDF-13F3-4BD4-8EAD-968413F949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1281</Characters>
  <Application>Microsoft Office Word</Application>
  <DocSecurity>0</DocSecurity>
  <Lines>10</Lines>
  <Paragraphs>3</Paragraphs>
  <ScaleCrop>false</ScaleCrop>
  <Company>כנסת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הארכת תקופת כהונתו של קצין הכנסת</dc:title>
  <dc:subject/>
  <dc:creator>תמר שפנייר</dc:creator>
  <cp:keywords/>
  <dc:description/>
  <cp:lastModifiedBy>אינדה נובומינסקי</cp:lastModifiedBy>
  <cp:revision>2</cp:revision>
  <cp:lastPrinted>2005-03-30T23:24:00Z</cp:lastPrinted>
  <dcterms:created xsi:type="dcterms:W3CDTF">2018-06-07T11:00:00Z</dcterms:created>
  <dcterms:modified xsi:type="dcterms:W3CDTF">2018-06-07T11:00:00Z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אסתר מימון</vt:lpwstr>
  </property>
  <property fmtid="{D5CDD505-2E9C-101B-9397-08002B2CF9AE}" pid="4" name="MisYeshiva">
    <vt:lpwstr>230.000000000000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2005-03-30T08:00:00Z</vt:lpwstr>
  </property>
  <property fmtid="{D5CDD505-2E9C-101B-9397-08002B2CF9AE}" pid="7" name="סימוכין">
    <vt:i4>4000605</vt:i4>
  </property>
  <property fmtid="{D5CDD505-2E9C-101B-9397-08002B2CF9AE}" pid="8" name="שעת ישיבה">
    <vt:lpwstr>10:30</vt:lpwstr>
  </property>
  <property fmtid="{D5CDD505-2E9C-101B-9397-08002B2CF9AE}" pid="9" name="תאריך המסמך">
    <vt:filetime>2005-03-29T21:00:00Z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4000605</vt:lpwstr>
  </property>
  <property fmtid="{D5CDD505-2E9C-101B-9397-08002B2CF9AE}" pid="12" name="SDDocDate">
    <vt:lpwstr>2005-03-31T08:00:00Z</vt:lpwstr>
  </property>
  <property fmtid="{D5CDD505-2E9C-101B-9397-08002B2CF9AE}" pid="13" name="SDHebDate">
    <vt:lpwstr>כ' באדר ב',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אסתר מימון</vt:lpwstr>
  </property>
  <property fmtid="{D5CDD505-2E9C-101B-9397-08002B2CF9AE}" pid="16" name="MisKnesset">
    <vt:lpwstr>16.0000000000000</vt:lpwstr>
  </property>
  <property fmtid="{D5CDD505-2E9C-101B-9397-08002B2CF9AE}" pid="17" name="ContentTypeId">
    <vt:lpwstr>0x0101008FCE1D2CB68F9D4CB5270FF169E39A74</vt:lpwstr>
  </property>
  <property fmtid="{D5CDD505-2E9C-101B-9397-08002B2CF9AE}" pid="18" name="SanhedrinItemID">
    <vt:r8>98606</vt:r8>
  </property>
  <property fmtid="{D5CDD505-2E9C-101B-9397-08002B2CF9AE}" pid="19" name="SanhedrinDocumentType">
    <vt:r8>167</vt:r8>
  </property>
</Properties>
</file>