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82B73" w14:textId="77777777" w:rsidR="00E64116" w:rsidRPr="005817EC" w:rsidRDefault="00BF73E5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144795D3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2742D6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194B783A" w14:textId="77777777" w:rsidR="00E64116" w:rsidRPr="008713A4" w:rsidRDefault="00BF73E5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7F5001DD" w14:textId="77777777" w:rsidR="00E64116" w:rsidRPr="008713A4" w:rsidRDefault="00E64116" w:rsidP="0049458B">
      <w:pPr>
        <w:rPr>
          <w:rFonts w:hint="cs"/>
          <w:rtl/>
        </w:rPr>
      </w:pPr>
    </w:p>
    <w:p w14:paraId="3B646F5A" w14:textId="77777777" w:rsidR="00E64116" w:rsidRPr="008713A4" w:rsidRDefault="00E64116" w:rsidP="0049458B">
      <w:pPr>
        <w:rPr>
          <w:rFonts w:hint="cs"/>
          <w:rtl/>
        </w:rPr>
      </w:pPr>
    </w:p>
    <w:p w14:paraId="1710911C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719BA899" w14:textId="77777777" w:rsidR="00E64116" w:rsidRPr="008713A4" w:rsidRDefault="00BF73E5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237</w:t>
      </w:r>
    </w:p>
    <w:p w14:paraId="7B9FF615" w14:textId="77777777" w:rsidR="00E64116" w:rsidRPr="008713A4" w:rsidRDefault="00BF73E5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42B07140" w14:textId="77777777" w:rsidR="00E64116" w:rsidRPr="008713A4" w:rsidRDefault="00BF73E5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כ"ג באדר התשע"ז (21 במרץ 2017), שעה 13:00</w:t>
      </w:r>
    </w:p>
    <w:p w14:paraId="05F57434" w14:textId="77777777" w:rsidR="00E64116" w:rsidRPr="008713A4" w:rsidRDefault="00E64116" w:rsidP="008320F6">
      <w:pPr>
        <w:ind w:firstLine="0"/>
        <w:rPr>
          <w:rtl/>
        </w:rPr>
      </w:pPr>
    </w:p>
    <w:p w14:paraId="34779B19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6B85EE5D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0C164F4A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4EEC73C4" w14:textId="77777777" w:rsidR="00E64116" w:rsidRPr="008713A4" w:rsidRDefault="00BF73E5" w:rsidP="002742D6">
      <w:pPr>
        <w:spacing w:before="60"/>
        <w:ind w:firstLine="0"/>
        <w:rPr>
          <w:rFonts w:hint="cs"/>
          <w:rtl/>
        </w:rPr>
      </w:pPr>
      <w:r w:rsidRPr="00BF73E5">
        <w:rPr>
          <w:rtl/>
        </w:rPr>
        <w:t>הצעת חוק הפיקוח על שירותים פיננסיים (שירותים פיננסים מוסדרים) (תי</w:t>
      </w:r>
      <w:r w:rsidR="002742D6">
        <w:rPr>
          <w:rFonts w:hint="cs"/>
          <w:rtl/>
        </w:rPr>
        <w:t>ק</w:t>
      </w:r>
      <w:r w:rsidRPr="00BF73E5">
        <w:rPr>
          <w:rtl/>
        </w:rPr>
        <w:t>ון מס' 4) (הפעלת מערכת לתיווך באשראי), התשע"ז-2017 (מ/1127)</w:t>
      </w:r>
    </w:p>
    <w:p w14:paraId="602214A5" w14:textId="77777777" w:rsidR="00E64116" w:rsidRDefault="00E64116" w:rsidP="007C693F">
      <w:pPr>
        <w:spacing w:before="60"/>
        <w:ind w:firstLine="0"/>
        <w:rPr>
          <w:rtl/>
        </w:rPr>
      </w:pPr>
    </w:p>
    <w:p w14:paraId="167EF41B" w14:textId="77777777" w:rsidR="00BF73E5" w:rsidRPr="008713A4" w:rsidRDefault="00BF73E5" w:rsidP="007C693F">
      <w:pPr>
        <w:spacing w:before="60"/>
        <w:ind w:firstLine="0"/>
        <w:rPr>
          <w:rtl/>
        </w:rPr>
      </w:pPr>
    </w:p>
    <w:p w14:paraId="1F677472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5EEAFB9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77C21F26" w14:textId="77777777" w:rsidR="00E64116" w:rsidRPr="00BF73E5" w:rsidRDefault="00BF73E5" w:rsidP="008320F6">
      <w:pPr>
        <w:ind w:firstLine="0"/>
        <w:outlineLvl w:val="0"/>
        <w:rPr>
          <w:rtl/>
        </w:rPr>
      </w:pPr>
      <w:r w:rsidRPr="00BF73E5">
        <w:rPr>
          <w:rtl/>
        </w:rPr>
        <w:t>יואב קיש – היו"ר</w:t>
      </w:r>
    </w:p>
    <w:p w14:paraId="6D31F275" w14:textId="77777777" w:rsidR="00BF73E5" w:rsidRPr="00BF73E5" w:rsidRDefault="00BF73E5" w:rsidP="008320F6">
      <w:pPr>
        <w:ind w:firstLine="0"/>
        <w:outlineLvl w:val="0"/>
        <w:rPr>
          <w:rtl/>
        </w:rPr>
      </w:pPr>
      <w:r w:rsidRPr="00BF73E5">
        <w:rPr>
          <w:rtl/>
        </w:rPr>
        <w:t>אמיר אוחנה</w:t>
      </w:r>
    </w:p>
    <w:p w14:paraId="302F63DF" w14:textId="77777777" w:rsidR="00BF73E5" w:rsidRPr="00BF73E5" w:rsidRDefault="00BF73E5" w:rsidP="008320F6">
      <w:pPr>
        <w:ind w:firstLine="0"/>
        <w:outlineLvl w:val="0"/>
        <w:rPr>
          <w:rtl/>
        </w:rPr>
      </w:pPr>
      <w:r w:rsidRPr="00BF73E5">
        <w:rPr>
          <w:rtl/>
        </w:rPr>
        <w:t>דוד ביטן</w:t>
      </w:r>
    </w:p>
    <w:p w14:paraId="2517351C" w14:textId="77777777" w:rsidR="00BF73E5" w:rsidRPr="00BF73E5" w:rsidRDefault="00BF73E5" w:rsidP="008320F6">
      <w:pPr>
        <w:ind w:firstLine="0"/>
        <w:outlineLvl w:val="0"/>
        <w:rPr>
          <w:rtl/>
        </w:rPr>
      </w:pPr>
      <w:r w:rsidRPr="00BF73E5">
        <w:rPr>
          <w:rtl/>
        </w:rPr>
        <w:t>יואב בן צור</w:t>
      </w:r>
    </w:p>
    <w:p w14:paraId="065D3783" w14:textId="77777777" w:rsidR="00BF73E5" w:rsidRPr="00BF73E5" w:rsidRDefault="00BF73E5" w:rsidP="008320F6">
      <w:pPr>
        <w:ind w:firstLine="0"/>
        <w:outlineLvl w:val="0"/>
        <w:rPr>
          <w:rtl/>
        </w:rPr>
      </w:pPr>
      <w:r w:rsidRPr="00BF73E5">
        <w:rPr>
          <w:rtl/>
        </w:rPr>
        <w:t>שולי מועלם-רפאלי</w:t>
      </w:r>
    </w:p>
    <w:p w14:paraId="412742E1" w14:textId="77777777" w:rsidR="00BF73E5" w:rsidRPr="00BF73E5" w:rsidRDefault="00BF73E5" w:rsidP="008320F6">
      <w:pPr>
        <w:ind w:firstLine="0"/>
        <w:outlineLvl w:val="0"/>
        <w:rPr>
          <w:rtl/>
        </w:rPr>
      </w:pPr>
      <w:r w:rsidRPr="00BF73E5">
        <w:rPr>
          <w:rtl/>
        </w:rPr>
        <w:t>אברהם נגוסה</w:t>
      </w:r>
    </w:p>
    <w:p w14:paraId="1A3D849D" w14:textId="77777777" w:rsidR="00BF73E5" w:rsidRPr="008713A4" w:rsidRDefault="00BF73E5" w:rsidP="008320F6">
      <w:pPr>
        <w:ind w:firstLine="0"/>
        <w:outlineLvl w:val="0"/>
        <w:rPr>
          <w:u w:val="single"/>
        </w:rPr>
      </w:pPr>
    </w:p>
    <w:p w14:paraId="45152A77" w14:textId="77777777"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580AF03E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36AF72A2" w14:textId="77777777" w:rsidR="00E64116" w:rsidRPr="008713A4" w:rsidRDefault="00BF73E5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ברוך לוברט </w:t>
      </w:r>
      <w:r>
        <w:rPr>
          <w:rtl/>
        </w:rPr>
        <w:t>–</w:t>
      </w:r>
      <w:r>
        <w:rPr>
          <w:rFonts w:hint="cs"/>
          <w:rtl/>
        </w:rPr>
        <w:t xml:space="preserve"> סגן היועמ"ש, משרד האוצר</w:t>
      </w:r>
    </w:p>
    <w:p w14:paraId="03CD9137" w14:textId="77777777" w:rsidR="00D37550" w:rsidRDefault="00D37550" w:rsidP="008320F6">
      <w:pPr>
        <w:ind w:firstLine="0"/>
        <w:outlineLvl w:val="0"/>
        <w:rPr>
          <w:rFonts w:hint="cs"/>
          <w:rtl/>
        </w:rPr>
      </w:pPr>
    </w:p>
    <w:p w14:paraId="00488EBA" w14:textId="77777777" w:rsidR="00ED7FE9" w:rsidRDefault="00ED7FE9" w:rsidP="008320F6">
      <w:pPr>
        <w:ind w:firstLine="0"/>
        <w:outlineLvl w:val="0"/>
        <w:rPr>
          <w:rFonts w:hint="cs"/>
          <w:rtl/>
        </w:rPr>
      </w:pPr>
    </w:p>
    <w:p w14:paraId="7A981B55" w14:textId="77777777" w:rsidR="00ED7FE9" w:rsidRPr="008713A4" w:rsidRDefault="00ED7FE9" w:rsidP="008320F6">
      <w:pPr>
        <w:ind w:firstLine="0"/>
        <w:outlineLvl w:val="0"/>
        <w:rPr>
          <w:rFonts w:hint="cs"/>
          <w:rtl/>
        </w:rPr>
      </w:pPr>
    </w:p>
    <w:p w14:paraId="385D7AB3" w14:textId="77777777" w:rsidR="00E64116" w:rsidRPr="008713A4" w:rsidRDefault="00E64116" w:rsidP="00BF73E5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7538FFC3" w14:textId="77777777" w:rsidR="00E64116" w:rsidRPr="008713A4" w:rsidRDefault="00BF73E5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26B8DAC5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CAD8605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47FB281C" w14:textId="77777777" w:rsidR="00E64116" w:rsidRPr="008713A4" w:rsidRDefault="00BF73E5" w:rsidP="008320F6">
      <w:pPr>
        <w:ind w:firstLine="0"/>
        <w:rPr>
          <w:rFonts w:hint="cs"/>
          <w:rtl/>
        </w:rPr>
      </w:pPr>
      <w:r>
        <w:rPr>
          <w:rtl/>
        </w:rPr>
        <w:t>שלומית כהן</w:t>
      </w:r>
    </w:p>
    <w:p w14:paraId="093EA027" w14:textId="77777777" w:rsidR="00BF73E5" w:rsidRDefault="00BF73E5" w:rsidP="00BF73E5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הצעת חוק הפיקוח על שירותים פיננסיים (שירותים פיננסים מוסדרים) (תקיון מס' 4) (הפעלת מערכת לתיווך באשראי), התשע"ז-2017 (מ/1127)</w:t>
      </w:r>
    </w:p>
    <w:p w14:paraId="4292B3D0" w14:textId="77777777" w:rsidR="00BF73E5" w:rsidRDefault="00BF73E5" w:rsidP="00BF73E5">
      <w:pPr>
        <w:pStyle w:val="KeepWithNext"/>
        <w:rPr>
          <w:rFonts w:hint="cs"/>
          <w:rtl/>
        </w:rPr>
      </w:pPr>
    </w:p>
    <w:p w14:paraId="1108FC85" w14:textId="77777777" w:rsidR="00A3332A" w:rsidRPr="00A3332A" w:rsidRDefault="00A3332A" w:rsidP="00A3332A">
      <w:pPr>
        <w:rPr>
          <w:rtl/>
        </w:rPr>
      </w:pPr>
    </w:p>
    <w:p w14:paraId="20CC3882" w14:textId="77777777" w:rsidR="00BF73E5" w:rsidRDefault="00BF73E5" w:rsidP="00BF73E5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55A0A3EC" w14:textId="77777777" w:rsidR="00BF73E5" w:rsidRDefault="00BF73E5" w:rsidP="00BF73E5">
      <w:pPr>
        <w:pStyle w:val="KeepWithNext"/>
        <w:rPr>
          <w:rtl/>
        </w:rPr>
      </w:pPr>
    </w:p>
    <w:p w14:paraId="0EBD86A1" w14:textId="77777777" w:rsidR="00342496" w:rsidRDefault="00342496" w:rsidP="00BF73E5">
      <w:pPr>
        <w:rPr>
          <w:rFonts w:hint="cs"/>
          <w:rtl/>
        </w:rPr>
      </w:pPr>
      <w:r>
        <w:rPr>
          <w:rFonts w:hint="cs"/>
          <w:rtl/>
        </w:rPr>
        <w:t xml:space="preserve">חברים, אני פותח את </w:t>
      </w:r>
      <w:bookmarkStart w:id="0" w:name="_ETM_Q1_668783"/>
      <w:bookmarkEnd w:id="0"/>
      <w:r>
        <w:rPr>
          <w:rFonts w:hint="cs"/>
          <w:rtl/>
        </w:rPr>
        <w:t xml:space="preserve">הדיון. אנחנו בבקשת הממשלה להקדמת הדיון בהצעת חוק הפיקוח על </w:t>
      </w:r>
      <w:bookmarkStart w:id="1" w:name="_ETM_Q1_670657"/>
      <w:bookmarkEnd w:id="1"/>
      <w:r>
        <w:rPr>
          <w:rFonts w:hint="cs"/>
          <w:rtl/>
        </w:rPr>
        <w:t>שירותים פיננסיים (שירותים פיננסיים מוסדרים)</w:t>
      </w:r>
      <w:r w:rsidR="00116B89">
        <w:rPr>
          <w:rFonts w:hint="cs"/>
          <w:rtl/>
        </w:rPr>
        <w:t xml:space="preserve">. נשמע את משרד האוצר. </w:t>
      </w:r>
      <w:bookmarkStart w:id="2" w:name="_ETM_Q1_681831"/>
      <w:bookmarkEnd w:id="2"/>
      <w:r w:rsidR="00116B89">
        <w:rPr>
          <w:rFonts w:hint="cs"/>
          <w:rtl/>
        </w:rPr>
        <w:t xml:space="preserve">בבקשה, משרד האוצר. </w:t>
      </w:r>
    </w:p>
    <w:p w14:paraId="17E28590" w14:textId="77777777" w:rsidR="00116B89" w:rsidRDefault="00116B89" w:rsidP="00BF73E5">
      <w:pPr>
        <w:rPr>
          <w:rFonts w:hint="cs"/>
          <w:rtl/>
        </w:rPr>
      </w:pPr>
      <w:bookmarkStart w:id="3" w:name="_ETM_Q1_684935"/>
      <w:bookmarkEnd w:id="3"/>
    </w:p>
    <w:p w14:paraId="682AAC31" w14:textId="77777777" w:rsidR="00E427B7" w:rsidRDefault="00E427B7" w:rsidP="00E427B7">
      <w:pPr>
        <w:pStyle w:val="a"/>
        <w:keepNext/>
        <w:rPr>
          <w:rFonts w:hint="cs"/>
          <w:rtl/>
        </w:rPr>
      </w:pPr>
      <w:bookmarkStart w:id="4" w:name="_ETM_Q1_685252"/>
      <w:bookmarkStart w:id="5" w:name="_ETM_Q1_683576"/>
      <w:bookmarkStart w:id="6" w:name="_ETM_Q1_684506"/>
      <w:bookmarkEnd w:id="4"/>
      <w:bookmarkEnd w:id="5"/>
      <w:bookmarkEnd w:id="6"/>
      <w:r>
        <w:rPr>
          <w:rtl/>
        </w:rPr>
        <w:t>ברוך לוברט:</w:t>
      </w:r>
    </w:p>
    <w:p w14:paraId="481CCD8F" w14:textId="77777777" w:rsidR="00E427B7" w:rsidRDefault="00E427B7" w:rsidP="00E427B7">
      <w:pPr>
        <w:pStyle w:val="KeepWithNext"/>
        <w:rPr>
          <w:rFonts w:hint="cs"/>
          <w:rtl/>
        </w:rPr>
      </w:pPr>
    </w:p>
    <w:p w14:paraId="1406C729" w14:textId="77777777" w:rsidR="00E427B7" w:rsidRDefault="00E427B7" w:rsidP="00E427B7">
      <w:pPr>
        <w:rPr>
          <w:rFonts w:hint="cs"/>
          <w:rtl/>
        </w:rPr>
      </w:pPr>
      <w:r>
        <w:rPr>
          <w:rFonts w:hint="cs"/>
          <w:rtl/>
        </w:rPr>
        <w:t xml:space="preserve">שלום, אדוני. </w:t>
      </w:r>
      <w:r w:rsidR="00DA434D">
        <w:rPr>
          <w:rFonts w:hint="cs"/>
          <w:rtl/>
        </w:rPr>
        <w:t xml:space="preserve">אנחנו מבקשים להקדים את הדיון </w:t>
      </w:r>
      <w:bookmarkStart w:id="7" w:name="_ETM_Q1_691423"/>
      <w:bookmarkEnd w:id="7"/>
      <w:r w:rsidR="00DA434D">
        <w:rPr>
          <w:rFonts w:hint="cs"/>
          <w:rtl/>
        </w:rPr>
        <w:t xml:space="preserve">בהצעת החוק שעוסקת בהסדרה של נושא האשראי. אנחנו נמצאים בתוך </w:t>
      </w:r>
      <w:bookmarkStart w:id="8" w:name="_ETM_Q1_700892"/>
      <w:bookmarkEnd w:id="8"/>
      <w:r w:rsidR="00DA434D">
        <w:rPr>
          <w:rFonts w:hint="cs"/>
          <w:rtl/>
        </w:rPr>
        <w:t xml:space="preserve">חקיקה שמיועדת להיכנס כבר ב-1 ביוני השנה לתוקף. היא תעסוק </w:t>
      </w:r>
      <w:bookmarkStart w:id="9" w:name="_ETM_Q1_708986"/>
      <w:bookmarkEnd w:id="9"/>
      <w:r w:rsidR="00DA434D">
        <w:rPr>
          <w:rFonts w:hint="cs"/>
          <w:rtl/>
        </w:rPr>
        <w:t xml:space="preserve">בפיקוח והסדרה של נותני אשראי. אחד מהמקטעים של נותני אשראי </w:t>
      </w:r>
      <w:bookmarkStart w:id="10" w:name="_ETM_Q1_712839"/>
      <w:bookmarkEnd w:id="10"/>
      <w:r w:rsidR="00DA434D">
        <w:rPr>
          <w:rFonts w:hint="cs"/>
          <w:rtl/>
        </w:rPr>
        <w:t xml:space="preserve">זה פלטפורמות </w:t>
      </w:r>
      <w:r w:rsidR="00DA434D">
        <w:t>P TO P</w:t>
      </w:r>
      <w:r w:rsidR="00DA434D">
        <w:rPr>
          <w:rFonts w:hint="cs"/>
          <w:rtl/>
        </w:rPr>
        <w:t>. אלה פלטפורמות שמתווכ</w:t>
      </w:r>
      <w:bookmarkStart w:id="11" w:name="_ETM_Q1_717327"/>
      <w:bookmarkEnd w:id="11"/>
      <w:r w:rsidR="00DA434D">
        <w:rPr>
          <w:rFonts w:hint="cs"/>
          <w:rtl/>
        </w:rPr>
        <w:t xml:space="preserve">ות בין נותני אשראי למקבלי אשראי. </w:t>
      </w:r>
    </w:p>
    <w:p w14:paraId="63132C0F" w14:textId="77777777" w:rsidR="00DA434D" w:rsidRDefault="00DA434D" w:rsidP="00E427B7">
      <w:pPr>
        <w:rPr>
          <w:rFonts w:hint="cs"/>
          <w:rtl/>
        </w:rPr>
      </w:pPr>
    </w:p>
    <w:p w14:paraId="718E362E" w14:textId="77777777" w:rsidR="00DA434D" w:rsidRDefault="00DA434D" w:rsidP="00DA434D">
      <w:pPr>
        <w:pStyle w:val="af"/>
        <w:keepNext/>
        <w:rPr>
          <w:rFonts w:hint="cs"/>
          <w:rtl/>
        </w:rPr>
      </w:pPr>
      <w:bookmarkStart w:id="12" w:name="_ETM_Q1_717088"/>
      <w:bookmarkStart w:id="13" w:name="_ETM_Q1_717097"/>
      <w:bookmarkEnd w:id="12"/>
      <w:bookmarkEnd w:id="13"/>
      <w:r>
        <w:rPr>
          <w:rtl/>
        </w:rPr>
        <w:t>היו"ר יואב קיש:</w:t>
      </w:r>
    </w:p>
    <w:p w14:paraId="77C170C7" w14:textId="77777777" w:rsidR="00DA434D" w:rsidRDefault="00DA434D" w:rsidP="00DA434D">
      <w:pPr>
        <w:pStyle w:val="KeepWithNext"/>
        <w:rPr>
          <w:rFonts w:hint="cs"/>
          <w:rtl/>
        </w:rPr>
      </w:pPr>
    </w:p>
    <w:p w14:paraId="53107C0D" w14:textId="77777777" w:rsidR="00DA434D" w:rsidRDefault="00DA434D" w:rsidP="00DA434D">
      <w:pPr>
        <w:rPr>
          <w:rFonts w:hint="cs"/>
          <w:rtl/>
        </w:rPr>
      </w:pPr>
      <w:r>
        <w:rPr>
          <w:rFonts w:hint="cs"/>
          <w:rtl/>
        </w:rPr>
        <w:t xml:space="preserve">החוק הזה בא לפקח </w:t>
      </w:r>
      <w:bookmarkStart w:id="14" w:name="_ETM_Q1_719310"/>
      <w:bookmarkEnd w:id="14"/>
      <w:r>
        <w:rPr>
          <w:rFonts w:hint="cs"/>
          <w:rtl/>
        </w:rPr>
        <w:t>על הדבר הזה?</w:t>
      </w:r>
    </w:p>
    <w:p w14:paraId="3A73DF02" w14:textId="77777777" w:rsidR="00DA434D" w:rsidRDefault="00DA434D" w:rsidP="00DA434D">
      <w:pPr>
        <w:rPr>
          <w:rFonts w:hint="cs"/>
          <w:rtl/>
        </w:rPr>
      </w:pPr>
    </w:p>
    <w:p w14:paraId="0A3F12DE" w14:textId="77777777" w:rsidR="00DA434D" w:rsidRDefault="00DA434D" w:rsidP="00DA434D">
      <w:pPr>
        <w:pStyle w:val="a"/>
        <w:keepNext/>
        <w:rPr>
          <w:rFonts w:hint="cs"/>
          <w:rtl/>
        </w:rPr>
      </w:pPr>
      <w:r>
        <w:rPr>
          <w:rtl/>
        </w:rPr>
        <w:t>ברוך לוברט:</w:t>
      </w:r>
    </w:p>
    <w:p w14:paraId="30C37889" w14:textId="77777777" w:rsidR="00DA434D" w:rsidRDefault="00DA434D" w:rsidP="00DA434D">
      <w:pPr>
        <w:pStyle w:val="KeepWithNext"/>
        <w:rPr>
          <w:rFonts w:hint="cs"/>
          <w:rtl/>
        </w:rPr>
      </w:pPr>
    </w:p>
    <w:p w14:paraId="55F3E7D9" w14:textId="77777777" w:rsidR="00DA434D" w:rsidRDefault="00DA434D" w:rsidP="00DA434D">
      <w:pPr>
        <w:rPr>
          <w:rFonts w:hint="cs"/>
          <w:rtl/>
        </w:rPr>
      </w:pPr>
      <w:r>
        <w:rPr>
          <w:rFonts w:hint="cs"/>
          <w:rtl/>
        </w:rPr>
        <w:t xml:space="preserve">בא לפקח על הדבר הזה. הפיקוח נכנס לכל </w:t>
      </w:r>
      <w:bookmarkStart w:id="15" w:name="_ETM_Q1_720773"/>
      <w:bookmarkEnd w:id="15"/>
      <w:r>
        <w:rPr>
          <w:rFonts w:hint="cs"/>
          <w:rtl/>
        </w:rPr>
        <w:t xml:space="preserve">לתוקף של כל החוק, ב-1 ביוני. מכאן הדחיפות. גם אם </w:t>
      </w:r>
      <w:bookmarkStart w:id="16" w:name="_ETM_Q1_726503"/>
      <w:bookmarkEnd w:id="16"/>
      <w:r>
        <w:rPr>
          <w:rFonts w:hint="cs"/>
          <w:rtl/>
        </w:rPr>
        <w:t xml:space="preserve">המקטע הזה אולי ייכנס בשלב יותר מאוחר, חשוב לנו </w:t>
      </w:r>
      <w:bookmarkStart w:id="17" w:name="_ETM_Q1_729443"/>
      <w:bookmarkEnd w:id="17"/>
      <w:r>
        <w:rPr>
          <w:rFonts w:hint="cs"/>
          <w:rtl/>
        </w:rPr>
        <w:t xml:space="preserve">להשלים את כל ההסדרה שקשורה לפיקוח על נותני האשראי. </w:t>
      </w:r>
      <w:bookmarkStart w:id="18" w:name="_ETM_Q1_735747"/>
      <w:bookmarkEnd w:id="18"/>
      <w:r>
        <w:rPr>
          <w:rFonts w:hint="cs"/>
          <w:rtl/>
        </w:rPr>
        <w:t xml:space="preserve">מכאן הדחיפות. </w:t>
      </w:r>
    </w:p>
    <w:p w14:paraId="091265FF" w14:textId="77777777" w:rsidR="00DA434D" w:rsidRDefault="00DA434D" w:rsidP="00DA434D">
      <w:pPr>
        <w:rPr>
          <w:rFonts w:hint="cs"/>
          <w:rtl/>
        </w:rPr>
      </w:pPr>
      <w:bookmarkStart w:id="19" w:name="_ETM_Q1_738150"/>
      <w:bookmarkEnd w:id="19"/>
    </w:p>
    <w:p w14:paraId="21DFAC46" w14:textId="77777777" w:rsidR="00DA434D" w:rsidRDefault="00DA434D" w:rsidP="00DA434D">
      <w:pPr>
        <w:pStyle w:val="af"/>
        <w:keepNext/>
        <w:rPr>
          <w:rFonts w:hint="cs"/>
          <w:rtl/>
        </w:rPr>
      </w:pPr>
      <w:bookmarkStart w:id="20" w:name="_ETM_Q1_738169"/>
      <w:bookmarkEnd w:id="20"/>
      <w:r>
        <w:rPr>
          <w:rtl/>
        </w:rPr>
        <w:t>היו"ר יואב קיש:</w:t>
      </w:r>
    </w:p>
    <w:p w14:paraId="1CE0BB98" w14:textId="77777777" w:rsidR="00DA434D" w:rsidRDefault="00DA434D" w:rsidP="00DA434D">
      <w:pPr>
        <w:pStyle w:val="KeepWithNext"/>
        <w:rPr>
          <w:rFonts w:hint="cs"/>
          <w:rtl/>
        </w:rPr>
      </w:pPr>
    </w:p>
    <w:p w14:paraId="7489789A" w14:textId="77777777" w:rsidR="00DA434D" w:rsidRDefault="00DA434D" w:rsidP="00DA434D">
      <w:pPr>
        <w:rPr>
          <w:rFonts w:hint="cs"/>
          <w:rtl/>
        </w:rPr>
      </w:pPr>
      <w:r>
        <w:rPr>
          <w:rFonts w:hint="cs"/>
          <w:rtl/>
        </w:rPr>
        <w:t xml:space="preserve">תודה. מישהו רוצה להתייחס? </w:t>
      </w:r>
      <w:r w:rsidR="00EC336F">
        <w:rPr>
          <w:rFonts w:hint="cs"/>
          <w:rtl/>
        </w:rPr>
        <w:t xml:space="preserve">אנחנו בבקשת הממשלה לפטור </w:t>
      </w:r>
      <w:bookmarkStart w:id="21" w:name="_ETM_Q1_743029"/>
      <w:bookmarkEnd w:id="21"/>
      <w:r w:rsidR="00EC336F">
        <w:rPr>
          <w:rFonts w:hint="cs"/>
          <w:rtl/>
        </w:rPr>
        <w:t xml:space="preserve">מחובת הנחה לקריאה ראשונה. אנחנו מעלים את זה להצבעה. מי </w:t>
      </w:r>
      <w:bookmarkStart w:id="22" w:name="_ETM_Q1_746681"/>
      <w:bookmarkEnd w:id="22"/>
      <w:r w:rsidR="00EC336F">
        <w:rPr>
          <w:rFonts w:hint="cs"/>
          <w:rtl/>
        </w:rPr>
        <w:t xml:space="preserve">בעד? </w:t>
      </w:r>
    </w:p>
    <w:p w14:paraId="58E4A999" w14:textId="77777777" w:rsidR="00EC336F" w:rsidRDefault="00EC336F" w:rsidP="00DA434D">
      <w:pPr>
        <w:rPr>
          <w:rFonts w:hint="cs"/>
          <w:rtl/>
        </w:rPr>
      </w:pPr>
    </w:p>
    <w:p w14:paraId="574B43F3" w14:textId="77777777" w:rsidR="00EC336F" w:rsidRDefault="00EC336F" w:rsidP="00EC336F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7D7A944B" w14:textId="77777777" w:rsidR="00EC336F" w:rsidRDefault="00EC336F" w:rsidP="00EC336F">
      <w:pPr>
        <w:pStyle w:val="--"/>
        <w:keepNext/>
        <w:rPr>
          <w:rFonts w:hint="cs"/>
          <w:rtl/>
        </w:rPr>
      </w:pPr>
    </w:p>
    <w:p w14:paraId="62980B56" w14:textId="77777777" w:rsidR="00EC336F" w:rsidRDefault="00EC336F" w:rsidP="00EC336F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בקשת הממשלה</w:t>
      </w:r>
      <w:r>
        <w:rPr>
          <w:rtl/>
        </w:rPr>
        <w:t xml:space="preserve"> – </w:t>
      </w:r>
      <w:r>
        <w:rPr>
          <w:rFonts w:hint="cs"/>
          <w:rtl/>
        </w:rPr>
        <w:t>6</w:t>
      </w:r>
    </w:p>
    <w:p w14:paraId="7DF7D973" w14:textId="77777777" w:rsidR="00EC336F" w:rsidRDefault="00EC336F" w:rsidP="00EC336F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285E109B" w14:textId="77777777" w:rsidR="00EC336F" w:rsidRDefault="00EC336F" w:rsidP="00EC336F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3BAFDFA7" w14:textId="77777777" w:rsidR="00EC336F" w:rsidRDefault="00EC336F" w:rsidP="00EC336F">
      <w:pPr>
        <w:pStyle w:val="ab"/>
        <w:rPr>
          <w:rFonts w:hint="cs"/>
          <w:rtl/>
        </w:rPr>
      </w:pPr>
      <w:r>
        <w:rPr>
          <w:rFonts w:hint="cs"/>
          <w:rtl/>
        </w:rPr>
        <w:t>בקשת הממשלה לפטור מחובת הנחה נתקבלה.</w:t>
      </w:r>
    </w:p>
    <w:p w14:paraId="6523DF3C" w14:textId="77777777" w:rsidR="00EC336F" w:rsidRDefault="00EC336F" w:rsidP="00EC336F">
      <w:pPr>
        <w:rPr>
          <w:rFonts w:hint="cs"/>
          <w:rtl/>
        </w:rPr>
      </w:pPr>
    </w:p>
    <w:p w14:paraId="2C37EB46" w14:textId="77777777" w:rsidR="00EC336F" w:rsidRDefault="00EC336F" w:rsidP="00EC336F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7849942C" w14:textId="77777777" w:rsidR="00EC336F" w:rsidRDefault="00EC336F" w:rsidP="00EC336F">
      <w:pPr>
        <w:pStyle w:val="KeepWithNext"/>
        <w:rPr>
          <w:rtl/>
        </w:rPr>
      </w:pPr>
    </w:p>
    <w:p w14:paraId="39C66195" w14:textId="77777777" w:rsidR="00EC336F" w:rsidRDefault="00EC336F" w:rsidP="00EC336F">
      <w:pPr>
        <w:rPr>
          <w:rFonts w:hint="cs"/>
          <w:rtl/>
        </w:rPr>
      </w:pPr>
      <w:r>
        <w:rPr>
          <w:rFonts w:hint="cs"/>
          <w:rtl/>
        </w:rPr>
        <w:t xml:space="preserve">פה אחד. ההצעה התקבלה. </w:t>
      </w:r>
      <w:bookmarkStart w:id="23" w:name="_ETM_Q1_748358"/>
      <w:bookmarkEnd w:id="23"/>
    </w:p>
    <w:p w14:paraId="0A9A65E0" w14:textId="77777777" w:rsidR="00EC336F" w:rsidRDefault="00EC336F" w:rsidP="00EC336F">
      <w:pPr>
        <w:rPr>
          <w:rFonts w:hint="cs"/>
          <w:rtl/>
        </w:rPr>
      </w:pPr>
    </w:p>
    <w:p w14:paraId="6043068F" w14:textId="77777777" w:rsidR="00EC336F" w:rsidRDefault="00EC336F" w:rsidP="00EC336F">
      <w:pPr>
        <w:rPr>
          <w:rFonts w:hint="cs"/>
          <w:rtl/>
        </w:rPr>
      </w:pPr>
      <w:bookmarkStart w:id="24" w:name="_ETM_Q1_748624"/>
      <w:bookmarkEnd w:id="24"/>
      <w:r>
        <w:rPr>
          <w:rFonts w:hint="cs"/>
          <w:rtl/>
        </w:rPr>
        <w:t xml:space="preserve">תודה. אני נועל את הישיבה. </w:t>
      </w:r>
      <w:bookmarkStart w:id="25" w:name="_ETM_Q1_751974"/>
      <w:bookmarkEnd w:id="25"/>
    </w:p>
    <w:p w14:paraId="065F8108" w14:textId="77777777" w:rsidR="00EC336F" w:rsidRDefault="00EC336F" w:rsidP="00EC336F">
      <w:pPr>
        <w:rPr>
          <w:rFonts w:hint="cs"/>
          <w:rtl/>
        </w:rPr>
      </w:pPr>
    </w:p>
    <w:p w14:paraId="18E5C4A9" w14:textId="77777777" w:rsidR="00EC336F" w:rsidRDefault="00EC336F" w:rsidP="00EC336F">
      <w:pPr>
        <w:rPr>
          <w:rFonts w:hint="cs"/>
          <w:rtl/>
        </w:rPr>
      </w:pPr>
      <w:bookmarkStart w:id="26" w:name="_ETM_Q1_752263"/>
      <w:bookmarkEnd w:id="26"/>
    </w:p>
    <w:p w14:paraId="41B63613" w14:textId="77777777" w:rsidR="00EC336F" w:rsidRDefault="00EC336F" w:rsidP="00ED7FE9">
      <w:pPr>
        <w:pStyle w:val="af4"/>
        <w:keepNext/>
        <w:rPr>
          <w:rtl/>
        </w:rPr>
      </w:pPr>
      <w:bookmarkStart w:id="27" w:name="_ETM_Q1_752518"/>
      <w:bookmarkEnd w:id="27"/>
      <w:r>
        <w:rPr>
          <w:rtl/>
        </w:rPr>
        <w:t>הישיבה ננעלה בשעה 13:13.</w:t>
      </w:r>
    </w:p>
    <w:sectPr w:rsidR="00EC336F" w:rsidSect="002742D6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D7F72" w14:textId="77777777" w:rsidR="00145BF0" w:rsidRDefault="00145BF0">
      <w:r>
        <w:separator/>
      </w:r>
    </w:p>
  </w:endnote>
  <w:endnote w:type="continuationSeparator" w:id="0">
    <w:p w14:paraId="5CA2979E" w14:textId="77777777" w:rsidR="00145BF0" w:rsidRDefault="00145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556F7" w14:textId="77777777" w:rsidR="00145BF0" w:rsidRDefault="00145BF0">
      <w:r>
        <w:separator/>
      </w:r>
    </w:p>
  </w:footnote>
  <w:footnote w:type="continuationSeparator" w:id="0">
    <w:p w14:paraId="23738CFB" w14:textId="77777777" w:rsidR="00145BF0" w:rsidRDefault="00145B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F5D23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AD4DCE8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3D625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742D6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301B26CE" w14:textId="77777777" w:rsidR="00D86E57" w:rsidRPr="00CC5815" w:rsidRDefault="00BF73E5" w:rsidP="008E5E3F">
    <w:pPr>
      <w:pStyle w:val="Header"/>
      <w:ind w:firstLine="0"/>
    </w:pPr>
    <w:r>
      <w:rPr>
        <w:rtl/>
      </w:rPr>
      <w:t>ועדת הכנסת</w:t>
    </w:r>
  </w:p>
  <w:p w14:paraId="1CAC6CC1" w14:textId="77777777" w:rsidR="00D86E57" w:rsidRPr="00CC5815" w:rsidRDefault="00BF73E5" w:rsidP="008E5E3F">
    <w:pPr>
      <w:pStyle w:val="Header"/>
      <w:ind w:firstLine="0"/>
      <w:rPr>
        <w:rFonts w:hint="cs"/>
        <w:rtl/>
      </w:rPr>
    </w:pPr>
    <w:r>
      <w:rPr>
        <w:rtl/>
      </w:rPr>
      <w:t>21/03/2017</w:t>
    </w:r>
  </w:p>
  <w:p w14:paraId="1DD4D945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59ED2" w14:textId="77777777"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5FC3D9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621AC743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385B4189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7768497">
    <w:abstractNumId w:val="0"/>
  </w:num>
  <w:num w:numId="2" w16cid:durableId="267471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16B89"/>
    <w:rsid w:val="00145BF0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27FEF"/>
    <w:rsid w:val="00261554"/>
    <w:rsid w:val="002742D6"/>
    <w:rsid w:val="00275C03"/>
    <w:rsid w:val="00280D58"/>
    <w:rsid w:val="002D4BDB"/>
    <w:rsid w:val="002E5E31"/>
    <w:rsid w:val="00303B4C"/>
    <w:rsid w:val="00321E62"/>
    <w:rsid w:val="00327BF8"/>
    <w:rsid w:val="00340AFA"/>
    <w:rsid w:val="00342496"/>
    <w:rsid w:val="003658CB"/>
    <w:rsid w:val="00366CFB"/>
    <w:rsid w:val="00373508"/>
    <w:rsid w:val="00386EE6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872B4"/>
    <w:rsid w:val="007C693F"/>
    <w:rsid w:val="0082136D"/>
    <w:rsid w:val="008320F6"/>
    <w:rsid w:val="00841223"/>
    <w:rsid w:val="00846BE9"/>
    <w:rsid w:val="00853207"/>
    <w:rsid w:val="008555E9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3332A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BF73E5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5975"/>
    <w:rsid w:val="00C8624A"/>
    <w:rsid w:val="00CA5363"/>
    <w:rsid w:val="00CB6D60"/>
    <w:rsid w:val="00CC5815"/>
    <w:rsid w:val="00CE24B8"/>
    <w:rsid w:val="00CE5849"/>
    <w:rsid w:val="00D278F7"/>
    <w:rsid w:val="00D37550"/>
    <w:rsid w:val="00D45D27"/>
    <w:rsid w:val="00D86E57"/>
    <w:rsid w:val="00D96B24"/>
    <w:rsid w:val="00DA434D"/>
    <w:rsid w:val="00E427B7"/>
    <w:rsid w:val="00E61903"/>
    <w:rsid w:val="00E64116"/>
    <w:rsid w:val="00EA624B"/>
    <w:rsid w:val="00EB057D"/>
    <w:rsid w:val="00EB5C85"/>
    <w:rsid w:val="00EC0AC2"/>
    <w:rsid w:val="00EC2CD4"/>
    <w:rsid w:val="00EC336F"/>
    <w:rsid w:val="00ED7FE9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98E72AC"/>
  <w15:chartTrackingRefBased/>
  <w15:docId w15:val="{DFFEE040-A8EA-4C73-9553-50A9D4CA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12CF13-7161-4E84-8DD0-A7E592BA3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