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EC279" w14:textId="02A3BED7" w:rsidR="00877EF6" w:rsidRPr="00877EF6" w:rsidRDefault="00877EF6" w:rsidP="00B72780">
      <w:pPr>
        <w:pStyle w:val="Header"/>
        <w:jc w:val="center"/>
        <w:rPr>
          <w:color w:val="FF0000"/>
          <w:sz w:val="24"/>
          <w:szCs w:val="24"/>
        </w:rPr>
      </w:pPr>
      <w:r w:rsidRPr="00877EF6">
        <w:rPr>
          <w:color w:val="FF0000"/>
          <w:sz w:val="24"/>
          <w:szCs w:val="24"/>
        </w:rPr>
        <w:t>(this research has not been conducted, so all outcomes and results are hypothetical)</w:t>
      </w:r>
    </w:p>
    <w:p w14:paraId="28059CB7" w14:textId="2DA77DE4" w:rsidR="00D50050" w:rsidRPr="00D50050" w:rsidRDefault="00D50050" w:rsidP="00B72780">
      <w:pPr>
        <w:suppressAutoHyphens/>
        <w:spacing w:after="0" w:line="240" w:lineRule="auto"/>
        <w:rPr>
          <w:rFonts w:eastAsiaTheme="minorEastAsia"/>
          <w:b/>
          <w:bCs/>
          <w:sz w:val="32"/>
          <w:szCs w:val="32"/>
          <w:lang w:eastAsia="ja-JP"/>
        </w:rPr>
      </w:pPr>
      <w:r>
        <w:rPr>
          <w:rFonts w:eastAsiaTheme="minorEastAsia"/>
          <w:b/>
          <w:bCs/>
          <w:sz w:val="32"/>
          <w:szCs w:val="32"/>
          <w:lang w:eastAsia="ja-JP"/>
        </w:rPr>
        <w:t xml:space="preserve">Development of </w:t>
      </w:r>
      <w:r w:rsidR="00D441E5">
        <w:rPr>
          <w:rFonts w:eastAsiaTheme="minorEastAsia"/>
          <w:b/>
          <w:bCs/>
          <w:sz w:val="32"/>
          <w:szCs w:val="32"/>
          <w:lang w:eastAsia="ja-JP"/>
        </w:rPr>
        <w:t xml:space="preserve">a Transformation Protocol for </w:t>
      </w:r>
      <w:r w:rsidRPr="00D50050">
        <w:rPr>
          <w:rFonts w:eastAsiaTheme="minorEastAsia"/>
          <w:b/>
          <w:bCs/>
          <w:sz w:val="32"/>
          <w:szCs w:val="32"/>
          <w:lang w:eastAsia="ja-JP"/>
        </w:rPr>
        <w:t>Expression of Green Fluorescent Protein in Whole Geranium Plants</w:t>
      </w:r>
    </w:p>
    <w:p w14:paraId="67F72B0C" w14:textId="5579D163" w:rsidR="00D50050" w:rsidRPr="00D50050" w:rsidRDefault="00BD3341" w:rsidP="00B72780">
      <w:pPr>
        <w:spacing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Mohammed Al Kuabti</w:t>
      </w:r>
    </w:p>
    <w:p w14:paraId="2B3E4A6E" w14:textId="0D53EEA7" w:rsidR="00D50050" w:rsidRPr="00D50050" w:rsidRDefault="00D50050" w:rsidP="00B72780">
      <w:pPr>
        <w:spacing w:line="240" w:lineRule="auto"/>
        <w:rPr>
          <w:rFonts w:ascii="Times New Roman" w:eastAsia="Calibri" w:hAnsi="Times New Roman" w:cs="Times New Roman"/>
          <w:color w:val="000000"/>
          <w:sz w:val="24"/>
          <w:szCs w:val="24"/>
        </w:rPr>
      </w:pPr>
      <w:r w:rsidRPr="00D50050">
        <w:rPr>
          <w:rFonts w:ascii="Times New Roman" w:eastAsia="Calibri" w:hAnsi="Times New Roman" w:cs="Times New Roman"/>
          <w:i/>
          <w:iCs/>
          <w:color w:val="000000"/>
          <w:sz w:val="24"/>
          <w:szCs w:val="24"/>
        </w:rPr>
        <w:t>Key words:</w:t>
      </w:r>
      <w:r w:rsidRPr="00D50050">
        <w:rPr>
          <w:rFonts w:ascii="Times New Roman" w:eastAsia="Calibri" w:hAnsi="Times New Roman" w:cs="Times New Roman"/>
          <w:color w:val="000000"/>
          <w:sz w:val="24"/>
          <w:szCs w:val="24"/>
        </w:rPr>
        <w:t xml:space="preserve"> GFP, Transformation, Agrobacterium, Recombinant DNA, Geranium </w:t>
      </w:r>
    </w:p>
    <w:p w14:paraId="24F2A776" w14:textId="4F92855A" w:rsidR="00D50050" w:rsidRPr="00BD3341" w:rsidRDefault="0056554E" w:rsidP="00B72780">
      <w:pPr>
        <w:spacing w:line="240" w:lineRule="auto"/>
        <w:rPr>
          <w:rFonts w:asciiTheme="majorBidi" w:hAnsiTheme="majorBidi" w:cstheme="majorBidi"/>
          <w:i/>
          <w:iCs/>
          <w:sz w:val="24"/>
          <w:szCs w:val="24"/>
        </w:rPr>
      </w:pPr>
      <w:hyperlink r:id="rId8" w:history="1">
        <w:r w:rsidR="00BD3341" w:rsidRPr="00BD3341">
          <w:rPr>
            <w:rStyle w:val="Hyperlink"/>
            <w:rFonts w:asciiTheme="majorBidi" w:hAnsiTheme="majorBidi" w:cstheme="majorBidi"/>
            <w:i/>
            <w:iCs/>
            <w:sz w:val="24"/>
            <w:szCs w:val="24"/>
            <w:u w:val="none"/>
          </w:rPr>
          <w:t>Scientific Reports</w:t>
        </w:r>
      </w:hyperlink>
    </w:p>
    <w:p w14:paraId="2C12B6EF" w14:textId="77777777" w:rsidR="00BD3341" w:rsidRDefault="00BD3341" w:rsidP="00B72780">
      <w:pPr>
        <w:spacing w:line="240" w:lineRule="auto"/>
        <w:rPr>
          <w:rFonts w:asciiTheme="majorBidi" w:hAnsiTheme="majorBidi" w:cstheme="majorBidi"/>
          <w:b/>
          <w:bCs/>
          <w:sz w:val="28"/>
          <w:szCs w:val="28"/>
        </w:rPr>
      </w:pPr>
    </w:p>
    <w:p w14:paraId="771CB6F2" w14:textId="7D868113" w:rsidR="00894B71" w:rsidRPr="00BD3341" w:rsidRDefault="00D50050" w:rsidP="00B72780">
      <w:pPr>
        <w:spacing w:line="240" w:lineRule="auto"/>
        <w:rPr>
          <w:rFonts w:asciiTheme="majorBidi" w:hAnsiTheme="majorBidi" w:cstheme="majorBidi"/>
          <w:b/>
          <w:bCs/>
          <w:sz w:val="28"/>
          <w:szCs w:val="28"/>
        </w:rPr>
      </w:pPr>
      <w:r w:rsidRPr="00BD3341">
        <w:rPr>
          <w:rFonts w:asciiTheme="majorBidi" w:hAnsiTheme="majorBidi" w:cstheme="majorBidi"/>
          <w:b/>
          <w:bCs/>
          <w:sz w:val="28"/>
          <w:szCs w:val="28"/>
        </w:rPr>
        <w:t>Abstract</w:t>
      </w:r>
    </w:p>
    <w:p w14:paraId="37DF9200" w14:textId="3F023390" w:rsidR="00D50050" w:rsidRDefault="00D50050" w:rsidP="00B72780">
      <w:pPr>
        <w:spacing w:line="240" w:lineRule="auto"/>
        <w:rPr>
          <w:rFonts w:asciiTheme="majorBidi" w:hAnsiTheme="majorBidi" w:cstheme="majorBidi"/>
          <w:color w:val="FF0000"/>
          <w:sz w:val="24"/>
          <w:szCs w:val="24"/>
        </w:rPr>
      </w:pPr>
      <w:r w:rsidRPr="00E66F36">
        <w:rPr>
          <w:rFonts w:asciiTheme="majorBidi" w:hAnsiTheme="majorBidi" w:cstheme="majorBidi"/>
          <w:b/>
          <w:bCs/>
          <w:sz w:val="24"/>
          <w:szCs w:val="24"/>
        </w:rPr>
        <w:t xml:space="preserve">Background and Objective: </w:t>
      </w:r>
      <w:r w:rsidRPr="00E66F36">
        <w:rPr>
          <w:rFonts w:asciiTheme="majorBidi" w:hAnsiTheme="majorBidi" w:cstheme="majorBidi"/>
          <w:sz w:val="24"/>
          <w:szCs w:val="24"/>
        </w:rPr>
        <w:t xml:space="preserve">Green fluorescent protein (GFP) is readily used in plants as a reporter protein, but recently there is an increasing interest for using GFP to fluoresce all of the plant for ornamental purposes. Geraniums are common garden plants that are not heavily researched. The purpose of the experiment is to express GFP in all parts of the </w:t>
      </w:r>
      <w:r>
        <w:rPr>
          <w:rFonts w:asciiTheme="majorBidi" w:hAnsiTheme="majorBidi" w:cstheme="majorBidi"/>
          <w:sz w:val="24"/>
          <w:szCs w:val="24"/>
        </w:rPr>
        <w:t>g</w:t>
      </w:r>
      <w:r w:rsidRPr="00E66F36">
        <w:rPr>
          <w:rFonts w:asciiTheme="majorBidi" w:hAnsiTheme="majorBidi" w:cstheme="majorBidi"/>
          <w:sz w:val="24"/>
          <w:szCs w:val="24"/>
        </w:rPr>
        <w:t xml:space="preserve">eranium that is bright enough to be seen with the naked eye. </w:t>
      </w:r>
      <w:r w:rsidRPr="00E66F36">
        <w:rPr>
          <w:rFonts w:asciiTheme="majorBidi" w:hAnsiTheme="majorBidi" w:cstheme="majorBidi"/>
          <w:b/>
          <w:bCs/>
          <w:sz w:val="24"/>
          <w:szCs w:val="24"/>
        </w:rPr>
        <w:t xml:space="preserve">Method: </w:t>
      </w:r>
      <w:r w:rsidRPr="00E66F36">
        <w:rPr>
          <w:rFonts w:asciiTheme="majorBidi" w:hAnsiTheme="majorBidi" w:cstheme="majorBidi"/>
          <w:i/>
          <w:iCs/>
          <w:sz w:val="24"/>
          <w:szCs w:val="24"/>
        </w:rPr>
        <w:t>gfp</w:t>
      </w:r>
      <w:r w:rsidRPr="00E66F36">
        <w:rPr>
          <w:rFonts w:asciiTheme="majorBidi" w:hAnsiTheme="majorBidi" w:cstheme="majorBidi"/>
          <w:sz w:val="24"/>
          <w:szCs w:val="24"/>
        </w:rPr>
        <w:t xml:space="preserve"> gene is combined with the Ti plasmid through recombination. Then the recombinant vector is transformed in </w:t>
      </w:r>
      <w:r w:rsidRPr="00E66F36">
        <w:rPr>
          <w:rFonts w:asciiTheme="majorBidi" w:hAnsiTheme="majorBidi" w:cstheme="majorBidi"/>
          <w:i/>
          <w:iCs/>
          <w:sz w:val="24"/>
          <w:szCs w:val="24"/>
        </w:rPr>
        <w:t xml:space="preserve">Agrobacterium tumefacien. </w:t>
      </w:r>
      <w:r w:rsidRPr="00E66F36">
        <w:rPr>
          <w:rFonts w:asciiTheme="majorBidi" w:hAnsiTheme="majorBidi" w:cstheme="majorBidi"/>
          <w:sz w:val="24"/>
          <w:szCs w:val="24"/>
        </w:rPr>
        <w:t xml:space="preserve">Petiole explants </w:t>
      </w:r>
      <w:r w:rsidR="00772023">
        <w:rPr>
          <w:rFonts w:asciiTheme="majorBidi" w:hAnsiTheme="majorBidi" w:cstheme="majorBidi"/>
          <w:sz w:val="24"/>
          <w:szCs w:val="24"/>
        </w:rPr>
        <w:t>were</w:t>
      </w:r>
      <w:r w:rsidRPr="00E66F36">
        <w:rPr>
          <w:rFonts w:asciiTheme="majorBidi" w:hAnsiTheme="majorBidi" w:cstheme="majorBidi"/>
          <w:sz w:val="24"/>
          <w:szCs w:val="24"/>
        </w:rPr>
        <w:t xml:space="preserve"> inoculated in Murashige and Skoog (MS) media with a constant concentration of IAA and different concentrations of TDZ plant hormone. The petiole explants then get exposed to the transformed culture of bacteria. </w:t>
      </w:r>
      <w:r w:rsidRPr="00E66F36">
        <w:rPr>
          <w:rFonts w:asciiTheme="majorBidi" w:hAnsiTheme="majorBidi" w:cstheme="majorBidi"/>
          <w:b/>
          <w:bCs/>
          <w:sz w:val="24"/>
          <w:szCs w:val="24"/>
        </w:rPr>
        <w:t>Results</w:t>
      </w:r>
      <w:r w:rsidRPr="00E66F36">
        <w:rPr>
          <w:rFonts w:asciiTheme="majorBidi" w:hAnsiTheme="majorBidi" w:cstheme="majorBidi"/>
          <w:b/>
          <w:bCs/>
          <w:color w:val="FF0000"/>
          <w:sz w:val="24"/>
          <w:szCs w:val="24"/>
        </w:rPr>
        <w:t xml:space="preserve">: </w:t>
      </w:r>
      <w:r w:rsidRPr="00E66F36">
        <w:rPr>
          <w:rFonts w:asciiTheme="majorBidi" w:hAnsiTheme="majorBidi" w:cstheme="majorBidi"/>
          <w:color w:val="FF0000"/>
          <w:sz w:val="24"/>
          <w:szCs w:val="24"/>
        </w:rPr>
        <w:t xml:space="preserve">10 μM of TDZ proved to be most efficient for shoot regeneration. </w:t>
      </w:r>
      <w:bookmarkStart w:id="0" w:name="_Hlk64375152"/>
      <w:r w:rsidRPr="00E66F36">
        <w:rPr>
          <w:rFonts w:asciiTheme="majorBidi" w:hAnsiTheme="majorBidi" w:cstheme="majorBidi"/>
          <w:color w:val="FF0000"/>
          <w:sz w:val="24"/>
          <w:szCs w:val="24"/>
        </w:rPr>
        <w:t xml:space="preserve">As expected, the results were varied. Transformation did not occur in all samples. </w:t>
      </w:r>
      <w:r w:rsidR="000343EC">
        <w:rPr>
          <w:rFonts w:asciiTheme="majorBidi" w:hAnsiTheme="majorBidi" w:cstheme="majorBidi"/>
          <w:color w:val="FF0000"/>
          <w:sz w:val="24"/>
          <w:szCs w:val="24"/>
        </w:rPr>
        <w:t>4</w:t>
      </w:r>
      <w:r w:rsidRPr="00E66F36">
        <w:rPr>
          <w:rFonts w:asciiTheme="majorBidi" w:hAnsiTheme="majorBidi" w:cstheme="majorBidi"/>
          <w:color w:val="FF0000"/>
          <w:sz w:val="24"/>
          <w:szCs w:val="24"/>
        </w:rPr>
        <w:t xml:space="preserve"> of the samples expressed GFP in different degrees, some of the explants exhibited brighter fluorescence in leaves under UV. Other explants had a more even expression of GFP throughout the plant but not as bright fluorescence</w:t>
      </w:r>
      <w:bookmarkEnd w:id="0"/>
      <w:r w:rsidRPr="00E66F36">
        <w:rPr>
          <w:rFonts w:asciiTheme="majorBidi" w:hAnsiTheme="majorBidi" w:cstheme="majorBidi"/>
          <w:color w:val="FF0000"/>
          <w:sz w:val="24"/>
          <w:szCs w:val="24"/>
        </w:rPr>
        <w:t xml:space="preserve">. </w:t>
      </w:r>
      <w:r w:rsidRPr="00E66F36">
        <w:rPr>
          <w:rFonts w:asciiTheme="majorBidi" w:hAnsiTheme="majorBidi" w:cstheme="majorBidi"/>
          <w:b/>
          <w:bCs/>
          <w:color w:val="000000" w:themeColor="text1"/>
          <w:sz w:val="24"/>
          <w:szCs w:val="24"/>
        </w:rPr>
        <w:t>Conclusions:</w:t>
      </w:r>
      <w:r w:rsidRPr="00E66F36">
        <w:rPr>
          <w:rFonts w:asciiTheme="majorBidi" w:hAnsiTheme="majorBidi" w:cstheme="majorBidi"/>
          <w:color w:val="000000" w:themeColor="text1"/>
          <w:sz w:val="24"/>
          <w:szCs w:val="24"/>
        </w:rPr>
        <w:t xml:space="preserve"> </w:t>
      </w:r>
      <w:r w:rsidRPr="00E66F36">
        <w:rPr>
          <w:rFonts w:asciiTheme="majorBidi" w:hAnsiTheme="majorBidi" w:cstheme="majorBidi"/>
          <w:color w:val="FF0000"/>
          <w:sz w:val="24"/>
          <w:szCs w:val="24"/>
        </w:rPr>
        <w:t xml:space="preserve">These findings suggest that </w:t>
      </w:r>
      <w:r>
        <w:rPr>
          <w:rFonts w:asciiTheme="majorBidi" w:hAnsiTheme="majorBidi" w:cstheme="majorBidi"/>
          <w:color w:val="FF0000"/>
          <w:sz w:val="24"/>
          <w:szCs w:val="24"/>
        </w:rPr>
        <w:t>g</w:t>
      </w:r>
      <w:r w:rsidRPr="00E66F36">
        <w:rPr>
          <w:rFonts w:asciiTheme="majorBidi" w:hAnsiTheme="majorBidi" w:cstheme="majorBidi"/>
          <w:color w:val="FF0000"/>
          <w:sz w:val="24"/>
          <w:szCs w:val="24"/>
        </w:rPr>
        <w:t>eraniums are c</w:t>
      </w:r>
      <w:r>
        <w:rPr>
          <w:rFonts w:asciiTheme="majorBidi" w:hAnsiTheme="majorBidi" w:cstheme="majorBidi"/>
          <w:color w:val="FF0000"/>
          <w:sz w:val="24"/>
          <w:szCs w:val="24"/>
        </w:rPr>
        <w:t>apable of transformation and cultivation. However, levels of GFP expression are not as high as desired. The discrepancy might have happened due to the transformation of the geraniums. The error might also lay in the recombinant plasmid that was originally designed.</w:t>
      </w:r>
      <w:r w:rsidR="001F02D9">
        <w:rPr>
          <w:rFonts w:asciiTheme="majorBidi" w:hAnsiTheme="majorBidi" w:cstheme="majorBidi"/>
          <w:color w:val="FF0000"/>
          <w:sz w:val="24"/>
          <w:szCs w:val="24"/>
        </w:rPr>
        <w:t xml:space="preserve"> Using genes modified for use in plants might result in brighter expression of GFP.</w:t>
      </w:r>
    </w:p>
    <w:p w14:paraId="335757BF" w14:textId="55395777" w:rsidR="00E614DD" w:rsidRDefault="00E614DD" w:rsidP="00B72780">
      <w:pPr>
        <w:spacing w:line="240" w:lineRule="auto"/>
      </w:pPr>
    </w:p>
    <w:p w14:paraId="4C6C1E8A" w14:textId="23997078" w:rsidR="007C374F" w:rsidRPr="00BD3341" w:rsidRDefault="00D441E5" w:rsidP="00B72780">
      <w:pPr>
        <w:spacing w:line="240" w:lineRule="auto"/>
        <w:rPr>
          <w:b/>
          <w:bCs/>
          <w:sz w:val="28"/>
          <w:szCs w:val="28"/>
        </w:rPr>
      </w:pPr>
      <w:r w:rsidRPr="00BD3341">
        <w:rPr>
          <w:b/>
          <w:bCs/>
          <w:sz w:val="28"/>
          <w:szCs w:val="28"/>
        </w:rPr>
        <w:t>Introduction</w:t>
      </w:r>
    </w:p>
    <w:p w14:paraId="50690FC8" w14:textId="24301FC9" w:rsidR="00BD15C2" w:rsidRDefault="007C374F" w:rsidP="00B72780">
      <w:pPr>
        <w:spacing w:line="240" w:lineRule="auto"/>
        <w:rPr>
          <w:sz w:val="24"/>
          <w:szCs w:val="24"/>
        </w:rPr>
      </w:pPr>
      <w:r w:rsidRPr="007C374F">
        <w:rPr>
          <w:sz w:val="24"/>
          <w:szCs w:val="24"/>
        </w:rPr>
        <w:t>Green fluorescent protein (GFP) is a protein produced by the jellyfish,</w:t>
      </w:r>
      <w:r w:rsidRPr="007C374F">
        <w:rPr>
          <w:i/>
          <w:iCs/>
          <w:sz w:val="24"/>
          <w:szCs w:val="24"/>
        </w:rPr>
        <w:t xml:space="preserve"> Aequorea victoria</w:t>
      </w:r>
      <w:r w:rsidRPr="007C374F">
        <w:rPr>
          <w:sz w:val="24"/>
          <w:szCs w:val="24"/>
        </w:rPr>
        <w:t xml:space="preserve"> that absorbs light to exhibit a green fluorescence</w:t>
      </w:r>
      <w:r w:rsidRPr="007C374F">
        <w:rPr>
          <w:sz w:val="24"/>
          <w:szCs w:val="24"/>
          <w:vertAlign w:val="superscript"/>
        </w:rPr>
        <w:t>7</w:t>
      </w:r>
      <w:r w:rsidRPr="007C374F">
        <w:rPr>
          <w:sz w:val="24"/>
          <w:szCs w:val="24"/>
        </w:rPr>
        <w:t xml:space="preserve">. The fluorescence is easily detectable which made GFP valuable as a marker protein. Therefore, this means that GFP can be used to track the presence of other proteins or genes. GFP is mainly used in bacteria, but its use in mammals and plants </w:t>
      </w:r>
      <w:r w:rsidR="00AE21A1">
        <w:rPr>
          <w:sz w:val="24"/>
          <w:szCs w:val="24"/>
        </w:rPr>
        <w:t>is</w:t>
      </w:r>
      <w:r w:rsidRPr="007C374F">
        <w:rPr>
          <w:sz w:val="24"/>
          <w:szCs w:val="24"/>
        </w:rPr>
        <w:t xml:space="preserve"> increasing. In plants, GFP is becoming a vital marker and can be used to track a virus or a transgene throughout the plant</w:t>
      </w:r>
      <w:r w:rsidRPr="007C374F">
        <w:rPr>
          <w:sz w:val="24"/>
          <w:szCs w:val="24"/>
          <w:vertAlign w:val="superscript"/>
        </w:rPr>
        <w:t>1</w:t>
      </w:r>
      <w:r w:rsidRPr="007C374F">
        <w:rPr>
          <w:sz w:val="24"/>
          <w:szCs w:val="24"/>
        </w:rPr>
        <w:t xml:space="preserve">. GFP is often used as a tool to confirm or deny the results of another experiment. Usually, only a specific part of the plant </w:t>
      </w:r>
      <w:r w:rsidR="00AE21A1">
        <w:rPr>
          <w:sz w:val="24"/>
          <w:szCs w:val="24"/>
        </w:rPr>
        <w:t>will</w:t>
      </w:r>
      <w:r w:rsidRPr="007C374F">
        <w:rPr>
          <w:sz w:val="24"/>
          <w:szCs w:val="24"/>
        </w:rPr>
        <w:t xml:space="preserve"> fluoresce. Fluorescing all parts of the plant is difficult due to the different levels of gene expression. </w:t>
      </w:r>
    </w:p>
    <w:p w14:paraId="0BD25EBB" w14:textId="5F43E2BC" w:rsidR="00BD15C2" w:rsidRDefault="00BD15C2" w:rsidP="00B72780">
      <w:pPr>
        <w:suppressAutoHyphens/>
        <w:spacing w:after="0" w:line="240" w:lineRule="auto"/>
        <w:rPr>
          <w:rFonts w:eastAsiaTheme="minorEastAsia"/>
          <w:sz w:val="24"/>
          <w:szCs w:val="24"/>
          <w:lang w:eastAsia="ja-JP"/>
        </w:rPr>
      </w:pPr>
      <w:r w:rsidRPr="00CF3DBD">
        <w:rPr>
          <w:rFonts w:eastAsiaTheme="minorEastAsia"/>
          <w:sz w:val="24"/>
          <w:szCs w:val="24"/>
          <w:lang w:eastAsia="ja-JP"/>
        </w:rPr>
        <w:t xml:space="preserve">GFP in plants is expressed through recombinant DNA technology. The </w:t>
      </w:r>
      <w:r w:rsidRPr="00CF3DBD">
        <w:rPr>
          <w:rFonts w:eastAsiaTheme="minorEastAsia"/>
          <w:i/>
          <w:iCs/>
          <w:sz w:val="24"/>
          <w:szCs w:val="24"/>
          <w:lang w:eastAsia="ja-JP"/>
        </w:rPr>
        <w:t>gfp</w:t>
      </w:r>
      <w:r w:rsidRPr="00CF3DBD">
        <w:rPr>
          <w:rFonts w:eastAsiaTheme="minorEastAsia"/>
          <w:sz w:val="24"/>
          <w:szCs w:val="24"/>
          <w:lang w:eastAsia="ja-JP"/>
        </w:rPr>
        <w:t xml:space="preserve"> gene that expresses the green fluorescent protein can be combined with the gene of interest that is being studied. This complex, or recombinant DNA, is then inserted in the cell. If the GFP is expressed, then the target gene was successfully transferred in the cell and is also expressed. This process saves </w:t>
      </w:r>
      <w:r w:rsidRPr="00CF3DBD">
        <w:rPr>
          <w:rFonts w:eastAsiaTheme="minorEastAsia"/>
          <w:sz w:val="24"/>
          <w:szCs w:val="24"/>
          <w:lang w:eastAsia="ja-JP"/>
        </w:rPr>
        <w:lastRenderedPageBreak/>
        <w:t xml:space="preserve">money and time by eliminating the need for gene sequencing to confirm results. For this project, the target gene is the </w:t>
      </w:r>
      <w:r w:rsidRPr="00CF3DBD">
        <w:rPr>
          <w:rFonts w:eastAsiaTheme="minorEastAsia"/>
          <w:i/>
          <w:iCs/>
          <w:sz w:val="24"/>
          <w:szCs w:val="24"/>
          <w:lang w:eastAsia="ja-JP"/>
        </w:rPr>
        <w:t>gfp</w:t>
      </w:r>
      <w:r w:rsidRPr="00CF3DBD">
        <w:rPr>
          <w:rFonts w:eastAsiaTheme="minorEastAsia"/>
          <w:sz w:val="24"/>
          <w:szCs w:val="24"/>
          <w:lang w:eastAsia="ja-JP"/>
        </w:rPr>
        <w:t xml:space="preserve"> gene itself. </w:t>
      </w:r>
    </w:p>
    <w:p w14:paraId="4A5E3EEE" w14:textId="77777777" w:rsidR="00280437" w:rsidRDefault="00280437" w:rsidP="00B72780">
      <w:pPr>
        <w:suppressAutoHyphens/>
        <w:spacing w:after="0" w:line="240" w:lineRule="auto"/>
        <w:rPr>
          <w:rFonts w:eastAsiaTheme="minorEastAsia"/>
          <w:sz w:val="24"/>
          <w:szCs w:val="24"/>
          <w:lang w:eastAsia="ja-JP"/>
        </w:rPr>
      </w:pPr>
    </w:p>
    <w:p w14:paraId="77CAE798" w14:textId="51D124DB" w:rsidR="00280437" w:rsidRDefault="00280437" w:rsidP="00B72780">
      <w:pPr>
        <w:suppressAutoHyphens/>
        <w:spacing w:after="0" w:line="240" w:lineRule="auto"/>
        <w:rPr>
          <w:rFonts w:eastAsiaTheme="minorEastAsia"/>
          <w:sz w:val="24"/>
          <w:szCs w:val="24"/>
          <w:lang w:eastAsia="ja-JP"/>
        </w:rPr>
      </w:pPr>
      <w:r w:rsidRPr="00CF3DBD">
        <w:rPr>
          <w:rFonts w:eastAsiaTheme="minorEastAsia"/>
          <w:sz w:val="24"/>
          <w:szCs w:val="24"/>
          <w:lang w:eastAsia="ja-JP"/>
        </w:rPr>
        <w:t>The bacteria Agrobacterium tumefaciens is the medium that deliver</w:t>
      </w:r>
      <w:r w:rsidR="00772023">
        <w:rPr>
          <w:rFonts w:eastAsiaTheme="minorEastAsia"/>
          <w:sz w:val="24"/>
          <w:szCs w:val="24"/>
          <w:lang w:eastAsia="ja-JP"/>
        </w:rPr>
        <w:t>s</w:t>
      </w:r>
      <w:r w:rsidRPr="00CF3DBD">
        <w:rPr>
          <w:rFonts w:eastAsiaTheme="minorEastAsia"/>
          <w:sz w:val="24"/>
          <w:szCs w:val="24"/>
          <w:lang w:eastAsia="ja-JP"/>
        </w:rPr>
        <w:t xml:space="preserve"> the recombinant DNA fragment into the nucleus of the plant cell. In nature, Agrobacterium causes crown gall disease. It does so by integrating a part of its own DNA, called T-DNA into the plant genome. This triggers rapid cell growth in plants which results in the galls. T- DNA can be modified so that the agrobacterium transfers the gene of interest into the plant. </w:t>
      </w:r>
    </w:p>
    <w:p w14:paraId="3E23B50B" w14:textId="77777777" w:rsidR="00280437" w:rsidRDefault="00280437" w:rsidP="00B72780">
      <w:pPr>
        <w:suppressAutoHyphens/>
        <w:spacing w:after="0" w:line="240" w:lineRule="auto"/>
        <w:rPr>
          <w:rFonts w:eastAsiaTheme="minorEastAsia"/>
          <w:sz w:val="24"/>
          <w:szCs w:val="24"/>
          <w:lang w:eastAsia="ja-JP"/>
        </w:rPr>
      </w:pPr>
    </w:p>
    <w:p w14:paraId="7AE54687" w14:textId="47038C5A" w:rsidR="00280437" w:rsidRPr="00D14E45" w:rsidRDefault="00280437" w:rsidP="00B72780">
      <w:pPr>
        <w:suppressAutoHyphens/>
        <w:spacing w:after="0" w:line="240" w:lineRule="auto"/>
        <w:rPr>
          <w:rFonts w:eastAsiaTheme="minorEastAsia"/>
          <w:sz w:val="24"/>
          <w:szCs w:val="24"/>
          <w:lang w:eastAsia="ja-JP"/>
        </w:rPr>
      </w:pPr>
      <w:r w:rsidRPr="00CF3DBD">
        <w:rPr>
          <w:rFonts w:eastAsiaTheme="minorEastAsia"/>
          <w:sz w:val="24"/>
          <w:szCs w:val="24"/>
          <w:lang w:eastAsia="ja-JP"/>
        </w:rPr>
        <w:t>The 35S promoter is a key factor in allowing the</w:t>
      </w:r>
      <w:r w:rsidRPr="00CF3DBD">
        <w:rPr>
          <w:rFonts w:ascii="Arial" w:eastAsiaTheme="minorEastAsia" w:hAnsi="Arial" w:cs="Arial"/>
          <w:color w:val="4D5156"/>
          <w:sz w:val="21"/>
          <w:szCs w:val="21"/>
          <w:shd w:val="clear" w:color="auto" w:fill="FFFFFF"/>
          <w:lang w:eastAsia="ja-JP"/>
        </w:rPr>
        <w:t xml:space="preserve"> </w:t>
      </w:r>
      <w:r w:rsidRPr="00CF3DBD">
        <w:rPr>
          <w:rFonts w:eastAsiaTheme="minorEastAsia"/>
          <w:sz w:val="24"/>
          <w:szCs w:val="24"/>
          <w:lang w:eastAsia="ja-JP"/>
        </w:rPr>
        <w:t xml:space="preserve">artificially inserted gene to be expressed by the host plant. It is derived from the cauliflower mosaic virus and is a component in more than 80% of the genetically modified (GM) </w:t>
      </w:r>
      <w:r w:rsidRPr="00D14E45">
        <w:rPr>
          <w:rFonts w:eastAsiaTheme="minorEastAsia"/>
          <w:sz w:val="24"/>
          <w:szCs w:val="24"/>
          <w:lang w:eastAsia="ja-JP"/>
        </w:rPr>
        <w:t>plants</w:t>
      </w:r>
      <w:r w:rsidRPr="00D14E45">
        <w:rPr>
          <w:rFonts w:eastAsiaTheme="minorEastAsia"/>
          <w:sz w:val="24"/>
          <w:szCs w:val="24"/>
          <w:vertAlign w:val="superscript"/>
          <w:lang w:eastAsia="ja-JP"/>
        </w:rPr>
        <w:t>4</w:t>
      </w:r>
      <w:r w:rsidRPr="00D14E45">
        <w:rPr>
          <w:rFonts w:eastAsiaTheme="minorEastAsia"/>
          <w:sz w:val="24"/>
          <w:szCs w:val="24"/>
          <w:lang w:eastAsia="ja-JP"/>
        </w:rPr>
        <w:t xml:space="preserve">. Once the </w:t>
      </w:r>
      <w:r w:rsidRPr="00D14E45">
        <w:rPr>
          <w:rFonts w:eastAsiaTheme="minorEastAsia"/>
          <w:i/>
          <w:iCs/>
          <w:sz w:val="24"/>
          <w:szCs w:val="24"/>
          <w:lang w:eastAsia="ja-JP"/>
        </w:rPr>
        <w:t>gfp</w:t>
      </w:r>
      <w:r w:rsidRPr="00D14E45">
        <w:rPr>
          <w:rFonts w:eastAsiaTheme="minorEastAsia"/>
          <w:sz w:val="24"/>
          <w:szCs w:val="24"/>
          <w:lang w:eastAsia="ja-JP"/>
        </w:rPr>
        <w:t xml:space="preserve"> gene is engineered to accommodate plant cells, it is inserted in the T-DNA region of the Ti plasmid. This is </w:t>
      </w:r>
      <w:r w:rsidR="00AE21A1">
        <w:rPr>
          <w:rFonts w:eastAsiaTheme="minorEastAsia"/>
          <w:sz w:val="24"/>
          <w:szCs w:val="24"/>
          <w:lang w:eastAsia="ja-JP"/>
        </w:rPr>
        <w:t>performed</w:t>
      </w:r>
      <w:r w:rsidRPr="00D14E45">
        <w:rPr>
          <w:rFonts w:eastAsiaTheme="minorEastAsia"/>
          <w:sz w:val="24"/>
          <w:szCs w:val="24"/>
          <w:lang w:eastAsia="ja-JP"/>
        </w:rPr>
        <w:t xml:space="preserve"> through bacterial transformation which allows bacterial cells to integrate the foreign DNA into their genome</w:t>
      </w:r>
      <w:r w:rsidRPr="00D14E45">
        <w:rPr>
          <w:rFonts w:eastAsiaTheme="minorEastAsia"/>
          <w:sz w:val="24"/>
          <w:szCs w:val="24"/>
          <w:vertAlign w:val="superscript"/>
          <w:lang w:eastAsia="ja-JP"/>
        </w:rPr>
        <w:t>3</w:t>
      </w:r>
      <w:r w:rsidRPr="00D14E45">
        <w:rPr>
          <w:rFonts w:eastAsiaTheme="minorEastAsia"/>
          <w:sz w:val="24"/>
          <w:szCs w:val="24"/>
          <w:lang w:eastAsia="ja-JP"/>
        </w:rPr>
        <w:t xml:space="preserve">. </w:t>
      </w:r>
      <w:r w:rsidR="00CE1164" w:rsidRPr="00D14E45">
        <w:rPr>
          <w:rFonts w:eastAsiaTheme="minorEastAsia"/>
          <w:sz w:val="24"/>
          <w:szCs w:val="24"/>
          <w:lang w:eastAsia="ja-JP"/>
        </w:rPr>
        <w:t>After that, t</w:t>
      </w:r>
      <w:r w:rsidRPr="00D14E45">
        <w:rPr>
          <w:rFonts w:eastAsiaTheme="minorEastAsia"/>
          <w:sz w:val="24"/>
          <w:szCs w:val="24"/>
          <w:lang w:eastAsia="ja-JP"/>
        </w:rPr>
        <w:t>he agrobacterium is now ready to infect the plants and transfer the recombinant DNA to the plant</w:t>
      </w:r>
      <w:r w:rsidR="00CE1164" w:rsidRPr="00D14E45">
        <w:rPr>
          <w:rFonts w:eastAsiaTheme="minorEastAsia"/>
          <w:sz w:val="24"/>
          <w:szCs w:val="24"/>
          <w:lang w:eastAsia="ja-JP"/>
        </w:rPr>
        <w:t>.</w:t>
      </w:r>
      <w:r w:rsidR="00772023" w:rsidRPr="00D14E45">
        <w:rPr>
          <w:rFonts w:eastAsiaTheme="minorEastAsia"/>
          <w:sz w:val="24"/>
          <w:szCs w:val="24"/>
          <w:lang w:eastAsia="ja-JP"/>
        </w:rPr>
        <w:t xml:space="preserve"> The heat-shock method was used for transforming agrobacterium since it is the simplest method, thus easier to replicate</w:t>
      </w:r>
    </w:p>
    <w:p w14:paraId="60E6A5B9" w14:textId="77777777" w:rsidR="00280437" w:rsidRPr="00D14E45" w:rsidRDefault="00280437" w:rsidP="00B72780">
      <w:pPr>
        <w:suppressAutoHyphens/>
        <w:spacing w:after="0" w:line="240" w:lineRule="auto"/>
        <w:rPr>
          <w:rFonts w:eastAsiaTheme="minorEastAsia"/>
          <w:sz w:val="24"/>
          <w:szCs w:val="24"/>
          <w:lang w:eastAsia="ja-JP"/>
        </w:rPr>
      </w:pPr>
    </w:p>
    <w:p w14:paraId="12F9F859" w14:textId="446F3E94" w:rsidR="00735CB6" w:rsidRDefault="00BD15C2" w:rsidP="00B72780">
      <w:pPr>
        <w:suppressAutoHyphens/>
        <w:spacing w:after="0" w:line="240" w:lineRule="auto"/>
        <w:rPr>
          <w:rFonts w:eastAsiaTheme="minorEastAsia"/>
          <w:sz w:val="24"/>
          <w:szCs w:val="24"/>
          <w:lang w:eastAsia="ja-JP"/>
        </w:rPr>
      </w:pPr>
      <w:r w:rsidRPr="00D14E45">
        <w:rPr>
          <w:rFonts w:eastAsiaTheme="minorEastAsia"/>
          <w:sz w:val="24"/>
          <w:szCs w:val="24"/>
          <w:lang w:eastAsia="ja-JP"/>
        </w:rPr>
        <w:t xml:space="preserve">Before attempting to transfer </w:t>
      </w:r>
      <w:r w:rsidRPr="00D14E45">
        <w:rPr>
          <w:rFonts w:eastAsiaTheme="minorEastAsia"/>
          <w:i/>
          <w:iCs/>
          <w:sz w:val="24"/>
          <w:szCs w:val="24"/>
          <w:lang w:eastAsia="ja-JP"/>
        </w:rPr>
        <w:t>gfp</w:t>
      </w:r>
      <w:r w:rsidRPr="00D14E45">
        <w:rPr>
          <w:rFonts w:eastAsiaTheme="minorEastAsia"/>
          <w:sz w:val="24"/>
          <w:szCs w:val="24"/>
          <w:lang w:eastAsia="ja-JP"/>
        </w:rPr>
        <w:t xml:space="preserve"> into geraniums, first the growth media needs to be optimized for callus tissue generation</w:t>
      </w:r>
      <w:r w:rsidRPr="00D14E45">
        <w:rPr>
          <w:rFonts w:eastAsiaTheme="minorEastAsia"/>
          <w:sz w:val="24"/>
          <w:szCs w:val="24"/>
          <w:vertAlign w:val="superscript"/>
          <w:lang w:eastAsia="ja-JP"/>
        </w:rPr>
        <w:t>2</w:t>
      </w:r>
      <w:r w:rsidRPr="00D14E45">
        <w:rPr>
          <w:rFonts w:eastAsiaTheme="minorEastAsia"/>
          <w:sz w:val="24"/>
          <w:szCs w:val="24"/>
          <w:lang w:eastAsia="ja-JP"/>
        </w:rPr>
        <w:t>. Different concentrations of the plant growth hormones</w:t>
      </w:r>
      <w:r w:rsidR="00772023" w:rsidRPr="00D14E45">
        <w:rPr>
          <w:rFonts w:eastAsiaTheme="minorEastAsia"/>
          <w:sz w:val="24"/>
          <w:szCs w:val="24"/>
          <w:lang w:eastAsia="ja-JP"/>
        </w:rPr>
        <w:t>,</w:t>
      </w:r>
      <w:r w:rsidRPr="00D14E45">
        <w:rPr>
          <w:rFonts w:eastAsiaTheme="minorEastAsia"/>
          <w:sz w:val="24"/>
          <w:szCs w:val="24"/>
          <w:lang w:eastAsia="ja-JP"/>
        </w:rPr>
        <w:t xml:space="preserve"> auxin and cytokinin</w:t>
      </w:r>
      <w:r w:rsidR="00772023" w:rsidRPr="00D14E45">
        <w:rPr>
          <w:rFonts w:eastAsiaTheme="minorEastAsia"/>
          <w:sz w:val="24"/>
          <w:szCs w:val="24"/>
          <w:lang w:eastAsia="ja-JP"/>
        </w:rPr>
        <w:t>, are responsible for</w:t>
      </w:r>
      <w:r w:rsidRPr="00D14E45">
        <w:rPr>
          <w:rFonts w:eastAsiaTheme="minorEastAsia"/>
          <w:sz w:val="24"/>
          <w:szCs w:val="24"/>
          <w:lang w:eastAsia="ja-JP"/>
        </w:rPr>
        <w:t xml:space="preserve"> initiat</w:t>
      </w:r>
      <w:r w:rsidR="00772023" w:rsidRPr="00D14E45">
        <w:rPr>
          <w:rFonts w:eastAsiaTheme="minorEastAsia"/>
          <w:sz w:val="24"/>
          <w:szCs w:val="24"/>
          <w:lang w:eastAsia="ja-JP"/>
        </w:rPr>
        <w:t>ing</w:t>
      </w:r>
      <w:r w:rsidRPr="00D14E45">
        <w:rPr>
          <w:rFonts w:eastAsiaTheme="minorEastAsia"/>
          <w:sz w:val="24"/>
          <w:szCs w:val="24"/>
          <w:lang w:eastAsia="ja-JP"/>
        </w:rPr>
        <w:t xml:space="preserve"> callus growth. Callus tissue refers to plant cells that are undifferentiated, which makes them ideal for in vitro propagation. It’s important to confirm that geraniums can be regenerated in vitro </w:t>
      </w:r>
      <w:r w:rsidRPr="00CF3DBD">
        <w:rPr>
          <w:rFonts w:eastAsiaTheme="minorEastAsia"/>
          <w:sz w:val="24"/>
          <w:szCs w:val="24"/>
          <w:lang w:eastAsia="ja-JP"/>
        </w:rPr>
        <w:t xml:space="preserve">before attempting transformation. </w:t>
      </w:r>
      <w:r w:rsidR="00280437">
        <w:rPr>
          <w:rFonts w:eastAsiaTheme="minorEastAsia"/>
          <w:sz w:val="24"/>
          <w:szCs w:val="24"/>
          <w:lang w:eastAsia="ja-JP"/>
        </w:rPr>
        <w:t xml:space="preserve">Fortunately, previous research </w:t>
      </w:r>
      <w:r w:rsidR="00F73F8B">
        <w:rPr>
          <w:rFonts w:eastAsiaTheme="minorEastAsia"/>
          <w:sz w:val="24"/>
          <w:szCs w:val="24"/>
          <w:lang w:eastAsia="ja-JP"/>
        </w:rPr>
        <w:t xml:space="preserve">has been </w:t>
      </w:r>
      <w:r w:rsidR="00280437">
        <w:rPr>
          <w:rFonts w:eastAsiaTheme="minorEastAsia"/>
          <w:sz w:val="24"/>
          <w:szCs w:val="24"/>
          <w:lang w:eastAsia="ja-JP"/>
        </w:rPr>
        <w:t xml:space="preserve">conducted </w:t>
      </w:r>
      <w:r w:rsidR="00CE1164">
        <w:rPr>
          <w:rFonts w:eastAsiaTheme="minorEastAsia"/>
          <w:sz w:val="24"/>
          <w:szCs w:val="24"/>
          <w:lang w:eastAsia="ja-JP"/>
        </w:rPr>
        <w:t>regarding geranium shoot regeneration</w:t>
      </w:r>
      <w:r w:rsidR="00CE1164">
        <w:rPr>
          <w:rFonts w:eastAsiaTheme="minorEastAsia"/>
          <w:sz w:val="24"/>
          <w:szCs w:val="24"/>
          <w:vertAlign w:val="superscript"/>
          <w:lang w:eastAsia="ja-JP"/>
        </w:rPr>
        <w:t>2</w:t>
      </w:r>
      <w:r w:rsidR="00F73F8B">
        <w:rPr>
          <w:rFonts w:eastAsiaTheme="minorEastAsia"/>
          <w:sz w:val="24"/>
          <w:szCs w:val="24"/>
          <w:lang w:eastAsia="ja-JP"/>
        </w:rPr>
        <w:t>.</w:t>
      </w:r>
      <w:r w:rsidR="00877EF6">
        <w:rPr>
          <w:rFonts w:eastAsiaTheme="minorEastAsia"/>
          <w:sz w:val="24"/>
          <w:szCs w:val="24"/>
          <w:lang w:eastAsia="ja-JP"/>
        </w:rPr>
        <w:t xml:space="preserve"> </w:t>
      </w:r>
      <w:r w:rsidR="00CE1164">
        <w:rPr>
          <w:rFonts w:eastAsiaTheme="minorEastAsia"/>
          <w:sz w:val="24"/>
          <w:szCs w:val="24"/>
          <w:lang w:eastAsia="ja-JP"/>
        </w:rPr>
        <w:t xml:space="preserve">Winkelmann </w:t>
      </w:r>
      <w:r w:rsidR="004F3618">
        <w:rPr>
          <w:rFonts w:eastAsiaTheme="minorEastAsia"/>
          <w:sz w:val="24"/>
          <w:szCs w:val="24"/>
          <w:lang w:eastAsia="ja-JP"/>
        </w:rPr>
        <w:t>et al (</w:t>
      </w:r>
      <w:r w:rsidR="00CE1164">
        <w:rPr>
          <w:rFonts w:eastAsiaTheme="minorEastAsia"/>
          <w:sz w:val="24"/>
          <w:szCs w:val="24"/>
          <w:lang w:eastAsia="ja-JP"/>
        </w:rPr>
        <w:t>2005</w:t>
      </w:r>
      <w:r w:rsidR="004F3618">
        <w:rPr>
          <w:rFonts w:eastAsiaTheme="minorEastAsia"/>
          <w:sz w:val="24"/>
          <w:szCs w:val="24"/>
          <w:lang w:eastAsia="ja-JP"/>
        </w:rPr>
        <w:t>)</w:t>
      </w:r>
      <w:r w:rsidR="00CE1164">
        <w:rPr>
          <w:rFonts w:eastAsiaTheme="minorEastAsia"/>
          <w:sz w:val="24"/>
          <w:szCs w:val="24"/>
          <w:lang w:eastAsia="ja-JP"/>
        </w:rPr>
        <w:t xml:space="preserve"> provide a protocol that indicates </w:t>
      </w:r>
      <w:r w:rsidR="00877EF6">
        <w:rPr>
          <w:rFonts w:eastAsiaTheme="minorEastAsia"/>
          <w:sz w:val="24"/>
          <w:szCs w:val="24"/>
          <w:lang w:eastAsia="ja-JP"/>
        </w:rPr>
        <w:t>the hormone concentrations for optimal</w:t>
      </w:r>
      <w:r w:rsidR="00CE1164">
        <w:rPr>
          <w:rFonts w:eastAsiaTheme="minorEastAsia"/>
          <w:sz w:val="24"/>
          <w:szCs w:val="24"/>
          <w:lang w:eastAsia="ja-JP"/>
        </w:rPr>
        <w:t xml:space="preserve"> shoot regeneration for transformation.</w:t>
      </w:r>
      <w:r w:rsidR="00877EF6">
        <w:rPr>
          <w:rFonts w:eastAsiaTheme="minorEastAsia"/>
          <w:sz w:val="24"/>
          <w:szCs w:val="24"/>
          <w:lang w:eastAsia="ja-JP"/>
        </w:rPr>
        <w:t xml:space="preserve"> To confirm this research, we were able to recreate the shoot regeneration protocol and achieved similar results.</w:t>
      </w:r>
    </w:p>
    <w:p w14:paraId="295BB098" w14:textId="77777777" w:rsidR="00877EF6" w:rsidRDefault="00877EF6" w:rsidP="00B72780">
      <w:pPr>
        <w:suppressAutoHyphens/>
        <w:spacing w:after="0" w:line="240" w:lineRule="auto"/>
        <w:rPr>
          <w:rFonts w:eastAsiaTheme="minorEastAsia"/>
          <w:sz w:val="24"/>
          <w:szCs w:val="24"/>
          <w:lang w:eastAsia="ja-JP"/>
        </w:rPr>
      </w:pPr>
    </w:p>
    <w:p w14:paraId="46A028F2" w14:textId="13EE1232" w:rsidR="007C374F" w:rsidRPr="00735CB6" w:rsidRDefault="007C374F" w:rsidP="00B72780">
      <w:pPr>
        <w:suppressAutoHyphens/>
        <w:spacing w:after="0" w:line="240" w:lineRule="auto"/>
        <w:rPr>
          <w:rFonts w:eastAsiaTheme="minorEastAsia"/>
          <w:sz w:val="24"/>
          <w:szCs w:val="24"/>
          <w:lang w:eastAsia="ja-JP"/>
        </w:rPr>
      </w:pPr>
      <w:r w:rsidRPr="007C374F">
        <w:rPr>
          <w:sz w:val="24"/>
          <w:szCs w:val="24"/>
        </w:rPr>
        <w:t>This p</w:t>
      </w:r>
      <w:r w:rsidR="00735CB6">
        <w:rPr>
          <w:sz w:val="24"/>
          <w:szCs w:val="24"/>
        </w:rPr>
        <w:t>aper presents a protocol that</w:t>
      </w:r>
      <w:r w:rsidRPr="007C374F">
        <w:rPr>
          <w:sz w:val="24"/>
          <w:szCs w:val="24"/>
        </w:rPr>
        <w:t xml:space="preserve"> enable</w:t>
      </w:r>
      <w:r w:rsidR="00735CB6">
        <w:rPr>
          <w:sz w:val="24"/>
          <w:szCs w:val="24"/>
        </w:rPr>
        <w:t>s</w:t>
      </w:r>
      <w:r w:rsidRPr="007C374F">
        <w:rPr>
          <w:sz w:val="24"/>
          <w:szCs w:val="24"/>
        </w:rPr>
        <w:t xml:space="preserve"> all parts of the geranium to express GFP at the same time. </w:t>
      </w:r>
      <w:r w:rsidR="00AF7E5D">
        <w:rPr>
          <w:sz w:val="24"/>
          <w:szCs w:val="24"/>
        </w:rPr>
        <w:t>GFP has been expressed in other plants to varying degrees</w:t>
      </w:r>
      <w:r w:rsidR="00F73F8B">
        <w:rPr>
          <w:sz w:val="24"/>
          <w:szCs w:val="24"/>
        </w:rPr>
        <w:t>;</w:t>
      </w:r>
      <w:r w:rsidR="00AE21A1">
        <w:rPr>
          <w:sz w:val="24"/>
          <w:szCs w:val="24"/>
        </w:rPr>
        <w:t xml:space="preserve"> h</w:t>
      </w:r>
      <w:r w:rsidR="00877EF6">
        <w:rPr>
          <w:sz w:val="24"/>
          <w:szCs w:val="24"/>
        </w:rPr>
        <w:t>owever, e</w:t>
      </w:r>
      <w:r w:rsidRPr="007C374F">
        <w:rPr>
          <w:sz w:val="24"/>
          <w:szCs w:val="24"/>
        </w:rPr>
        <w:t xml:space="preserve">very plant has different factors that </w:t>
      </w:r>
      <w:r w:rsidR="00AE21A1">
        <w:rPr>
          <w:sz w:val="24"/>
          <w:szCs w:val="24"/>
        </w:rPr>
        <w:t>will</w:t>
      </w:r>
      <w:r w:rsidRPr="007C374F">
        <w:rPr>
          <w:sz w:val="24"/>
          <w:szCs w:val="24"/>
        </w:rPr>
        <w:t xml:space="preserve"> either make it harder or easier to express GFP. When it comes to physiology, geraniums are hardy plants. They also have thick leaves and stems that allow them to withstand sterilization. </w:t>
      </w:r>
      <w:r w:rsidR="00F73F8B">
        <w:rPr>
          <w:sz w:val="24"/>
          <w:szCs w:val="24"/>
        </w:rPr>
        <w:t>A</w:t>
      </w:r>
      <w:r w:rsidRPr="007C374F">
        <w:rPr>
          <w:sz w:val="24"/>
          <w:szCs w:val="24"/>
        </w:rPr>
        <w:t>ttempting to make the entire geranium plant fluoresce, could result in new insight about the internal mechanisms and gene expression of geraniums.</w:t>
      </w:r>
      <w:r w:rsidR="00F51B81">
        <w:rPr>
          <w:sz w:val="24"/>
          <w:szCs w:val="24"/>
        </w:rPr>
        <w:t xml:space="preserve"> </w:t>
      </w:r>
      <w:r w:rsidRPr="007C374F">
        <w:rPr>
          <w:sz w:val="24"/>
          <w:szCs w:val="24"/>
        </w:rPr>
        <w:t>Engineered fluorescent geraniums also have potential to be used as ornamental garden plant</w:t>
      </w:r>
      <w:r w:rsidR="00F51B81">
        <w:rPr>
          <w:sz w:val="24"/>
          <w:szCs w:val="24"/>
        </w:rPr>
        <w:t xml:space="preserve"> or in public spaces as a source of light.</w:t>
      </w:r>
      <w:r w:rsidRPr="007C374F">
        <w:rPr>
          <w:sz w:val="24"/>
          <w:szCs w:val="24"/>
        </w:rPr>
        <w:t xml:space="preserve"> </w:t>
      </w:r>
    </w:p>
    <w:p w14:paraId="7B21F4A2" w14:textId="70B28D7B" w:rsidR="00A6402F" w:rsidRDefault="00A6402F" w:rsidP="00B72780">
      <w:pPr>
        <w:suppressAutoHyphens/>
        <w:spacing w:after="0" w:line="240" w:lineRule="auto"/>
        <w:rPr>
          <w:rFonts w:eastAsiaTheme="minorEastAsia"/>
          <w:b/>
          <w:bCs/>
          <w:sz w:val="24"/>
          <w:szCs w:val="24"/>
          <w:lang w:eastAsia="ja-JP"/>
        </w:rPr>
      </w:pPr>
    </w:p>
    <w:p w14:paraId="0DEDC35A" w14:textId="4913E772" w:rsidR="00CF3DBD" w:rsidRPr="00BD3341" w:rsidRDefault="00A6402F" w:rsidP="00B72780">
      <w:pPr>
        <w:suppressAutoHyphens/>
        <w:spacing w:after="0" w:line="240" w:lineRule="auto"/>
        <w:rPr>
          <w:rFonts w:eastAsiaTheme="minorEastAsia"/>
          <w:b/>
          <w:bCs/>
          <w:sz w:val="28"/>
          <w:szCs w:val="28"/>
          <w:lang w:eastAsia="ja-JP"/>
        </w:rPr>
      </w:pPr>
      <w:r w:rsidRPr="00BD3341">
        <w:rPr>
          <w:rFonts w:eastAsiaTheme="minorEastAsia"/>
          <w:b/>
          <w:bCs/>
          <w:sz w:val="28"/>
          <w:szCs w:val="28"/>
          <w:lang w:eastAsia="ja-JP"/>
        </w:rPr>
        <w:t xml:space="preserve">Material and </w:t>
      </w:r>
      <w:r w:rsidR="00F51B81">
        <w:rPr>
          <w:rFonts w:eastAsiaTheme="minorEastAsia"/>
          <w:b/>
          <w:bCs/>
          <w:sz w:val="28"/>
          <w:szCs w:val="28"/>
          <w:lang w:eastAsia="ja-JP"/>
        </w:rPr>
        <w:t>M</w:t>
      </w:r>
      <w:r w:rsidRPr="00BD3341">
        <w:rPr>
          <w:rFonts w:eastAsiaTheme="minorEastAsia"/>
          <w:b/>
          <w:bCs/>
          <w:sz w:val="28"/>
          <w:szCs w:val="28"/>
          <w:lang w:eastAsia="ja-JP"/>
        </w:rPr>
        <w:t>ethods</w:t>
      </w:r>
    </w:p>
    <w:p w14:paraId="4F6F9138" w14:textId="267A3678" w:rsidR="00CF3DBD" w:rsidRDefault="00CF3DBD" w:rsidP="00B72780">
      <w:pPr>
        <w:suppressAutoHyphens/>
        <w:spacing w:after="0" w:line="240" w:lineRule="auto"/>
        <w:rPr>
          <w:rFonts w:eastAsiaTheme="minorEastAsia"/>
          <w:sz w:val="24"/>
          <w:szCs w:val="24"/>
          <w:lang w:eastAsia="ja-JP"/>
        </w:rPr>
      </w:pPr>
    </w:p>
    <w:p w14:paraId="39887395" w14:textId="53A409E0" w:rsidR="00E97F9D" w:rsidRPr="00BD3341" w:rsidRDefault="001213F0" w:rsidP="00B72780">
      <w:pPr>
        <w:suppressAutoHyphens/>
        <w:spacing w:after="0" w:line="240" w:lineRule="auto"/>
        <w:rPr>
          <w:rFonts w:eastAsiaTheme="minorEastAsia"/>
          <w:sz w:val="28"/>
          <w:szCs w:val="28"/>
          <w:lang w:eastAsia="ja-JP"/>
        </w:rPr>
      </w:pPr>
      <w:bookmarkStart w:id="1" w:name="_Hlk64377867"/>
      <w:r w:rsidRPr="00BD3341">
        <w:rPr>
          <w:rFonts w:eastAsiaTheme="minorEastAsia"/>
          <w:sz w:val="28"/>
          <w:szCs w:val="28"/>
          <w:lang w:eastAsia="ja-JP"/>
        </w:rPr>
        <w:t xml:space="preserve">Recombinant DNA </w:t>
      </w:r>
      <w:r w:rsidR="00F51B81">
        <w:rPr>
          <w:rFonts w:eastAsiaTheme="minorEastAsia"/>
          <w:sz w:val="28"/>
          <w:szCs w:val="28"/>
          <w:lang w:eastAsia="ja-JP"/>
        </w:rPr>
        <w:t>D</w:t>
      </w:r>
      <w:r w:rsidRPr="00BD3341">
        <w:rPr>
          <w:rFonts w:eastAsiaTheme="minorEastAsia"/>
          <w:sz w:val="28"/>
          <w:szCs w:val="28"/>
          <w:lang w:eastAsia="ja-JP"/>
        </w:rPr>
        <w:t>esign</w:t>
      </w:r>
    </w:p>
    <w:bookmarkEnd w:id="1"/>
    <w:p w14:paraId="3E2E61AD" w14:textId="6529B03B" w:rsidR="00F51B81" w:rsidRDefault="001213F0" w:rsidP="00B72780">
      <w:pPr>
        <w:suppressAutoHyphens/>
        <w:spacing w:after="0" w:line="240" w:lineRule="auto"/>
        <w:rPr>
          <w:rFonts w:eastAsiaTheme="minorEastAsia"/>
          <w:sz w:val="24"/>
          <w:szCs w:val="24"/>
          <w:lang w:eastAsia="ja-JP"/>
        </w:rPr>
      </w:pPr>
      <w:r>
        <w:rPr>
          <w:rFonts w:eastAsiaTheme="minorEastAsia"/>
          <w:sz w:val="24"/>
          <w:szCs w:val="24"/>
          <w:lang w:eastAsia="ja-JP"/>
        </w:rPr>
        <w:t xml:space="preserve">The </w:t>
      </w:r>
      <w:r w:rsidRPr="001213F0">
        <w:rPr>
          <w:rFonts w:eastAsiaTheme="minorEastAsia"/>
          <w:sz w:val="24"/>
          <w:szCs w:val="24"/>
          <w:lang w:eastAsia="ja-JP"/>
        </w:rPr>
        <w:t>pBI101</w:t>
      </w:r>
      <w:r>
        <w:rPr>
          <w:rFonts w:eastAsiaTheme="minorEastAsia"/>
          <w:sz w:val="24"/>
          <w:szCs w:val="24"/>
          <w:lang w:eastAsia="ja-JP"/>
        </w:rPr>
        <w:t xml:space="preserve"> vector is commonly used in transformation experiments and is available in lab.</w:t>
      </w:r>
      <w:r w:rsidR="00F901A8">
        <w:rPr>
          <w:rFonts w:eastAsiaTheme="minorEastAsia"/>
          <w:sz w:val="24"/>
          <w:szCs w:val="24"/>
          <w:lang w:eastAsia="ja-JP"/>
        </w:rPr>
        <w:t xml:space="preserve"> The </w:t>
      </w:r>
      <w:r w:rsidR="00A92352">
        <w:rPr>
          <w:rFonts w:eastAsiaTheme="minorEastAsia"/>
          <w:sz w:val="24"/>
          <w:szCs w:val="24"/>
          <w:lang w:eastAsia="ja-JP"/>
        </w:rPr>
        <w:t>vector</w:t>
      </w:r>
      <w:r w:rsidR="00F901A8">
        <w:rPr>
          <w:rFonts w:eastAsiaTheme="minorEastAsia"/>
          <w:sz w:val="24"/>
          <w:szCs w:val="24"/>
          <w:lang w:eastAsia="ja-JP"/>
        </w:rPr>
        <w:t xml:space="preserve"> will serve as the backbone which will house </w:t>
      </w:r>
      <w:r w:rsidR="00A92352">
        <w:rPr>
          <w:rFonts w:eastAsiaTheme="minorEastAsia"/>
          <w:sz w:val="24"/>
          <w:szCs w:val="24"/>
          <w:lang w:eastAsia="ja-JP"/>
        </w:rPr>
        <w:t>the foreign genes.</w:t>
      </w:r>
      <w:r>
        <w:rPr>
          <w:rFonts w:eastAsiaTheme="minorEastAsia"/>
          <w:sz w:val="24"/>
          <w:szCs w:val="24"/>
          <w:lang w:eastAsia="ja-JP"/>
        </w:rPr>
        <w:t xml:space="preserve"> </w:t>
      </w:r>
      <w:r w:rsidR="00DA2287">
        <w:rPr>
          <w:rFonts w:eastAsiaTheme="minorEastAsia"/>
          <w:sz w:val="24"/>
          <w:szCs w:val="24"/>
          <w:lang w:eastAsia="ja-JP"/>
        </w:rPr>
        <w:t xml:space="preserve">The components that need to be engineering in the vector are the </w:t>
      </w:r>
      <w:r w:rsidR="00DA2287" w:rsidRPr="00DA2287">
        <w:rPr>
          <w:rFonts w:eastAsiaTheme="minorEastAsia"/>
          <w:i/>
          <w:iCs/>
          <w:sz w:val="24"/>
          <w:szCs w:val="24"/>
          <w:lang w:eastAsia="ja-JP"/>
        </w:rPr>
        <w:t>gfp</w:t>
      </w:r>
      <w:r w:rsidR="00DA2287">
        <w:rPr>
          <w:rFonts w:eastAsiaTheme="minorEastAsia"/>
          <w:sz w:val="24"/>
          <w:szCs w:val="24"/>
          <w:lang w:eastAsia="ja-JP"/>
        </w:rPr>
        <w:t xml:space="preserve"> gene and the 35s promoter. </w:t>
      </w:r>
      <w:r>
        <w:rPr>
          <w:rFonts w:eastAsiaTheme="minorEastAsia"/>
          <w:sz w:val="24"/>
          <w:szCs w:val="24"/>
          <w:lang w:eastAsia="ja-JP"/>
        </w:rPr>
        <w:t xml:space="preserve">There are multiple variants of the </w:t>
      </w:r>
      <w:r w:rsidRPr="001213F0">
        <w:rPr>
          <w:rFonts w:eastAsiaTheme="minorEastAsia"/>
          <w:i/>
          <w:iCs/>
          <w:sz w:val="24"/>
          <w:szCs w:val="24"/>
          <w:lang w:eastAsia="ja-JP"/>
        </w:rPr>
        <w:t>gfp</w:t>
      </w:r>
      <w:r>
        <w:rPr>
          <w:rFonts w:eastAsiaTheme="minorEastAsia"/>
          <w:sz w:val="24"/>
          <w:szCs w:val="24"/>
          <w:lang w:eastAsia="ja-JP"/>
        </w:rPr>
        <w:t xml:space="preserve"> gene, but the one that’s available is </w:t>
      </w:r>
      <w:bookmarkStart w:id="2" w:name="_Hlk64345098"/>
      <w:r>
        <w:rPr>
          <w:rFonts w:eastAsiaTheme="minorEastAsia"/>
          <w:sz w:val="24"/>
          <w:szCs w:val="24"/>
          <w:lang w:eastAsia="ja-JP"/>
        </w:rPr>
        <w:t>pGLO</w:t>
      </w:r>
      <w:bookmarkEnd w:id="2"/>
      <w:r>
        <w:rPr>
          <w:rFonts w:eastAsiaTheme="minorEastAsia"/>
          <w:sz w:val="24"/>
          <w:szCs w:val="24"/>
          <w:lang w:eastAsia="ja-JP"/>
        </w:rPr>
        <w:t>-GFP variant. This variant is mostly used in bacterial transformation, specifically E. coli. There are other variants that were modified to work better in plants,</w:t>
      </w:r>
      <w:r w:rsidR="00EE343E">
        <w:rPr>
          <w:rFonts w:eastAsiaTheme="minorEastAsia"/>
          <w:sz w:val="24"/>
          <w:szCs w:val="24"/>
          <w:lang w:eastAsia="ja-JP"/>
        </w:rPr>
        <w:t xml:space="preserve"> with</w:t>
      </w:r>
      <w:r>
        <w:rPr>
          <w:rFonts w:eastAsiaTheme="minorEastAsia"/>
          <w:sz w:val="24"/>
          <w:szCs w:val="24"/>
          <w:lang w:eastAsia="ja-JP"/>
        </w:rPr>
        <w:t xml:space="preserve"> </w:t>
      </w:r>
      <w:r w:rsidR="00EE343E">
        <w:rPr>
          <w:rFonts w:eastAsiaTheme="minorEastAsia"/>
          <w:sz w:val="24"/>
          <w:szCs w:val="24"/>
          <w:lang w:eastAsia="ja-JP"/>
        </w:rPr>
        <w:t xml:space="preserve">the most similar one being </w:t>
      </w:r>
      <w:bookmarkStart w:id="3" w:name="_Hlk64345110"/>
      <w:r w:rsidR="00EE343E" w:rsidRPr="00F47260">
        <w:rPr>
          <w:rFonts w:eastAsiaTheme="minorEastAsia"/>
          <w:sz w:val="24"/>
          <w:szCs w:val="24"/>
          <w:lang w:eastAsia="ja-JP"/>
        </w:rPr>
        <w:t>pMG.d2.r</w:t>
      </w:r>
      <w:r w:rsidR="00EE343E" w:rsidRPr="00F47260">
        <w:rPr>
          <w:rFonts w:eastAsiaTheme="minorEastAsia"/>
          <w:sz w:val="24"/>
          <w:szCs w:val="24"/>
          <w:vertAlign w:val="superscript"/>
          <w:lang w:eastAsia="ja-JP"/>
        </w:rPr>
        <w:t>8</w:t>
      </w:r>
      <w:bookmarkEnd w:id="3"/>
      <w:r w:rsidR="00EE343E">
        <w:rPr>
          <w:rFonts w:eastAsiaTheme="minorEastAsia"/>
          <w:sz w:val="24"/>
          <w:szCs w:val="24"/>
          <w:lang w:eastAsia="ja-JP"/>
        </w:rPr>
        <w:t xml:space="preserve">. The reason for these differences is </w:t>
      </w:r>
      <w:r w:rsidR="00EE343E">
        <w:rPr>
          <w:rFonts w:eastAsiaTheme="minorEastAsia"/>
          <w:sz w:val="24"/>
          <w:szCs w:val="24"/>
          <w:lang w:eastAsia="ja-JP"/>
        </w:rPr>
        <w:lastRenderedPageBreak/>
        <w:t>because organisms have codon biases. For the sake of simplicity, the easily acquired pGLO will be used.</w:t>
      </w:r>
      <w:r w:rsidR="00AB09E7">
        <w:rPr>
          <w:rFonts w:eastAsiaTheme="minorEastAsia"/>
          <w:sz w:val="24"/>
          <w:szCs w:val="24"/>
          <w:lang w:eastAsia="ja-JP"/>
        </w:rPr>
        <w:t xml:space="preserve"> </w:t>
      </w:r>
      <w:r w:rsidR="00AF7E5D" w:rsidRPr="00AF7E5D">
        <w:rPr>
          <w:rFonts w:eastAsiaTheme="minorEastAsia"/>
          <w:sz w:val="24"/>
          <w:szCs w:val="24"/>
          <w:lang w:eastAsia="ja-JP"/>
        </w:rPr>
        <w:t>The differences in sequence lead to different codons. Adapted from Guisinger</w:t>
      </w:r>
      <w:r w:rsidR="004F3618">
        <w:rPr>
          <w:rFonts w:eastAsiaTheme="minorEastAsia"/>
          <w:sz w:val="24"/>
          <w:szCs w:val="24"/>
          <w:lang w:eastAsia="ja-JP"/>
        </w:rPr>
        <w:t xml:space="preserve"> et al (2010)</w:t>
      </w:r>
      <w:r w:rsidR="00AF7E5D" w:rsidRPr="00AF7E5D">
        <w:rPr>
          <w:rFonts w:eastAsiaTheme="minorEastAsia"/>
          <w:sz w:val="24"/>
          <w:szCs w:val="24"/>
          <w:lang w:eastAsia="ja-JP"/>
        </w:rPr>
        <w:t xml:space="preserve"> research, table 1 illustrates the codons that are different between pGLO and pMG.d2.r, along with the percent use of these codons in geraniums. For contrast, the codon usage in E. coli is also presented.</w:t>
      </w:r>
    </w:p>
    <w:p w14:paraId="29C43B84" w14:textId="77777777" w:rsidR="001C1B11" w:rsidRDefault="001C1B11" w:rsidP="00B72780">
      <w:pPr>
        <w:spacing w:after="0" w:line="240" w:lineRule="auto"/>
        <w:ind w:firstLine="720"/>
        <w:rPr>
          <w:rFonts w:eastAsiaTheme="minorEastAsia"/>
          <w:sz w:val="24"/>
          <w:szCs w:val="24"/>
          <w:lang w:eastAsia="ja-JP"/>
        </w:rPr>
      </w:pPr>
    </w:p>
    <w:p w14:paraId="31E3158B" w14:textId="77777777" w:rsidR="001C1B11" w:rsidRPr="00F11BCC" w:rsidRDefault="001C1B11" w:rsidP="00B72780">
      <w:pPr>
        <w:suppressAutoHyphens/>
        <w:spacing w:after="0" w:line="240" w:lineRule="auto"/>
        <w:rPr>
          <w:rFonts w:eastAsiaTheme="minorEastAsia"/>
          <w:sz w:val="24"/>
          <w:szCs w:val="24"/>
          <w:lang w:eastAsia="ja-JP"/>
        </w:rPr>
      </w:pPr>
      <w:r>
        <w:rPr>
          <w:rFonts w:eastAsiaTheme="minorEastAsia"/>
          <w:sz w:val="24"/>
          <w:szCs w:val="24"/>
          <w:lang w:eastAsia="ja-JP"/>
        </w:rPr>
        <w:t xml:space="preserve">The </w:t>
      </w:r>
      <w:r w:rsidRPr="000802E4">
        <w:rPr>
          <w:rFonts w:eastAsiaTheme="minorEastAsia"/>
          <w:sz w:val="24"/>
          <w:szCs w:val="24"/>
          <w:lang w:eastAsia="ja-JP"/>
        </w:rPr>
        <w:t xml:space="preserve">sequence for the 35s promoter had to be extracted from a transgenic papaya. Although there are </w:t>
      </w:r>
      <w:r w:rsidRPr="000802E4">
        <w:rPr>
          <w:rFonts w:asciiTheme="majorHAnsi" w:eastAsiaTheme="minorEastAsia" w:hAnsiTheme="majorHAnsi" w:cstheme="majorHAnsi"/>
          <w:sz w:val="24"/>
          <w:szCs w:val="24"/>
          <w:lang w:eastAsia="ja-JP"/>
        </w:rPr>
        <w:t xml:space="preserve">different variants of the 35s promoter, the beginning and end of the sequence are conserved. DNA was extracted from the papaya and the 35s promoter region was amplified using PCR. </w:t>
      </w:r>
    </w:p>
    <w:p w14:paraId="6FBE4571" w14:textId="77777777" w:rsidR="001C1B11" w:rsidRPr="000802E4" w:rsidRDefault="001C1B11" w:rsidP="00B72780">
      <w:pPr>
        <w:suppressAutoHyphens/>
        <w:spacing w:after="0" w:line="240" w:lineRule="auto"/>
        <w:rPr>
          <w:rFonts w:asciiTheme="majorHAnsi" w:hAnsiTheme="majorHAnsi" w:cstheme="majorHAnsi"/>
          <w:color w:val="202124"/>
          <w:sz w:val="24"/>
          <w:szCs w:val="24"/>
          <w:shd w:val="clear" w:color="auto" w:fill="FFFFFF"/>
        </w:rPr>
      </w:pPr>
      <w:r w:rsidRPr="000802E4">
        <w:rPr>
          <w:rFonts w:asciiTheme="majorHAnsi" w:eastAsiaTheme="minorEastAsia" w:hAnsiTheme="majorHAnsi" w:cstheme="majorHAnsi"/>
          <w:sz w:val="24"/>
          <w:szCs w:val="24"/>
          <w:lang w:eastAsia="ja-JP"/>
        </w:rPr>
        <w:t xml:space="preserve">The </w:t>
      </w:r>
      <w:r w:rsidRPr="000802E4">
        <w:rPr>
          <w:rFonts w:asciiTheme="majorHAnsi" w:eastAsiaTheme="minorEastAsia" w:hAnsiTheme="majorHAnsi" w:cstheme="majorHAnsi"/>
          <w:i/>
          <w:iCs/>
          <w:sz w:val="24"/>
          <w:szCs w:val="24"/>
          <w:lang w:eastAsia="ja-JP"/>
        </w:rPr>
        <w:t>gfp</w:t>
      </w:r>
      <w:r w:rsidRPr="000802E4">
        <w:rPr>
          <w:rFonts w:asciiTheme="majorHAnsi" w:eastAsiaTheme="minorEastAsia" w:hAnsiTheme="majorHAnsi" w:cstheme="majorHAnsi"/>
          <w:sz w:val="24"/>
          <w:szCs w:val="24"/>
          <w:lang w:eastAsia="ja-JP"/>
        </w:rPr>
        <w:t xml:space="preserve"> gene and the 35s promoter gene were added to the pBI101 backbone through Gibson Assembly. Gibson Assembly is a molecular cloning technique that’s favored when 2 or more sequences need to be combined. In our case there were 3 fragments and a total of 6 primers were </w:t>
      </w:r>
      <w:r w:rsidRPr="00D14E45">
        <w:rPr>
          <w:rFonts w:asciiTheme="majorHAnsi" w:eastAsiaTheme="minorEastAsia" w:hAnsiTheme="majorHAnsi" w:cstheme="majorHAnsi"/>
          <w:sz w:val="24"/>
          <w:szCs w:val="24"/>
          <w:lang w:eastAsia="ja-JP"/>
        </w:rPr>
        <w:t>designed. The primers were ordered through “ThermoFisher” Scientific</w:t>
      </w:r>
      <w:r w:rsidRPr="00D14E45">
        <w:rPr>
          <w:rFonts w:asciiTheme="majorHAnsi" w:eastAsiaTheme="minorEastAsia" w:hAnsiTheme="majorHAnsi" w:cstheme="majorHAnsi"/>
          <w:sz w:val="24"/>
          <w:szCs w:val="24"/>
          <w:vertAlign w:val="superscript"/>
          <w:lang w:eastAsia="ja-JP"/>
        </w:rPr>
        <w:t>9</w:t>
      </w:r>
      <w:r w:rsidRPr="00D14E45">
        <w:rPr>
          <w:rFonts w:asciiTheme="majorHAnsi" w:eastAsiaTheme="minorEastAsia" w:hAnsiTheme="majorHAnsi" w:cstheme="majorHAnsi"/>
          <w:sz w:val="24"/>
          <w:szCs w:val="24"/>
          <w:lang w:eastAsia="ja-JP"/>
        </w:rPr>
        <w:t xml:space="preserve">. The reaction </w:t>
      </w:r>
      <w:r w:rsidRPr="000802E4">
        <w:rPr>
          <w:rFonts w:asciiTheme="majorHAnsi" w:eastAsiaTheme="minorEastAsia" w:hAnsiTheme="majorHAnsi" w:cstheme="majorHAnsi"/>
          <w:sz w:val="24"/>
          <w:szCs w:val="24"/>
          <w:lang w:eastAsia="ja-JP"/>
        </w:rPr>
        <w:t xml:space="preserve">was carried out at </w:t>
      </w:r>
      <w:bookmarkStart w:id="4" w:name="_Hlk64369812"/>
      <w:r w:rsidRPr="000802E4">
        <w:rPr>
          <w:rFonts w:asciiTheme="majorHAnsi" w:eastAsiaTheme="minorEastAsia" w:hAnsiTheme="majorHAnsi" w:cstheme="majorHAnsi"/>
          <w:sz w:val="24"/>
          <w:szCs w:val="24"/>
          <w:lang w:eastAsia="ja-JP"/>
        </w:rPr>
        <w:t>X</w:t>
      </w:r>
      <w:r w:rsidRPr="000802E4">
        <w:rPr>
          <w:rFonts w:asciiTheme="majorHAnsi" w:hAnsiTheme="majorHAnsi" w:cstheme="majorHAnsi"/>
          <w:color w:val="202124"/>
          <w:sz w:val="24"/>
          <w:szCs w:val="24"/>
          <w:shd w:val="clear" w:color="auto" w:fill="FFFFFF"/>
        </w:rPr>
        <w:t>°C</w:t>
      </w:r>
      <w:bookmarkEnd w:id="4"/>
      <w:r w:rsidRPr="000802E4">
        <w:rPr>
          <w:rFonts w:asciiTheme="majorHAnsi" w:hAnsiTheme="majorHAnsi" w:cstheme="majorHAnsi"/>
          <w:color w:val="202124"/>
          <w:sz w:val="24"/>
          <w:szCs w:val="24"/>
          <w:shd w:val="clear" w:color="auto" w:fill="FFFFFF"/>
        </w:rPr>
        <w:t xml:space="preserve">. Figure 1 shows the completed recombinant plasmid. The </w:t>
      </w:r>
      <w:r w:rsidRPr="000802E4">
        <w:rPr>
          <w:rFonts w:asciiTheme="majorHAnsi" w:hAnsiTheme="majorHAnsi" w:cstheme="majorHAnsi"/>
          <w:i/>
          <w:iCs/>
          <w:sz w:val="24"/>
          <w:szCs w:val="24"/>
        </w:rPr>
        <w:t>nptII</w:t>
      </w:r>
      <w:r w:rsidRPr="000802E4">
        <w:rPr>
          <w:rFonts w:asciiTheme="majorHAnsi" w:hAnsiTheme="majorHAnsi" w:cstheme="majorHAnsi"/>
          <w:sz w:val="24"/>
          <w:szCs w:val="24"/>
        </w:rPr>
        <w:t xml:space="preserve"> is an antibiotic resistant gene, used as a selective marker.</w:t>
      </w:r>
    </w:p>
    <w:p w14:paraId="606083BB" w14:textId="201967DD" w:rsidR="001C1B11" w:rsidRDefault="00B72780" w:rsidP="00B72780">
      <w:pPr>
        <w:spacing w:after="0" w:line="240" w:lineRule="auto"/>
        <w:ind w:firstLine="720"/>
        <w:rPr>
          <w:rFonts w:eastAsiaTheme="minorEastAsia"/>
          <w:sz w:val="24"/>
          <w:szCs w:val="24"/>
          <w:lang w:eastAsia="ja-JP"/>
        </w:rPr>
      </w:pPr>
      <w:r w:rsidRPr="003D2EEC">
        <w:rPr>
          <w:rFonts w:eastAsiaTheme="minorEastAsia"/>
          <w:i/>
          <w:iCs/>
          <w:noProof/>
          <w:sz w:val="13"/>
          <w:szCs w:val="13"/>
          <w:lang w:eastAsia="ja-JP"/>
        </w:rPr>
        <mc:AlternateContent>
          <mc:Choice Requires="wps">
            <w:drawing>
              <wp:anchor distT="45720" distB="45720" distL="114300" distR="114300" simplePos="0" relativeHeight="251678720" behindDoc="0" locked="0" layoutInCell="1" allowOverlap="1" wp14:anchorId="1FE5C967" wp14:editId="6CB37FC2">
                <wp:simplePos x="0" y="0"/>
                <wp:positionH relativeFrom="margin">
                  <wp:posOffset>112688</wp:posOffset>
                </wp:positionH>
                <wp:positionV relativeFrom="paragraph">
                  <wp:posOffset>595093</wp:posOffset>
                </wp:positionV>
                <wp:extent cx="347091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1404620"/>
                        </a:xfrm>
                        <a:prstGeom prst="rect">
                          <a:avLst/>
                        </a:prstGeom>
                        <a:noFill/>
                        <a:ln w="9525">
                          <a:noFill/>
                          <a:miter lim="800000"/>
                          <a:headEnd/>
                          <a:tailEnd/>
                        </a:ln>
                      </wps:spPr>
                      <wps:txbx>
                        <w:txbxContent>
                          <w:p w14:paraId="56828275" w14:textId="5E3A3E35" w:rsidR="0056554E" w:rsidRPr="007B30DC" w:rsidRDefault="0056554E">
                            <w:pPr>
                              <w:rPr>
                                <w:sz w:val="24"/>
                                <w:szCs w:val="24"/>
                              </w:rPr>
                            </w:pPr>
                            <w:r w:rsidRPr="007B30DC">
                              <w:rPr>
                                <w:rFonts w:eastAsiaTheme="minorEastAsia"/>
                                <w:b/>
                                <w:bCs/>
                                <w:i/>
                                <w:iCs/>
                                <w:sz w:val="24"/>
                                <w:szCs w:val="24"/>
                                <w:lang w:eastAsia="ja-JP"/>
                              </w:rPr>
                              <w:t>Figure 1</w:t>
                            </w:r>
                            <w:r w:rsidRPr="007B30DC">
                              <w:rPr>
                                <w:rFonts w:eastAsiaTheme="minorEastAsia"/>
                                <w:i/>
                                <w:iCs/>
                                <w:sz w:val="24"/>
                                <w:szCs w:val="24"/>
                                <w:lang w:eastAsia="ja-JP"/>
                              </w:rPr>
                              <w:t>: shows the designed recombinant DNA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E5C967" id="_x0000_t202" coordsize="21600,21600" o:spt="202" path="m,l,21600r21600,l21600,xe">
                <v:stroke joinstyle="miter"/>
                <v:path gradientshapeok="t" o:connecttype="rect"/>
              </v:shapetype>
              <v:shape id="Text Box 2" o:spid="_x0000_s1026" type="#_x0000_t202" style="position:absolute;left:0;text-align:left;margin-left:8.85pt;margin-top:46.85pt;width:273.3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" filled="f" stroked="f">
                <v:textbox style="mso-fit-shape-to-text:t">
                  <w:txbxContent>
                    <w:p w14:paraId="56828275" w14:textId="5E3A3E35" w:rsidR="0056554E" w:rsidRPr="007B30DC" w:rsidRDefault="0056554E">
                      <w:pPr>
                        <w:rPr>
                          <w:sz w:val="24"/>
                          <w:szCs w:val="24"/>
                        </w:rPr>
                      </w:pPr>
                      <w:r w:rsidRPr="007B30DC">
                        <w:rPr>
                          <w:rFonts w:eastAsiaTheme="minorEastAsia"/>
                          <w:b/>
                          <w:bCs/>
                          <w:i/>
                          <w:iCs/>
                          <w:sz w:val="24"/>
                          <w:szCs w:val="24"/>
                          <w:lang w:eastAsia="ja-JP"/>
                        </w:rPr>
                        <w:t>Figure 1</w:t>
                      </w:r>
                      <w:r w:rsidRPr="007B30DC">
                        <w:rPr>
                          <w:rFonts w:eastAsiaTheme="minorEastAsia"/>
                          <w:i/>
                          <w:iCs/>
                          <w:sz w:val="24"/>
                          <w:szCs w:val="24"/>
                          <w:lang w:eastAsia="ja-JP"/>
                        </w:rPr>
                        <w:t>: shows the designed recombinant DNA</w:t>
                      </w:r>
                    </w:p>
                  </w:txbxContent>
                </v:textbox>
                <w10:wrap type="square" anchorx="margin"/>
              </v:shape>
            </w:pict>
          </mc:Fallback>
        </mc:AlternateContent>
      </w:r>
      <w:r w:rsidRPr="001C1B11">
        <w:rPr>
          <w:rFonts w:eastAsiaTheme="minorEastAsia"/>
          <w:noProof/>
          <w:sz w:val="24"/>
          <w:szCs w:val="24"/>
          <w:lang w:eastAsia="ja-JP"/>
        </w:rPr>
        <mc:AlternateContent>
          <mc:Choice Requires="wps">
            <w:drawing>
              <wp:anchor distT="45720" distB="45720" distL="114300" distR="114300" simplePos="0" relativeHeight="251682816" behindDoc="0" locked="0" layoutInCell="1" allowOverlap="1" wp14:anchorId="32A7EFC6" wp14:editId="6E774FB8">
                <wp:simplePos x="0" y="0"/>
                <wp:positionH relativeFrom="column">
                  <wp:posOffset>1076960</wp:posOffset>
                </wp:positionH>
                <wp:positionV relativeFrom="paragraph">
                  <wp:posOffset>1401738</wp:posOffset>
                </wp:positionV>
                <wp:extent cx="1032510" cy="448310"/>
                <wp:effectExtent l="0" t="0" r="1524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448310"/>
                        </a:xfrm>
                        <a:prstGeom prst="rect">
                          <a:avLst/>
                        </a:prstGeom>
                        <a:solidFill>
                          <a:srgbClr val="FFFFFF"/>
                        </a:solidFill>
                        <a:ln w="9525">
                          <a:solidFill>
                            <a:srgbClr val="000000"/>
                          </a:solidFill>
                          <a:miter lim="800000"/>
                          <a:headEnd/>
                          <a:tailEnd/>
                        </a:ln>
                      </wps:spPr>
                      <wps:txbx>
                        <w:txbxContent>
                          <w:p w14:paraId="65FA88EB" w14:textId="5DA5B1DE" w:rsidR="0056554E" w:rsidRPr="00B72780" w:rsidRDefault="0056554E" w:rsidP="001C1B11">
                            <w:pPr>
                              <w:jc w:val="center"/>
                              <w:rPr>
                                <w:sz w:val="40"/>
                                <w:szCs w:val="40"/>
                              </w:rPr>
                            </w:pPr>
                            <w:r w:rsidRPr="00B72780">
                              <w:rPr>
                                <w:sz w:val="40"/>
                                <w:szCs w:val="40"/>
                              </w:rPr>
                              <w:t>nptII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7EFC6" id="_x0000_s1027" type="#_x0000_t202" style="position:absolute;left:0;text-align:left;margin-left:84.8pt;margin-top:110.35pt;width:81.3pt;height: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">
                <v:textbox>
                  <w:txbxContent>
                    <w:p w14:paraId="65FA88EB" w14:textId="5DA5B1DE" w:rsidR="0056554E" w:rsidRPr="00B72780" w:rsidRDefault="0056554E" w:rsidP="001C1B11">
                      <w:pPr>
                        <w:jc w:val="center"/>
                        <w:rPr>
                          <w:sz w:val="40"/>
                          <w:szCs w:val="40"/>
                        </w:rPr>
                      </w:pPr>
                      <w:r w:rsidRPr="00B72780">
                        <w:rPr>
                          <w:sz w:val="40"/>
                          <w:szCs w:val="40"/>
                        </w:rPr>
                        <w:t>nptII</w:t>
                      </w:r>
                    </w:p>
                  </w:txbxContent>
                </v:textbox>
                <w10:wrap type="square"/>
              </v:shape>
            </w:pict>
          </mc:Fallback>
        </mc:AlternateContent>
      </w:r>
      <w:r w:rsidRPr="003D2EEC">
        <w:rPr>
          <w:rFonts w:ascii="Arial" w:hAnsi="Arial" w:cs="Arial"/>
          <w:i/>
          <w:iCs/>
          <w:noProof/>
          <w:color w:val="202124"/>
          <w:sz w:val="21"/>
          <w:szCs w:val="21"/>
          <w:shd w:val="clear" w:color="auto" w:fill="FFFFFF"/>
        </w:rPr>
        <w:drawing>
          <wp:anchor distT="0" distB="0" distL="114300" distR="114300" simplePos="0" relativeHeight="251676672" behindDoc="0" locked="0" layoutInCell="1" allowOverlap="1" wp14:anchorId="2F7EA2BB" wp14:editId="0B0305CE">
            <wp:simplePos x="0" y="0"/>
            <wp:positionH relativeFrom="margin">
              <wp:posOffset>187451</wp:posOffset>
            </wp:positionH>
            <wp:positionV relativeFrom="paragraph">
              <wp:posOffset>939116</wp:posOffset>
            </wp:positionV>
            <wp:extent cx="5355809" cy="30903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5809" cy="3090334"/>
                    </a:xfrm>
                    <a:prstGeom prst="rect">
                      <a:avLst/>
                    </a:prstGeom>
                  </pic:spPr>
                </pic:pic>
              </a:graphicData>
            </a:graphic>
            <wp14:sizeRelH relativeFrom="margin">
              <wp14:pctWidth>0</wp14:pctWidth>
            </wp14:sizeRelH>
            <wp14:sizeRelV relativeFrom="margin">
              <wp14:pctHeight>0</wp14:pctHeight>
            </wp14:sizeRelV>
          </wp:anchor>
        </w:drawing>
      </w:r>
      <w:r w:rsidR="00F51B81">
        <w:rPr>
          <w:rFonts w:eastAsiaTheme="minorEastAsia"/>
          <w:sz w:val="24"/>
          <w:szCs w:val="24"/>
          <w:lang w:eastAsia="ja-JP"/>
        </w:rPr>
        <w:br w:type="page"/>
      </w:r>
    </w:p>
    <w:tbl>
      <w:tblPr>
        <w:tblStyle w:val="GridTable6Colorful-Accent4"/>
        <w:tblW w:w="0" w:type="auto"/>
        <w:jc w:val="center"/>
        <w:tblLook w:val="04A0" w:firstRow="1" w:lastRow="0" w:firstColumn="1" w:lastColumn="0" w:noHBand="0" w:noVBand="1"/>
      </w:tblPr>
      <w:tblGrid>
        <w:gridCol w:w="1705"/>
        <w:gridCol w:w="1424"/>
        <w:gridCol w:w="1456"/>
        <w:gridCol w:w="1683"/>
        <w:gridCol w:w="1675"/>
        <w:gridCol w:w="1407"/>
      </w:tblGrid>
      <w:tr w:rsidR="001C1B11" w:rsidRPr="001C1B11" w14:paraId="5D1C3135" w14:textId="77777777" w:rsidTr="00204E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71AA7D71" w14:textId="118A7609" w:rsidR="001C1B11" w:rsidRPr="001C1B11" w:rsidRDefault="001C1B11" w:rsidP="00B72780">
            <w:pPr>
              <w:suppressAutoHyphens/>
              <w:spacing w:after="0" w:line="240" w:lineRule="auto"/>
              <w:jc w:val="center"/>
              <w:rPr>
                <w:rFonts w:eastAsiaTheme="minorEastAsia"/>
                <w:sz w:val="17"/>
                <w:szCs w:val="17"/>
                <w:lang w:eastAsia="ja-JP"/>
              </w:rPr>
            </w:pPr>
            <w:bookmarkStart w:id="5" w:name="_Hlk64373340"/>
            <w:r w:rsidRPr="001C1B11">
              <w:rPr>
                <w:rFonts w:eastAsiaTheme="minorEastAsia"/>
                <w:sz w:val="17"/>
                <w:szCs w:val="17"/>
                <w:lang w:eastAsia="ja-JP"/>
              </w:rPr>
              <w:lastRenderedPageBreak/>
              <w:t>Type of</w:t>
            </w:r>
          </w:p>
          <w:p w14:paraId="349B4718" w14:textId="77777777"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GFP</w:t>
            </w:r>
          </w:p>
        </w:tc>
        <w:tc>
          <w:tcPr>
            <w:tcW w:w="1424" w:type="dxa"/>
          </w:tcPr>
          <w:p w14:paraId="4403450D"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Codon</w:t>
            </w:r>
          </w:p>
        </w:tc>
        <w:tc>
          <w:tcPr>
            <w:tcW w:w="1456" w:type="dxa"/>
          </w:tcPr>
          <w:p w14:paraId="4C7CDBB0"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Code</w:t>
            </w:r>
          </w:p>
        </w:tc>
        <w:tc>
          <w:tcPr>
            <w:tcW w:w="1683" w:type="dxa"/>
          </w:tcPr>
          <w:p w14:paraId="6D04D237"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Amino</w:t>
            </w:r>
          </w:p>
          <w:p w14:paraId="6D017BAB"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Acid</w:t>
            </w:r>
          </w:p>
        </w:tc>
        <w:tc>
          <w:tcPr>
            <w:tcW w:w="1675" w:type="dxa"/>
          </w:tcPr>
          <w:p w14:paraId="6CF23A57"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 Geranium</w:t>
            </w:r>
          </w:p>
          <w:p w14:paraId="23B5191D"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(plastid DNA)</w:t>
            </w:r>
          </w:p>
        </w:tc>
        <w:tc>
          <w:tcPr>
            <w:tcW w:w="1407" w:type="dxa"/>
          </w:tcPr>
          <w:p w14:paraId="75912A99" w14:textId="77777777" w:rsidR="001C1B11" w:rsidRPr="001C1B11" w:rsidRDefault="001C1B11" w:rsidP="00B72780">
            <w:pPr>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 E. Coli</w:t>
            </w:r>
          </w:p>
        </w:tc>
      </w:tr>
      <w:tr w:rsidR="001C1B11" w:rsidRPr="001C1B11" w14:paraId="4DD275BE"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D98A163" w14:textId="6465CA17"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374125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AGT</w:t>
            </w:r>
          </w:p>
        </w:tc>
        <w:tc>
          <w:tcPr>
            <w:tcW w:w="1456" w:type="dxa"/>
          </w:tcPr>
          <w:p w14:paraId="16F0FA2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35B9CD3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3402740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19.8</w:t>
            </w:r>
          </w:p>
        </w:tc>
        <w:tc>
          <w:tcPr>
            <w:tcW w:w="1407" w:type="dxa"/>
          </w:tcPr>
          <w:p w14:paraId="5D2ACB9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13</w:t>
            </w:r>
          </w:p>
        </w:tc>
      </w:tr>
      <w:tr w:rsidR="001C1B11" w:rsidRPr="001C1B11" w14:paraId="682F04A8"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DFBD1D8" w14:textId="3006BE2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60ADFA7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AGC</w:t>
            </w:r>
          </w:p>
        </w:tc>
        <w:tc>
          <w:tcPr>
            <w:tcW w:w="1456" w:type="dxa"/>
          </w:tcPr>
          <w:p w14:paraId="0D6DE35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4BB7917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5C537A2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8.3</w:t>
            </w:r>
          </w:p>
        </w:tc>
        <w:tc>
          <w:tcPr>
            <w:tcW w:w="1407" w:type="dxa"/>
          </w:tcPr>
          <w:p w14:paraId="0982562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27</w:t>
            </w:r>
          </w:p>
        </w:tc>
      </w:tr>
      <w:tr w:rsidR="001C1B11" w:rsidRPr="001C1B11" w14:paraId="0C9ACC1B"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ED2849C" w14:textId="0DB9CA4B"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1D363DE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GCA</w:t>
            </w:r>
          </w:p>
        </w:tc>
        <w:tc>
          <w:tcPr>
            <w:tcW w:w="1456" w:type="dxa"/>
          </w:tcPr>
          <w:p w14:paraId="44F06EC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w:t>
            </w:r>
          </w:p>
        </w:tc>
        <w:tc>
          <w:tcPr>
            <w:tcW w:w="1683" w:type="dxa"/>
          </w:tcPr>
          <w:p w14:paraId="56D5945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Ala</w:t>
            </w:r>
          </w:p>
        </w:tc>
        <w:tc>
          <w:tcPr>
            <w:tcW w:w="1675" w:type="dxa"/>
          </w:tcPr>
          <w:p w14:paraId="5AA7B5B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28.5</w:t>
            </w:r>
          </w:p>
        </w:tc>
        <w:tc>
          <w:tcPr>
            <w:tcW w:w="1407" w:type="dxa"/>
          </w:tcPr>
          <w:p w14:paraId="6EF3734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22</w:t>
            </w:r>
          </w:p>
        </w:tc>
      </w:tr>
      <w:tr w:rsidR="001C1B11" w:rsidRPr="001C1B11" w14:paraId="5A8FD1F8"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2994E2C7" w14:textId="2B9256D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4FCCC44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GCT</w:t>
            </w:r>
          </w:p>
        </w:tc>
        <w:tc>
          <w:tcPr>
            <w:tcW w:w="1456" w:type="dxa"/>
          </w:tcPr>
          <w:p w14:paraId="7D91FB4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w:t>
            </w:r>
          </w:p>
        </w:tc>
        <w:tc>
          <w:tcPr>
            <w:tcW w:w="1683" w:type="dxa"/>
          </w:tcPr>
          <w:p w14:paraId="6460E04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Ala</w:t>
            </w:r>
          </w:p>
        </w:tc>
        <w:tc>
          <w:tcPr>
            <w:tcW w:w="1675" w:type="dxa"/>
          </w:tcPr>
          <w:p w14:paraId="7389D53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41.6</w:t>
            </w:r>
          </w:p>
        </w:tc>
        <w:tc>
          <w:tcPr>
            <w:tcW w:w="1407" w:type="dxa"/>
          </w:tcPr>
          <w:p w14:paraId="09C4B63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19</w:t>
            </w:r>
          </w:p>
        </w:tc>
      </w:tr>
      <w:tr w:rsidR="001C1B11" w:rsidRPr="001C1B11" w14:paraId="0FECD920"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5A76FD72" w14:textId="281A6DC5"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21E5DCE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AAA</w:t>
            </w:r>
          </w:p>
        </w:tc>
        <w:tc>
          <w:tcPr>
            <w:tcW w:w="1456" w:type="dxa"/>
          </w:tcPr>
          <w:p w14:paraId="0A583F4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K</w:t>
            </w:r>
          </w:p>
        </w:tc>
        <w:tc>
          <w:tcPr>
            <w:tcW w:w="1683" w:type="dxa"/>
          </w:tcPr>
          <w:p w14:paraId="767FFA2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Lys</w:t>
            </w:r>
          </w:p>
        </w:tc>
        <w:tc>
          <w:tcPr>
            <w:tcW w:w="1675" w:type="dxa"/>
          </w:tcPr>
          <w:p w14:paraId="26ABA97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67.7</w:t>
            </w:r>
          </w:p>
        </w:tc>
        <w:tc>
          <w:tcPr>
            <w:tcW w:w="1407" w:type="dxa"/>
          </w:tcPr>
          <w:p w14:paraId="22902BC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76</w:t>
            </w:r>
          </w:p>
        </w:tc>
      </w:tr>
      <w:tr w:rsidR="001C1B11" w:rsidRPr="001C1B11" w14:paraId="378ADE7A"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C5253F4" w14:textId="18F1D51E"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4D6B7B6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AAG</w:t>
            </w:r>
          </w:p>
        </w:tc>
        <w:tc>
          <w:tcPr>
            <w:tcW w:w="1456" w:type="dxa"/>
          </w:tcPr>
          <w:p w14:paraId="2F68F38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K</w:t>
            </w:r>
          </w:p>
        </w:tc>
        <w:tc>
          <w:tcPr>
            <w:tcW w:w="1683" w:type="dxa"/>
          </w:tcPr>
          <w:p w14:paraId="68528FB3"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Lys</w:t>
            </w:r>
          </w:p>
        </w:tc>
        <w:tc>
          <w:tcPr>
            <w:tcW w:w="1675" w:type="dxa"/>
          </w:tcPr>
          <w:p w14:paraId="425FBF3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21.7</w:t>
            </w:r>
          </w:p>
        </w:tc>
        <w:tc>
          <w:tcPr>
            <w:tcW w:w="1407" w:type="dxa"/>
          </w:tcPr>
          <w:p w14:paraId="6E36634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24</w:t>
            </w:r>
          </w:p>
        </w:tc>
      </w:tr>
      <w:tr w:rsidR="001C1B11" w:rsidRPr="001C1B11" w14:paraId="18BDD2F4"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585BFC4" w14:textId="10899C5E"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571AAD0D"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ACT</w:t>
            </w:r>
          </w:p>
        </w:tc>
        <w:tc>
          <w:tcPr>
            <w:tcW w:w="1456" w:type="dxa"/>
          </w:tcPr>
          <w:p w14:paraId="356DA65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w:t>
            </w:r>
          </w:p>
        </w:tc>
        <w:tc>
          <w:tcPr>
            <w:tcW w:w="1683" w:type="dxa"/>
          </w:tcPr>
          <w:p w14:paraId="4A9215B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Thr</w:t>
            </w:r>
          </w:p>
        </w:tc>
        <w:tc>
          <w:tcPr>
            <w:tcW w:w="1675" w:type="dxa"/>
          </w:tcPr>
          <w:p w14:paraId="6156FDD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41.3</w:t>
            </w:r>
          </w:p>
        </w:tc>
        <w:tc>
          <w:tcPr>
            <w:tcW w:w="1407" w:type="dxa"/>
          </w:tcPr>
          <w:p w14:paraId="6155197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21</w:t>
            </w:r>
          </w:p>
        </w:tc>
      </w:tr>
      <w:tr w:rsidR="001C1B11" w:rsidRPr="001C1B11" w14:paraId="200C1E57"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5529862" w14:textId="0A408C0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0CACB4D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TCT</w:t>
            </w:r>
          </w:p>
        </w:tc>
        <w:tc>
          <w:tcPr>
            <w:tcW w:w="1456" w:type="dxa"/>
          </w:tcPr>
          <w:p w14:paraId="58A2F373"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7E625DF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1EBBA8B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25.9</w:t>
            </w:r>
          </w:p>
        </w:tc>
        <w:tc>
          <w:tcPr>
            <w:tcW w:w="1407" w:type="dxa"/>
          </w:tcPr>
          <w:p w14:paraId="20455CF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19</w:t>
            </w:r>
          </w:p>
        </w:tc>
      </w:tr>
      <w:tr w:rsidR="001C1B11" w:rsidRPr="001C1B11" w14:paraId="425463B3"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BF4A256" w14:textId="6948C620"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43046F9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TCA</w:t>
            </w:r>
          </w:p>
        </w:tc>
        <w:tc>
          <w:tcPr>
            <w:tcW w:w="1456" w:type="dxa"/>
          </w:tcPr>
          <w:p w14:paraId="1C39F67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76B0B0F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73827C2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18.5</w:t>
            </w:r>
          </w:p>
        </w:tc>
        <w:tc>
          <w:tcPr>
            <w:tcW w:w="1407" w:type="dxa"/>
          </w:tcPr>
          <w:p w14:paraId="6FE1BE7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12</w:t>
            </w:r>
          </w:p>
        </w:tc>
      </w:tr>
      <w:tr w:rsidR="001C1B11" w:rsidRPr="001C1B11" w14:paraId="6858C38B"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A8191BC" w14:textId="27E5B4CF"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17C0AC9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TCC</w:t>
            </w:r>
          </w:p>
        </w:tc>
        <w:tc>
          <w:tcPr>
            <w:tcW w:w="1456" w:type="dxa"/>
          </w:tcPr>
          <w:p w14:paraId="55AB02A3"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1C910DD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03CDD1A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17.8</w:t>
            </w:r>
          </w:p>
        </w:tc>
        <w:tc>
          <w:tcPr>
            <w:tcW w:w="1407" w:type="dxa"/>
          </w:tcPr>
          <w:p w14:paraId="09F0722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17</w:t>
            </w:r>
          </w:p>
        </w:tc>
      </w:tr>
      <w:tr w:rsidR="001C1B11" w:rsidRPr="001C1B11" w14:paraId="09B977A2"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052A93A" w14:textId="3256345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6E32E7F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AGA</w:t>
            </w:r>
          </w:p>
        </w:tc>
        <w:tc>
          <w:tcPr>
            <w:tcW w:w="1456" w:type="dxa"/>
          </w:tcPr>
          <w:p w14:paraId="31F9DD0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59A1176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140BBDA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22.8</w:t>
            </w:r>
          </w:p>
        </w:tc>
        <w:tc>
          <w:tcPr>
            <w:tcW w:w="1407" w:type="dxa"/>
          </w:tcPr>
          <w:p w14:paraId="2177BDC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w:t>
            </w:r>
          </w:p>
        </w:tc>
      </w:tr>
      <w:tr w:rsidR="001C1B11" w:rsidRPr="001C1B11" w14:paraId="4FBA8991"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2B2F35A1" w14:textId="302341A7"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4D2928A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CGT</w:t>
            </w:r>
          </w:p>
        </w:tc>
        <w:tc>
          <w:tcPr>
            <w:tcW w:w="1456" w:type="dxa"/>
          </w:tcPr>
          <w:p w14:paraId="3F0A176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0130270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2F5701C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23.1</w:t>
            </w:r>
          </w:p>
        </w:tc>
        <w:tc>
          <w:tcPr>
            <w:tcW w:w="1407" w:type="dxa"/>
          </w:tcPr>
          <w:p w14:paraId="37EB0F6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42</w:t>
            </w:r>
          </w:p>
        </w:tc>
      </w:tr>
      <w:tr w:rsidR="001C1B11" w:rsidRPr="001C1B11" w14:paraId="59F7E66B"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23C692D" w14:textId="539A7F2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229BB39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TAC</w:t>
            </w:r>
          </w:p>
        </w:tc>
        <w:tc>
          <w:tcPr>
            <w:tcW w:w="1456" w:type="dxa"/>
          </w:tcPr>
          <w:p w14:paraId="4A45BCA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Y</w:t>
            </w:r>
          </w:p>
        </w:tc>
        <w:tc>
          <w:tcPr>
            <w:tcW w:w="1683" w:type="dxa"/>
          </w:tcPr>
          <w:p w14:paraId="7063958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Tyr</w:t>
            </w:r>
          </w:p>
        </w:tc>
        <w:tc>
          <w:tcPr>
            <w:tcW w:w="1675" w:type="dxa"/>
          </w:tcPr>
          <w:p w14:paraId="376D539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16.1</w:t>
            </w:r>
          </w:p>
        </w:tc>
        <w:tc>
          <w:tcPr>
            <w:tcW w:w="1407" w:type="dxa"/>
          </w:tcPr>
          <w:p w14:paraId="782C63A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47</w:t>
            </w:r>
          </w:p>
        </w:tc>
      </w:tr>
      <w:tr w:rsidR="001C1B11" w:rsidRPr="001C1B11" w14:paraId="4DEE503C"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64F6E51" w14:textId="690CF30D"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0047CBE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TAT</w:t>
            </w:r>
          </w:p>
        </w:tc>
        <w:tc>
          <w:tcPr>
            <w:tcW w:w="1456" w:type="dxa"/>
          </w:tcPr>
          <w:p w14:paraId="5D672D4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Y</w:t>
            </w:r>
          </w:p>
        </w:tc>
        <w:tc>
          <w:tcPr>
            <w:tcW w:w="1683" w:type="dxa"/>
          </w:tcPr>
          <w:p w14:paraId="5A4098A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Tyr</w:t>
            </w:r>
          </w:p>
        </w:tc>
        <w:tc>
          <w:tcPr>
            <w:tcW w:w="1675" w:type="dxa"/>
          </w:tcPr>
          <w:p w14:paraId="7B2DAFD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77.3</w:t>
            </w:r>
          </w:p>
        </w:tc>
        <w:tc>
          <w:tcPr>
            <w:tcW w:w="1407" w:type="dxa"/>
          </w:tcPr>
          <w:p w14:paraId="22C07FA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53</w:t>
            </w:r>
          </w:p>
        </w:tc>
      </w:tr>
      <w:tr w:rsidR="001C1B11" w:rsidRPr="001C1B11" w14:paraId="7185B037"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A88DF78" w14:textId="30D52B8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7FF1D7F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CCA</w:t>
            </w:r>
          </w:p>
        </w:tc>
        <w:tc>
          <w:tcPr>
            <w:tcW w:w="1456" w:type="dxa"/>
          </w:tcPr>
          <w:p w14:paraId="7BF7ACC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w:t>
            </w:r>
          </w:p>
        </w:tc>
        <w:tc>
          <w:tcPr>
            <w:tcW w:w="1683" w:type="dxa"/>
          </w:tcPr>
          <w:p w14:paraId="67ABF3A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Pro</w:t>
            </w:r>
          </w:p>
        </w:tc>
        <w:tc>
          <w:tcPr>
            <w:tcW w:w="1675" w:type="dxa"/>
          </w:tcPr>
          <w:p w14:paraId="4AB04CA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28.5</w:t>
            </w:r>
          </w:p>
        </w:tc>
        <w:tc>
          <w:tcPr>
            <w:tcW w:w="1407" w:type="dxa"/>
          </w:tcPr>
          <w:p w14:paraId="68787DF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20</w:t>
            </w:r>
          </w:p>
        </w:tc>
      </w:tr>
      <w:tr w:rsidR="001C1B11" w:rsidRPr="001C1B11" w14:paraId="61FC72F5"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0C62A5D" w14:textId="7CF42399"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3D53F95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CCG</w:t>
            </w:r>
          </w:p>
        </w:tc>
        <w:tc>
          <w:tcPr>
            <w:tcW w:w="1456" w:type="dxa"/>
          </w:tcPr>
          <w:p w14:paraId="59916A5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w:t>
            </w:r>
          </w:p>
        </w:tc>
        <w:tc>
          <w:tcPr>
            <w:tcW w:w="1683" w:type="dxa"/>
          </w:tcPr>
          <w:p w14:paraId="3AA9E02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Pro</w:t>
            </w:r>
          </w:p>
        </w:tc>
        <w:tc>
          <w:tcPr>
            <w:tcW w:w="1675" w:type="dxa"/>
          </w:tcPr>
          <w:p w14:paraId="220A044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16.6</w:t>
            </w:r>
          </w:p>
        </w:tc>
        <w:tc>
          <w:tcPr>
            <w:tcW w:w="1407" w:type="dxa"/>
          </w:tcPr>
          <w:p w14:paraId="7551E64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55</w:t>
            </w:r>
          </w:p>
        </w:tc>
      </w:tr>
      <w:tr w:rsidR="001C1B11" w:rsidRPr="001C1B11" w14:paraId="39CE1CF7"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CD30556" w14:textId="3D0695F3"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3680700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AAG</w:t>
            </w:r>
          </w:p>
        </w:tc>
        <w:tc>
          <w:tcPr>
            <w:tcW w:w="1456" w:type="dxa"/>
          </w:tcPr>
          <w:p w14:paraId="7856E12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K</w:t>
            </w:r>
          </w:p>
        </w:tc>
        <w:tc>
          <w:tcPr>
            <w:tcW w:w="1683" w:type="dxa"/>
          </w:tcPr>
          <w:p w14:paraId="3808BE3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Lys</w:t>
            </w:r>
          </w:p>
        </w:tc>
        <w:tc>
          <w:tcPr>
            <w:tcW w:w="1675" w:type="dxa"/>
          </w:tcPr>
          <w:p w14:paraId="4275C8B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21.7</w:t>
            </w:r>
          </w:p>
        </w:tc>
        <w:tc>
          <w:tcPr>
            <w:tcW w:w="1407" w:type="dxa"/>
          </w:tcPr>
          <w:p w14:paraId="3BA165E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24</w:t>
            </w:r>
          </w:p>
        </w:tc>
      </w:tr>
      <w:tr w:rsidR="001C1B11" w:rsidRPr="001C1B11" w14:paraId="79F0A209"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339FA5C" w14:textId="40B35E60"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524671F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AAA</w:t>
            </w:r>
          </w:p>
        </w:tc>
        <w:tc>
          <w:tcPr>
            <w:tcW w:w="1456" w:type="dxa"/>
          </w:tcPr>
          <w:p w14:paraId="738EE2B3"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K</w:t>
            </w:r>
          </w:p>
        </w:tc>
        <w:tc>
          <w:tcPr>
            <w:tcW w:w="1683" w:type="dxa"/>
          </w:tcPr>
          <w:p w14:paraId="4B9BE24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Lys</w:t>
            </w:r>
          </w:p>
        </w:tc>
        <w:tc>
          <w:tcPr>
            <w:tcW w:w="1675" w:type="dxa"/>
          </w:tcPr>
          <w:p w14:paraId="3645151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67.7</w:t>
            </w:r>
          </w:p>
        </w:tc>
        <w:tc>
          <w:tcPr>
            <w:tcW w:w="1407" w:type="dxa"/>
          </w:tcPr>
          <w:p w14:paraId="1345DB0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76</w:t>
            </w:r>
          </w:p>
        </w:tc>
      </w:tr>
      <w:tr w:rsidR="001C1B11" w:rsidRPr="001C1B11" w14:paraId="432E286D"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F853533" w14:textId="3C384D36"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545697C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CAC</w:t>
            </w:r>
          </w:p>
        </w:tc>
        <w:tc>
          <w:tcPr>
            <w:tcW w:w="1456" w:type="dxa"/>
          </w:tcPr>
          <w:p w14:paraId="190A8F1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H</w:t>
            </w:r>
          </w:p>
        </w:tc>
        <w:tc>
          <w:tcPr>
            <w:tcW w:w="1683" w:type="dxa"/>
          </w:tcPr>
          <w:p w14:paraId="4520CD6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His</w:t>
            </w:r>
          </w:p>
        </w:tc>
        <w:tc>
          <w:tcPr>
            <w:tcW w:w="1675" w:type="dxa"/>
          </w:tcPr>
          <w:p w14:paraId="1674FD6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26.6</w:t>
            </w:r>
          </w:p>
        </w:tc>
        <w:tc>
          <w:tcPr>
            <w:tcW w:w="1407" w:type="dxa"/>
          </w:tcPr>
          <w:p w14:paraId="2129299D"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48</w:t>
            </w:r>
          </w:p>
        </w:tc>
      </w:tr>
      <w:tr w:rsidR="001C1B11" w:rsidRPr="001C1B11" w14:paraId="3C87E234"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CD1C6DF" w14:textId="56F6DD45"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76C73AB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CAT</w:t>
            </w:r>
          </w:p>
        </w:tc>
        <w:tc>
          <w:tcPr>
            <w:tcW w:w="1456" w:type="dxa"/>
          </w:tcPr>
          <w:p w14:paraId="5424794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H</w:t>
            </w:r>
          </w:p>
        </w:tc>
        <w:tc>
          <w:tcPr>
            <w:tcW w:w="1683" w:type="dxa"/>
          </w:tcPr>
          <w:p w14:paraId="164DDAA3"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His</w:t>
            </w:r>
          </w:p>
        </w:tc>
        <w:tc>
          <w:tcPr>
            <w:tcW w:w="1675" w:type="dxa"/>
          </w:tcPr>
          <w:p w14:paraId="43C94F0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52.7</w:t>
            </w:r>
          </w:p>
        </w:tc>
        <w:tc>
          <w:tcPr>
            <w:tcW w:w="1407" w:type="dxa"/>
          </w:tcPr>
          <w:p w14:paraId="1CE9485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52</w:t>
            </w:r>
          </w:p>
        </w:tc>
      </w:tr>
      <w:tr w:rsidR="001C1B11" w:rsidRPr="001C1B11" w14:paraId="7219FA02"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3FDC71F" w14:textId="579372F0"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79CCCF1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TTC</w:t>
            </w:r>
          </w:p>
        </w:tc>
        <w:tc>
          <w:tcPr>
            <w:tcW w:w="1456" w:type="dxa"/>
          </w:tcPr>
          <w:p w14:paraId="4132B07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F</w:t>
            </w:r>
          </w:p>
        </w:tc>
        <w:tc>
          <w:tcPr>
            <w:tcW w:w="1683" w:type="dxa"/>
          </w:tcPr>
          <w:p w14:paraId="50A8240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Phe</w:t>
            </w:r>
          </w:p>
        </w:tc>
        <w:tc>
          <w:tcPr>
            <w:tcW w:w="1675" w:type="dxa"/>
          </w:tcPr>
          <w:p w14:paraId="5D7B5B9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29.5</w:t>
            </w:r>
          </w:p>
        </w:tc>
        <w:tc>
          <w:tcPr>
            <w:tcW w:w="1407" w:type="dxa"/>
          </w:tcPr>
          <w:p w14:paraId="60748B8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49</w:t>
            </w:r>
          </w:p>
        </w:tc>
      </w:tr>
      <w:tr w:rsidR="001C1B11" w:rsidRPr="001C1B11" w14:paraId="2A87FE0B"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69990680" w14:textId="4EAD36FB"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2E9B4C5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TTT</w:t>
            </w:r>
          </w:p>
        </w:tc>
        <w:tc>
          <w:tcPr>
            <w:tcW w:w="1456" w:type="dxa"/>
          </w:tcPr>
          <w:p w14:paraId="16CD934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F</w:t>
            </w:r>
          </w:p>
        </w:tc>
        <w:tc>
          <w:tcPr>
            <w:tcW w:w="1683" w:type="dxa"/>
          </w:tcPr>
          <w:p w14:paraId="67970E0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Phe</w:t>
            </w:r>
          </w:p>
        </w:tc>
        <w:tc>
          <w:tcPr>
            <w:tcW w:w="1675" w:type="dxa"/>
          </w:tcPr>
          <w:p w14:paraId="29025EE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69.1</w:t>
            </w:r>
          </w:p>
        </w:tc>
        <w:tc>
          <w:tcPr>
            <w:tcW w:w="1407" w:type="dxa"/>
          </w:tcPr>
          <w:p w14:paraId="5B00033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51</w:t>
            </w:r>
          </w:p>
        </w:tc>
      </w:tr>
      <w:tr w:rsidR="001C1B11" w:rsidRPr="001C1B11" w14:paraId="07B215B2"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E29B427" w14:textId="66231432"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60F112E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AGC</w:t>
            </w:r>
          </w:p>
        </w:tc>
        <w:tc>
          <w:tcPr>
            <w:tcW w:w="1456" w:type="dxa"/>
          </w:tcPr>
          <w:p w14:paraId="1B7041B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3C9558ED"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4881615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8.3</w:t>
            </w:r>
          </w:p>
        </w:tc>
        <w:tc>
          <w:tcPr>
            <w:tcW w:w="1407" w:type="dxa"/>
          </w:tcPr>
          <w:p w14:paraId="267F963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27</w:t>
            </w:r>
          </w:p>
        </w:tc>
      </w:tr>
      <w:tr w:rsidR="001C1B11" w:rsidRPr="001C1B11" w14:paraId="28327C66"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5F7081B" w14:textId="6ACABA46"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00FEE7B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AGT</w:t>
            </w:r>
          </w:p>
        </w:tc>
        <w:tc>
          <w:tcPr>
            <w:tcW w:w="1456" w:type="dxa"/>
          </w:tcPr>
          <w:p w14:paraId="4E0C7DF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w:t>
            </w:r>
          </w:p>
        </w:tc>
        <w:tc>
          <w:tcPr>
            <w:tcW w:w="1683" w:type="dxa"/>
          </w:tcPr>
          <w:p w14:paraId="5049842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Ser</w:t>
            </w:r>
          </w:p>
        </w:tc>
        <w:tc>
          <w:tcPr>
            <w:tcW w:w="1675" w:type="dxa"/>
          </w:tcPr>
          <w:p w14:paraId="2F6001D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19.8</w:t>
            </w:r>
          </w:p>
        </w:tc>
        <w:tc>
          <w:tcPr>
            <w:tcW w:w="1407" w:type="dxa"/>
          </w:tcPr>
          <w:p w14:paraId="11348DD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13</w:t>
            </w:r>
          </w:p>
        </w:tc>
      </w:tr>
      <w:tr w:rsidR="001C1B11" w:rsidRPr="001C1B11" w14:paraId="6A9AD281"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3DB223B" w14:textId="7E58EFC9"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78BD0EB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CCT</w:t>
            </w:r>
          </w:p>
        </w:tc>
        <w:tc>
          <w:tcPr>
            <w:tcW w:w="1456" w:type="dxa"/>
          </w:tcPr>
          <w:p w14:paraId="07EA882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w:t>
            </w:r>
          </w:p>
        </w:tc>
        <w:tc>
          <w:tcPr>
            <w:tcW w:w="1683" w:type="dxa"/>
          </w:tcPr>
          <w:p w14:paraId="4B761BC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Pro</w:t>
            </w:r>
          </w:p>
        </w:tc>
        <w:tc>
          <w:tcPr>
            <w:tcW w:w="1675" w:type="dxa"/>
          </w:tcPr>
          <w:p w14:paraId="0D158D4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32.3</w:t>
            </w:r>
          </w:p>
        </w:tc>
        <w:tc>
          <w:tcPr>
            <w:tcW w:w="1407" w:type="dxa"/>
          </w:tcPr>
          <w:p w14:paraId="0EDA5FD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16</w:t>
            </w:r>
          </w:p>
        </w:tc>
      </w:tr>
      <w:tr w:rsidR="001C1B11" w:rsidRPr="001C1B11" w14:paraId="7A108401"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08A8930" w14:textId="34F3E2A3"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6DBDC69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CCC</w:t>
            </w:r>
          </w:p>
        </w:tc>
        <w:tc>
          <w:tcPr>
            <w:tcW w:w="1456" w:type="dxa"/>
          </w:tcPr>
          <w:p w14:paraId="2479362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w:t>
            </w:r>
          </w:p>
        </w:tc>
        <w:tc>
          <w:tcPr>
            <w:tcW w:w="1683" w:type="dxa"/>
          </w:tcPr>
          <w:p w14:paraId="591F23C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Pro</w:t>
            </w:r>
          </w:p>
        </w:tc>
        <w:tc>
          <w:tcPr>
            <w:tcW w:w="1675" w:type="dxa"/>
          </w:tcPr>
          <w:p w14:paraId="1AAD3AB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17.1</w:t>
            </w:r>
          </w:p>
        </w:tc>
        <w:tc>
          <w:tcPr>
            <w:tcW w:w="1407" w:type="dxa"/>
          </w:tcPr>
          <w:p w14:paraId="02B1CCF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w:t>
            </w:r>
          </w:p>
        </w:tc>
      </w:tr>
      <w:tr w:rsidR="001C1B11" w:rsidRPr="001C1B11" w14:paraId="0CE81C50"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6A512A0" w14:textId="0B4A615B"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65C8630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GAG</w:t>
            </w:r>
          </w:p>
        </w:tc>
        <w:tc>
          <w:tcPr>
            <w:tcW w:w="1456" w:type="dxa"/>
          </w:tcPr>
          <w:p w14:paraId="538D159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E</w:t>
            </w:r>
          </w:p>
        </w:tc>
        <w:tc>
          <w:tcPr>
            <w:tcW w:w="1683" w:type="dxa"/>
          </w:tcPr>
          <w:p w14:paraId="6682CF5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Glu</w:t>
            </w:r>
          </w:p>
        </w:tc>
        <w:tc>
          <w:tcPr>
            <w:tcW w:w="1675" w:type="dxa"/>
          </w:tcPr>
          <w:p w14:paraId="435A573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26.5</w:t>
            </w:r>
          </w:p>
        </w:tc>
        <w:tc>
          <w:tcPr>
            <w:tcW w:w="1407" w:type="dxa"/>
          </w:tcPr>
          <w:p w14:paraId="7BD09B7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30</w:t>
            </w:r>
          </w:p>
        </w:tc>
      </w:tr>
      <w:tr w:rsidR="001C1B11" w:rsidRPr="001C1B11" w14:paraId="7F90D650"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F92F005" w14:textId="3F85A73E"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030ECA2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GAA</w:t>
            </w:r>
          </w:p>
        </w:tc>
        <w:tc>
          <w:tcPr>
            <w:tcW w:w="1456" w:type="dxa"/>
          </w:tcPr>
          <w:p w14:paraId="696F22C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E</w:t>
            </w:r>
          </w:p>
        </w:tc>
        <w:tc>
          <w:tcPr>
            <w:tcW w:w="1683" w:type="dxa"/>
          </w:tcPr>
          <w:p w14:paraId="6796CF0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Glu</w:t>
            </w:r>
          </w:p>
        </w:tc>
        <w:tc>
          <w:tcPr>
            <w:tcW w:w="1675" w:type="dxa"/>
          </w:tcPr>
          <w:p w14:paraId="1F90B44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67.0</w:t>
            </w:r>
          </w:p>
        </w:tc>
        <w:tc>
          <w:tcPr>
            <w:tcW w:w="1407" w:type="dxa"/>
          </w:tcPr>
          <w:p w14:paraId="0D61E4B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70</w:t>
            </w:r>
          </w:p>
        </w:tc>
      </w:tr>
      <w:tr w:rsidR="001C1B11" w:rsidRPr="001C1B11" w14:paraId="0B8A867B"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727AA8FB" w14:textId="056DBE6F"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66B1910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GGA</w:t>
            </w:r>
          </w:p>
        </w:tc>
        <w:tc>
          <w:tcPr>
            <w:tcW w:w="1456" w:type="dxa"/>
          </w:tcPr>
          <w:p w14:paraId="4514BBE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w:t>
            </w:r>
          </w:p>
        </w:tc>
        <w:tc>
          <w:tcPr>
            <w:tcW w:w="1683" w:type="dxa"/>
          </w:tcPr>
          <w:p w14:paraId="4778DC3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Gly</w:t>
            </w:r>
          </w:p>
        </w:tc>
        <w:tc>
          <w:tcPr>
            <w:tcW w:w="1675" w:type="dxa"/>
          </w:tcPr>
          <w:p w14:paraId="02A5014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34.5</w:t>
            </w:r>
          </w:p>
        </w:tc>
        <w:tc>
          <w:tcPr>
            <w:tcW w:w="1407" w:type="dxa"/>
          </w:tcPr>
          <w:p w14:paraId="0F2EA55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9</w:t>
            </w:r>
          </w:p>
        </w:tc>
      </w:tr>
      <w:tr w:rsidR="001C1B11" w:rsidRPr="001C1B11" w14:paraId="13300958"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C55CECF" w14:textId="5E2F51AF"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62EBC8E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GGT</w:t>
            </w:r>
          </w:p>
        </w:tc>
        <w:tc>
          <w:tcPr>
            <w:tcW w:w="1456" w:type="dxa"/>
          </w:tcPr>
          <w:p w14:paraId="0A86D00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w:t>
            </w:r>
          </w:p>
        </w:tc>
        <w:tc>
          <w:tcPr>
            <w:tcW w:w="1683" w:type="dxa"/>
          </w:tcPr>
          <w:p w14:paraId="70E7B0C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Gly</w:t>
            </w:r>
          </w:p>
        </w:tc>
        <w:tc>
          <w:tcPr>
            <w:tcW w:w="1675" w:type="dxa"/>
          </w:tcPr>
          <w:p w14:paraId="03749A8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29.3</w:t>
            </w:r>
          </w:p>
        </w:tc>
        <w:tc>
          <w:tcPr>
            <w:tcW w:w="1407" w:type="dxa"/>
          </w:tcPr>
          <w:p w14:paraId="2B5912B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38</w:t>
            </w:r>
          </w:p>
        </w:tc>
      </w:tr>
      <w:tr w:rsidR="001C1B11" w:rsidRPr="001C1B11" w14:paraId="1ABE9C9E"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4E3290B" w14:textId="585D8A9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9AA6E0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GTG</w:t>
            </w:r>
          </w:p>
        </w:tc>
        <w:tc>
          <w:tcPr>
            <w:tcW w:w="1456" w:type="dxa"/>
          </w:tcPr>
          <w:p w14:paraId="6A4CC78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w:t>
            </w:r>
          </w:p>
        </w:tc>
        <w:tc>
          <w:tcPr>
            <w:tcW w:w="1683" w:type="dxa"/>
          </w:tcPr>
          <w:p w14:paraId="1E8E977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Val</w:t>
            </w:r>
          </w:p>
        </w:tc>
        <w:tc>
          <w:tcPr>
            <w:tcW w:w="1675" w:type="dxa"/>
          </w:tcPr>
          <w:p w14:paraId="5F54ECB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14.1</w:t>
            </w:r>
          </w:p>
        </w:tc>
        <w:tc>
          <w:tcPr>
            <w:tcW w:w="1407" w:type="dxa"/>
          </w:tcPr>
          <w:p w14:paraId="580A35C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34</w:t>
            </w:r>
          </w:p>
        </w:tc>
      </w:tr>
      <w:tr w:rsidR="001C1B11" w:rsidRPr="001C1B11" w14:paraId="50F92366"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D8B1425" w14:textId="179B229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7B90928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GTA</w:t>
            </w:r>
          </w:p>
        </w:tc>
        <w:tc>
          <w:tcPr>
            <w:tcW w:w="1456" w:type="dxa"/>
          </w:tcPr>
          <w:p w14:paraId="7451282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w:t>
            </w:r>
          </w:p>
        </w:tc>
        <w:tc>
          <w:tcPr>
            <w:tcW w:w="1683" w:type="dxa"/>
          </w:tcPr>
          <w:p w14:paraId="687DDFC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Val</w:t>
            </w:r>
          </w:p>
        </w:tc>
        <w:tc>
          <w:tcPr>
            <w:tcW w:w="1675" w:type="dxa"/>
          </w:tcPr>
          <w:p w14:paraId="3FFF4C2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36.7</w:t>
            </w:r>
          </w:p>
        </w:tc>
        <w:tc>
          <w:tcPr>
            <w:tcW w:w="1407" w:type="dxa"/>
          </w:tcPr>
          <w:p w14:paraId="401A6DF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17</w:t>
            </w:r>
          </w:p>
        </w:tc>
      </w:tr>
      <w:tr w:rsidR="001C1B11" w:rsidRPr="001C1B11" w14:paraId="27A21BC3"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0CFE044" w14:textId="358AE33B"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41DB4CD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GAG</w:t>
            </w:r>
          </w:p>
        </w:tc>
        <w:tc>
          <w:tcPr>
            <w:tcW w:w="1456" w:type="dxa"/>
          </w:tcPr>
          <w:p w14:paraId="1520DB6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E</w:t>
            </w:r>
          </w:p>
        </w:tc>
        <w:tc>
          <w:tcPr>
            <w:tcW w:w="1683" w:type="dxa"/>
          </w:tcPr>
          <w:p w14:paraId="288D11C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Glu</w:t>
            </w:r>
          </w:p>
        </w:tc>
        <w:tc>
          <w:tcPr>
            <w:tcW w:w="1675" w:type="dxa"/>
          </w:tcPr>
          <w:p w14:paraId="46EFA43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26.4</w:t>
            </w:r>
          </w:p>
        </w:tc>
        <w:tc>
          <w:tcPr>
            <w:tcW w:w="1407" w:type="dxa"/>
          </w:tcPr>
          <w:p w14:paraId="727C5A5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30</w:t>
            </w:r>
          </w:p>
        </w:tc>
      </w:tr>
      <w:tr w:rsidR="001C1B11" w:rsidRPr="001C1B11" w14:paraId="110B42AA"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10FDA30" w14:textId="2C3C2940"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28322ED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GAA</w:t>
            </w:r>
          </w:p>
        </w:tc>
        <w:tc>
          <w:tcPr>
            <w:tcW w:w="1456" w:type="dxa"/>
          </w:tcPr>
          <w:p w14:paraId="283AD76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E</w:t>
            </w:r>
          </w:p>
        </w:tc>
        <w:tc>
          <w:tcPr>
            <w:tcW w:w="1683" w:type="dxa"/>
          </w:tcPr>
          <w:p w14:paraId="74673FB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Glu</w:t>
            </w:r>
          </w:p>
        </w:tc>
        <w:tc>
          <w:tcPr>
            <w:tcW w:w="1675" w:type="dxa"/>
          </w:tcPr>
          <w:p w14:paraId="38046ED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67</w:t>
            </w:r>
          </w:p>
        </w:tc>
        <w:tc>
          <w:tcPr>
            <w:tcW w:w="1407" w:type="dxa"/>
          </w:tcPr>
          <w:p w14:paraId="1D1D888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70</w:t>
            </w:r>
          </w:p>
        </w:tc>
      </w:tr>
      <w:tr w:rsidR="001C1B11" w:rsidRPr="001C1B11" w14:paraId="1BD750B2"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78094042" w14:textId="1B07356C"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15F30F4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AGG</w:t>
            </w:r>
          </w:p>
        </w:tc>
        <w:tc>
          <w:tcPr>
            <w:tcW w:w="1456" w:type="dxa"/>
          </w:tcPr>
          <w:p w14:paraId="289DCE7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4906837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19EF77E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10.8</w:t>
            </w:r>
          </w:p>
        </w:tc>
        <w:tc>
          <w:tcPr>
            <w:tcW w:w="1407" w:type="dxa"/>
          </w:tcPr>
          <w:p w14:paraId="12D8A24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w:t>
            </w:r>
          </w:p>
        </w:tc>
      </w:tr>
      <w:tr w:rsidR="001C1B11" w:rsidRPr="001C1B11" w14:paraId="186011FC"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2E3F85A5" w14:textId="7E993A69"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55F6E1A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CGC</w:t>
            </w:r>
          </w:p>
        </w:tc>
        <w:tc>
          <w:tcPr>
            <w:tcW w:w="1456" w:type="dxa"/>
          </w:tcPr>
          <w:p w14:paraId="7B3AE3C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1D40768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4D0ECB1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8.8</w:t>
            </w:r>
          </w:p>
        </w:tc>
        <w:tc>
          <w:tcPr>
            <w:tcW w:w="1407" w:type="dxa"/>
          </w:tcPr>
          <w:p w14:paraId="4B91185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37</w:t>
            </w:r>
          </w:p>
        </w:tc>
      </w:tr>
      <w:tr w:rsidR="001C1B11" w:rsidRPr="001C1B11" w14:paraId="309EB81C"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89EA97E" w14:textId="5762C79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39D9226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ACC</w:t>
            </w:r>
          </w:p>
        </w:tc>
        <w:tc>
          <w:tcPr>
            <w:tcW w:w="1456" w:type="dxa"/>
          </w:tcPr>
          <w:p w14:paraId="5A09F59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w:t>
            </w:r>
          </w:p>
        </w:tc>
        <w:tc>
          <w:tcPr>
            <w:tcW w:w="1683" w:type="dxa"/>
          </w:tcPr>
          <w:p w14:paraId="4B1FFE8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Thr</w:t>
            </w:r>
          </w:p>
        </w:tc>
        <w:tc>
          <w:tcPr>
            <w:tcW w:w="1675" w:type="dxa"/>
          </w:tcPr>
          <w:p w14:paraId="25740B8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18.5</w:t>
            </w:r>
          </w:p>
        </w:tc>
        <w:tc>
          <w:tcPr>
            <w:tcW w:w="1407" w:type="dxa"/>
          </w:tcPr>
          <w:p w14:paraId="6FEB4AB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43</w:t>
            </w:r>
          </w:p>
        </w:tc>
      </w:tr>
      <w:tr w:rsidR="001C1B11" w:rsidRPr="001C1B11" w14:paraId="1477A632"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409CB6F" w14:textId="039049B9"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16CE432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ACT</w:t>
            </w:r>
          </w:p>
        </w:tc>
        <w:tc>
          <w:tcPr>
            <w:tcW w:w="1456" w:type="dxa"/>
          </w:tcPr>
          <w:p w14:paraId="01F41E1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w:t>
            </w:r>
          </w:p>
        </w:tc>
        <w:tc>
          <w:tcPr>
            <w:tcW w:w="1683" w:type="dxa"/>
          </w:tcPr>
          <w:p w14:paraId="0D33452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Thr</w:t>
            </w:r>
          </w:p>
        </w:tc>
        <w:tc>
          <w:tcPr>
            <w:tcW w:w="1675" w:type="dxa"/>
          </w:tcPr>
          <w:p w14:paraId="02F0B91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41.3</w:t>
            </w:r>
          </w:p>
        </w:tc>
        <w:tc>
          <w:tcPr>
            <w:tcW w:w="1407" w:type="dxa"/>
          </w:tcPr>
          <w:p w14:paraId="67FA9D7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21</w:t>
            </w:r>
          </w:p>
        </w:tc>
      </w:tr>
      <w:tr w:rsidR="001C1B11" w:rsidRPr="001C1B11" w14:paraId="02E80033"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4D2F8615" w14:textId="5168EB77"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3337BD2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ATC</w:t>
            </w:r>
          </w:p>
        </w:tc>
        <w:tc>
          <w:tcPr>
            <w:tcW w:w="1456" w:type="dxa"/>
          </w:tcPr>
          <w:p w14:paraId="7C5F6B3C"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w:t>
            </w:r>
          </w:p>
        </w:tc>
        <w:tc>
          <w:tcPr>
            <w:tcW w:w="1683" w:type="dxa"/>
          </w:tcPr>
          <w:p w14:paraId="73A1CB3D"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Ile</w:t>
            </w:r>
          </w:p>
        </w:tc>
        <w:tc>
          <w:tcPr>
            <w:tcW w:w="1675" w:type="dxa"/>
          </w:tcPr>
          <w:p w14:paraId="20FED97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18.8</w:t>
            </w:r>
          </w:p>
        </w:tc>
        <w:tc>
          <w:tcPr>
            <w:tcW w:w="1407" w:type="dxa"/>
          </w:tcPr>
          <w:p w14:paraId="6BE9C99A"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46</w:t>
            </w:r>
          </w:p>
        </w:tc>
      </w:tr>
      <w:tr w:rsidR="001C1B11" w:rsidRPr="001C1B11" w14:paraId="2564CEB9"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95C63B2" w14:textId="411E02FB"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08695BDE" w14:textId="336B2248"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ATA</w:t>
            </w:r>
          </w:p>
        </w:tc>
        <w:tc>
          <w:tcPr>
            <w:tcW w:w="1456" w:type="dxa"/>
          </w:tcPr>
          <w:p w14:paraId="4CF6009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w:t>
            </w:r>
          </w:p>
        </w:tc>
        <w:tc>
          <w:tcPr>
            <w:tcW w:w="1683" w:type="dxa"/>
          </w:tcPr>
          <w:p w14:paraId="1482138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Ile</w:t>
            </w:r>
          </w:p>
        </w:tc>
        <w:tc>
          <w:tcPr>
            <w:tcW w:w="1675" w:type="dxa"/>
          </w:tcPr>
          <w:p w14:paraId="5D34C88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30.6</w:t>
            </w:r>
          </w:p>
        </w:tc>
        <w:tc>
          <w:tcPr>
            <w:tcW w:w="1407" w:type="dxa"/>
          </w:tcPr>
          <w:p w14:paraId="4CFD1D9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7</w:t>
            </w:r>
          </w:p>
        </w:tc>
      </w:tr>
      <w:tr w:rsidR="001C1B11" w:rsidRPr="001C1B11" w14:paraId="295F28A7"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75B50C5" w14:textId="37652D5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75366CE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GAC</w:t>
            </w:r>
          </w:p>
        </w:tc>
        <w:tc>
          <w:tcPr>
            <w:tcW w:w="1456" w:type="dxa"/>
          </w:tcPr>
          <w:p w14:paraId="43FDDEB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D</w:t>
            </w:r>
          </w:p>
        </w:tc>
        <w:tc>
          <w:tcPr>
            <w:tcW w:w="1683" w:type="dxa"/>
          </w:tcPr>
          <w:p w14:paraId="7D562736"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Asp</w:t>
            </w:r>
          </w:p>
        </w:tc>
        <w:tc>
          <w:tcPr>
            <w:tcW w:w="1675" w:type="dxa"/>
          </w:tcPr>
          <w:p w14:paraId="6D2B31C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21.8</w:t>
            </w:r>
          </w:p>
        </w:tc>
        <w:tc>
          <w:tcPr>
            <w:tcW w:w="1407" w:type="dxa"/>
          </w:tcPr>
          <w:p w14:paraId="2D22C152"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41</w:t>
            </w:r>
          </w:p>
        </w:tc>
      </w:tr>
      <w:tr w:rsidR="001C1B11" w:rsidRPr="001C1B11" w14:paraId="699FC209"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2A75B8B" w14:textId="3F89AB30"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296FCB4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GAT</w:t>
            </w:r>
          </w:p>
        </w:tc>
        <w:tc>
          <w:tcPr>
            <w:tcW w:w="1456" w:type="dxa"/>
          </w:tcPr>
          <w:p w14:paraId="40D605D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D</w:t>
            </w:r>
          </w:p>
        </w:tc>
        <w:tc>
          <w:tcPr>
            <w:tcW w:w="1683" w:type="dxa"/>
          </w:tcPr>
          <w:p w14:paraId="6DABA30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Asp</w:t>
            </w:r>
          </w:p>
        </w:tc>
        <w:tc>
          <w:tcPr>
            <w:tcW w:w="1675" w:type="dxa"/>
          </w:tcPr>
          <w:p w14:paraId="6C9B63F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67.5</w:t>
            </w:r>
          </w:p>
        </w:tc>
        <w:tc>
          <w:tcPr>
            <w:tcW w:w="1407" w:type="dxa"/>
          </w:tcPr>
          <w:p w14:paraId="2057F6B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59</w:t>
            </w:r>
          </w:p>
        </w:tc>
      </w:tr>
      <w:tr w:rsidR="001C1B11" w:rsidRPr="001C1B11" w14:paraId="64E7025C"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0E3B607" w14:textId="1F7933F2"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2ACAED75" w14:textId="6A2BDB94"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ACA</w:t>
            </w:r>
          </w:p>
        </w:tc>
        <w:tc>
          <w:tcPr>
            <w:tcW w:w="1456" w:type="dxa"/>
          </w:tcPr>
          <w:p w14:paraId="46045CD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w:t>
            </w:r>
          </w:p>
        </w:tc>
        <w:tc>
          <w:tcPr>
            <w:tcW w:w="1683" w:type="dxa"/>
          </w:tcPr>
          <w:p w14:paraId="306AC54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Thr</w:t>
            </w:r>
          </w:p>
        </w:tc>
        <w:tc>
          <w:tcPr>
            <w:tcW w:w="1675" w:type="dxa"/>
          </w:tcPr>
          <w:p w14:paraId="0B1F037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29</w:t>
            </w:r>
          </w:p>
        </w:tc>
        <w:tc>
          <w:tcPr>
            <w:tcW w:w="1407" w:type="dxa"/>
          </w:tcPr>
          <w:p w14:paraId="3FD4E1C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w:t>
            </w:r>
          </w:p>
        </w:tc>
      </w:tr>
      <w:tr w:rsidR="001C1B11" w:rsidRPr="001C1B11" w14:paraId="5A80A717"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D52668E" w14:textId="07CA86C9"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2D3514F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ACG</w:t>
            </w:r>
          </w:p>
        </w:tc>
        <w:tc>
          <w:tcPr>
            <w:tcW w:w="1456" w:type="dxa"/>
          </w:tcPr>
          <w:p w14:paraId="687287E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w:t>
            </w:r>
          </w:p>
        </w:tc>
        <w:tc>
          <w:tcPr>
            <w:tcW w:w="1683" w:type="dxa"/>
          </w:tcPr>
          <w:p w14:paraId="0CD53F0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Thr</w:t>
            </w:r>
          </w:p>
        </w:tc>
        <w:tc>
          <w:tcPr>
            <w:tcW w:w="1675" w:type="dxa"/>
          </w:tcPr>
          <w:p w14:paraId="6BE0B92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9.8</w:t>
            </w:r>
          </w:p>
        </w:tc>
        <w:tc>
          <w:tcPr>
            <w:tcW w:w="1407" w:type="dxa"/>
          </w:tcPr>
          <w:p w14:paraId="272BE86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23</w:t>
            </w:r>
          </w:p>
        </w:tc>
      </w:tr>
      <w:tr w:rsidR="001C1B11" w:rsidRPr="001C1B11" w14:paraId="43168FC5"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1497031C" w14:textId="7FA18583"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05F164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GGA</w:t>
            </w:r>
          </w:p>
        </w:tc>
        <w:tc>
          <w:tcPr>
            <w:tcW w:w="1456" w:type="dxa"/>
          </w:tcPr>
          <w:p w14:paraId="5AE651B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w:t>
            </w:r>
          </w:p>
        </w:tc>
        <w:tc>
          <w:tcPr>
            <w:tcW w:w="1683" w:type="dxa"/>
          </w:tcPr>
          <w:p w14:paraId="50DAEFD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Gly</w:t>
            </w:r>
          </w:p>
        </w:tc>
        <w:tc>
          <w:tcPr>
            <w:tcW w:w="1675" w:type="dxa"/>
          </w:tcPr>
          <w:p w14:paraId="7A2F0E92"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34.5</w:t>
            </w:r>
          </w:p>
        </w:tc>
        <w:tc>
          <w:tcPr>
            <w:tcW w:w="1407" w:type="dxa"/>
          </w:tcPr>
          <w:p w14:paraId="7A4EFB95"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9</w:t>
            </w:r>
          </w:p>
        </w:tc>
      </w:tr>
      <w:tr w:rsidR="001C1B11" w:rsidRPr="001C1B11" w14:paraId="3C0F0FC5"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3965028" w14:textId="728BF124"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488DF555"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GGT</w:t>
            </w:r>
          </w:p>
        </w:tc>
        <w:tc>
          <w:tcPr>
            <w:tcW w:w="1456" w:type="dxa"/>
          </w:tcPr>
          <w:p w14:paraId="09099FD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w:t>
            </w:r>
          </w:p>
        </w:tc>
        <w:tc>
          <w:tcPr>
            <w:tcW w:w="1683" w:type="dxa"/>
          </w:tcPr>
          <w:p w14:paraId="5144B18C"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Gly</w:t>
            </w:r>
          </w:p>
        </w:tc>
        <w:tc>
          <w:tcPr>
            <w:tcW w:w="1675" w:type="dxa"/>
          </w:tcPr>
          <w:p w14:paraId="535C308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29.3</w:t>
            </w:r>
          </w:p>
        </w:tc>
        <w:tc>
          <w:tcPr>
            <w:tcW w:w="1407" w:type="dxa"/>
          </w:tcPr>
          <w:p w14:paraId="12BEC81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38</w:t>
            </w:r>
          </w:p>
        </w:tc>
      </w:tr>
      <w:tr w:rsidR="001C1B11" w:rsidRPr="001C1B11" w14:paraId="660E4E36"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8DCC43F" w14:textId="7F9CA075"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386169E5" w14:textId="19C68A08"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CTC</w:t>
            </w:r>
          </w:p>
        </w:tc>
        <w:tc>
          <w:tcPr>
            <w:tcW w:w="1456" w:type="dxa"/>
          </w:tcPr>
          <w:p w14:paraId="0C285B3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w:t>
            </w:r>
          </w:p>
        </w:tc>
        <w:tc>
          <w:tcPr>
            <w:tcW w:w="1683" w:type="dxa"/>
          </w:tcPr>
          <w:p w14:paraId="033F615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Leu</w:t>
            </w:r>
          </w:p>
        </w:tc>
        <w:tc>
          <w:tcPr>
            <w:tcW w:w="1675" w:type="dxa"/>
          </w:tcPr>
          <w:p w14:paraId="3184ECDD"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6.8</w:t>
            </w:r>
          </w:p>
        </w:tc>
        <w:tc>
          <w:tcPr>
            <w:tcW w:w="1407" w:type="dxa"/>
          </w:tcPr>
          <w:p w14:paraId="537FB9F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w:t>
            </w:r>
          </w:p>
        </w:tc>
      </w:tr>
      <w:tr w:rsidR="001C1B11" w:rsidRPr="001C1B11" w14:paraId="2090872E"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DDB55C4" w14:textId="36C49527"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72762C7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CTT</w:t>
            </w:r>
          </w:p>
        </w:tc>
        <w:tc>
          <w:tcPr>
            <w:tcW w:w="1456" w:type="dxa"/>
          </w:tcPr>
          <w:p w14:paraId="3A9509D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w:t>
            </w:r>
          </w:p>
        </w:tc>
        <w:tc>
          <w:tcPr>
            <w:tcW w:w="1683" w:type="dxa"/>
          </w:tcPr>
          <w:p w14:paraId="02A7DF9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Leu</w:t>
            </w:r>
          </w:p>
        </w:tc>
        <w:tc>
          <w:tcPr>
            <w:tcW w:w="1675" w:type="dxa"/>
          </w:tcPr>
          <w:p w14:paraId="7D3A67B1"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20.6</w:t>
            </w:r>
          </w:p>
        </w:tc>
        <w:tc>
          <w:tcPr>
            <w:tcW w:w="1407" w:type="dxa"/>
          </w:tcPr>
          <w:p w14:paraId="44A8F374"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w:t>
            </w:r>
          </w:p>
        </w:tc>
      </w:tr>
      <w:tr w:rsidR="001C1B11" w:rsidRPr="001C1B11" w14:paraId="3A2434B1"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39EA19D" w14:textId="2E9ABB55"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57AADCD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GTC</w:t>
            </w:r>
          </w:p>
        </w:tc>
        <w:tc>
          <w:tcPr>
            <w:tcW w:w="1456" w:type="dxa"/>
          </w:tcPr>
          <w:p w14:paraId="50E66DD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w:t>
            </w:r>
          </w:p>
        </w:tc>
        <w:tc>
          <w:tcPr>
            <w:tcW w:w="1683" w:type="dxa"/>
          </w:tcPr>
          <w:p w14:paraId="3311574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Val</w:t>
            </w:r>
          </w:p>
        </w:tc>
        <w:tc>
          <w:tcPr>
            <w:tcW w:w="1675" w:type="dxa"/>
          </w:tcPr>
          <w:p w14:paraId="3B4E2E2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14.1</w:t>
            </w:r>
          </w:p>
        </w:tc>
        <w:tc>
          <w:tcPr>
            <w:tcW w:w="1407" w:type="dxa"/>
          </w:tcPr>
          <w:p w14:paraId="414CCB6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20</w:t>
            </w:r>
          </w:p>
        </w:tc>
      </w:tr>
      <w:tr w:rsidR="001C1B11" w:rsidRPr="001C1B11" w14:paraId="530D186C"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A0630F6" w14:textId="01116E45"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7A910BD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GTT</w:t>
            </w:r>
          </w:p>
        </w:tc>
        <w:tc>
          <w:tcPr>
            <w:tcW w:w="1456" w:type="dxa"/>
          </w:tcPr>
          <w:p w14:paraId="2980BD22"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w:t>
            </w:r>
          </w:p>
        </w:tc>
        <w:tc>
          <w:tcPr>
            <w:tcW w:w="1683" w:type="dxa"/>
          </w:tcPr>
          <w:p w14:paraId="4AE47C7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Val</w:t>
            </w:r>
          </w:p>
        </w:tc>
        <w:tc>
          <w:tcPr>
            <w:tcW w:w="1675" w:type="dxa"/>
          </w:tcPr>
          <w:p w14:paraId="3A87ED7F"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35.8</w:t>
            </w:r>
          </w:p>
        </w:tc>
        <w:tc>
          <w:tcPr>
            <w:tcW w:w="1407" w:type="dxa"/>
          </w:tcPr>
          <w:p w14:paraId="0BAEFC2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29</w:t>
            </w:r>
          </w:p>
        </w:tc>
      </w:tr>
      <w:tr w:rsidR="001C1B11" w:rsidRPr="001C1B11" w14:paraId="7791E86A"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86ECB6A" w14:textId="14BFFDFF"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D7E75BB"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AAC</w:t>
            </w:r>
          </w:p>
        </w:tc>
        <w:tc>
          <w:tcPr>
            <w:tcW w:w="1456" w:type="dxa"/>
          </w:tcPr>
          <w:p w14:paraId="477740B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N</w:t>
            </w:r>
          </w:p>
        </w:tc>
        <w:tc>
          <w:tcPr>
            <w:tcW w:w="1683" w:type="dxa"/>
          </w:tcPr>
          <w:p w14:paraId="44FA14F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Asn</w:t>
            </w:r>
          </w:p>
        </w:tc>
        <w:tc>
          <w:tcPr>
            <w:tcW w:w="1675" w:type="dxa"/>
          </w:tcPr>
          <w:p w14:paraId="4902AD2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24.7</w:t>
            </w:r>
          </w:p>
        </w:tc>
        <w:tc>
          <w:tcPr>
            <w:tcW w:w="1407" w:type="dxa"/>
          </w:tcPr>
          <w:p w14:paraId="06B8B8B0"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61</w:t>
            </w:r>
          </w:p>
        </w:tc>
      </w:tr>
      <w:tr w:rsidR="001C1B11" w:rsidRPr="001C1B11" w14:paraId="3C805465"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38E185B" w14:textId="247FEA91"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6D49199F" w14:textId="5C4D47A3"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AAT</w:t>
            </w:r>
          </w:p>
        </w:tc>
        <w:tc>
          <w:tcPr>
            <w:tcW w:w="1456" w:type="dxa"/>
          </w:tcPr>
          <w:p w14:paraId="2868DC4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N</w:t>
            </w:r>
          </w:p>
        </w:tc>
        <w:tc>
          <w:tcPr>
            <w:tcW w:w="1683" w:type="dxa"/>
          </w:tcPr>
          <w:p w14:paraId="59D8536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Asn</w:t>
            </w:r>
          </w:p>
        </w:tc>
        <w:tc>
          <w:tcPr>
            <w:tcW w:w="1675" w:type="dxa"/>
          </w:tcPr>
          <w:p w14:paraId="5B04AA06"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63.3</w:t>
            </w:r>
          </w:p>
        </w:tc>
        <w:tc>
          <w:tcPr>
            <w:tcW w:w="1407" w:type="dxa"/>
          </w:tcPr>
          <w:p w14:paraId="5CFBA1F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39</w:t>
            </w:r>
          </w:p>
        </w:tc>
      </w:tr>
      <w:tr w:rsidR="001C1B11" w:rsidRPr="001C1B11" w14:paraId="773F2797"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2328939" w14:textId="5A56943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7C72414"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AGG</w:t>
            </w:r>
          </w:p>
        </w:tc>
        <w:tc>
          <w:tcPr>
            <w:tcW w:w="1456" w:type="dxa"/>
          </w:tcPr>
          <w:p w14:paraId="7DBFDAF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444055C7"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73278C8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10.8</w:t>
            </w:r>
          </w:p>
        </w:tc>
        <w:tc>
          <w:tcPr>
            <w:tcW w:w="1407" w:type="dxa"/>
          </w:tcPr>
          <w:p w14:paraId="4F47240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w:t>
            </w:r>
          </w:p>
        </w:tc>
      </w:tr>
      <w:tr w:rsidR="001C1B11" w:rsidRPr="001C1B11" w14:paraId="683DEA22"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4CDECB62" w14:textId="0C34D6CF"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1A2D4E7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CGT</w:t>
            </w:r>
          </w:p>
        </w:tc>
        <w:tc>
          <w:tcPr>
            <w:tcW w:w="1456" w:type="dxa"/>
          </w:tcPr>
          <w:p w14:paraId="5726DE60"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R</w:t>
            </w:r>
          </w:p>
        </w:tc>
        <w:tc>
          <w:tcPr>
            <w:tcW w:w="1683" w:type="dxa"/>
          </w:tcPr>
          <w:p w14:paraId="092DF1D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Arg</w:t>
            </w:r>
          </w:p>
        </w:tc>
        <w:tc>
          <w:tcPr>
            <w:tcW w:w="1675" w:type="dxa"/>
          </w:tcPr>
          <w:p w14:paraId="42A3FE0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23.1</w:t>
            </w:r>
          </w:p>
        </w:tc>
        <w:tc>
          <w:tcPr>
            <w:tcW w:w="1407" w:type="dxa"/>
          </w:tcPr>
          <w:p w14:paraId="28553779"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42</w:t>
            </w:r>
          </w:p>
        </w:tc>
      </w:tr>
      <w:tr w:rsidR="001C1B11" w:rsidRPr="001C1B11" w14:paraId="0AD53824"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2A4BF7A4" w14:textId="1A1AAB93"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3F680786" w14:textId="24ADCC92"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CTT</w:t>
            </w:r>
          </w:p>
        </w:tc>
        <w:tc>
          <w:tcPr>
            <w:tcW w:w="1456" w:type="dxa"/>
          </w:tcPr>
          <w:p w14:paraId="14F57B52"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w:t>
            </w:r>
          </w:p>
        </w:tc>
        <w:tc>
          <w:tcPr>
            <w:tcW w:w="1683" w:type="dxa"/>
          </w:tcPr>
          <w:p w14:paraId="2888B1E3"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Leu</w:t>
            </w:r>
          </w:p>
        </w:tc>
        <w:tc>
          <w:tcPr>
            <w:tcW w:w="1675" w:type="dxa"/>
          </w:tcPr>
          <w:p w14:paraId="1F1D14AE"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20.6</w:t>
            </w:r>
          </w:p>
        </w:tc>
        <w:tc>
          <w:tcPr>
            <w:tcW w:w="1407" w:type="dxa"/>
          </w:tcPr>
          <w:p w14:paraId="39AF0811"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10</w:t>
            </w:r>
          </w:p>
        </w:tc>
      </w:tr>
      <w:tr w:rsidR="001C1B11" w:rsidRPr="001C1B11" w14:paraId="06E7FC15"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0D766E4" w14:textId="53C72671"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5292F9F1" w14:textId="00F7562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TTA</w:t>
            </w:r>
          </w:p>
        </w:tc>
        <w:tc>
          <w:tcPr>
            <w:tcW w:w="1456" w:type="dxa"/>
          </w:tcPr>
          <w:p w14:paraId="6B8B6678"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w:t>
            </w:r>
          </w:p>
        </w:tc>
        <w:tc>
          <w:tcPr>
            <w:tcW w:w="1683" w:type="dxa"/>
          </w:tcPr>
          <w:p w14:paraId="5DE6F43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Leu</w:t>
            </w:r>
          </w:p>
        </w:tc>
        <w:tc>
          <w:tcPr>
            <w:tcW w:w="1675" w:type="dxa"/>
          </w:tcPr>
          <w:p w14:paraId="0033CE1B"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31.8</w:t>
            </w:r>
          </w:p>
        </w:tc>
        <w:tc>
          <w:tcPr>
            <w:tcW w:w="1407" w:type="dxa"/>
          </w:tcPr>
          <w:p w14:paraId="5E76996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11</w:t>
            </w:r>
          </w:p>
        </w:tc>
      </w:tr>
      <w:tr w:rsidR="001C1B11" w:rsidRPr="001C1B11" w14:paraId="6BEE982C" w14:textId="77777777" w:rsidTr="00204E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0CBE7691" w14:textId="7B85B6EA"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pMG.d2.r</w:t>
            </w:r>
          </w:p>
        </w:tc>
        <w:tc>
          <w:tcPr>
            <w:tcW w:w="1424" w:type="dxa"/>
          </w:tcPr>
          <w:p w14:paraId="01D7505A" w14:textId="6A50755E"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ATC</w:t>
            </w:r>
          </w:p>
        </w:tc>
        <w:tc>
          <w:tcPr>
            <w:tcW w:w="1456" w:type="dxa"/>
          </w:tcPr>
          <w:p w14:paraId="3C323E99"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w:t>
            </w:r>
          </w:p>
        </w:tc>
        <w:tc>
          <w:tcPr>
            <w:tcW w:w="1683" w:type="dxa"/>
          </w:tcPr>
          <w:p w14:paraId="6E984C5F"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Ile</w:t>
            </w:r>
          </w:p>
        </w:tc>
        <w:tc>
          <w:tcPr>
            <w:tcW w:w="1675" w:type="dxa"/>
          </w:tcPr>
          <w:p w14:paraId="63B6D2B8"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18.8</w:t>
            </w:r>
          </w:p>
        </w:tc>
        <w:tc>
          <w:tcPr>
            <w:tcW w:w="1407" w:type="dxa"/>
          </w:tcPr>
          <w:p w14:paraId="77BEC092" w14:textId="77777777" w:rsidR="001C1B11" w:rsidRPr="001C1B11" w:rsidRDefault="001C1B11" w:rsidP="00B72780">
            <w:pPr>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46</w:t>
            </w:r>
          </w:p>
        </w:tc>
      </w:tr>
      <w:tr w:rsidR="001C1B11" w:rsidRPr="001C1B11" w14:paraId="17B2FAE8" w14:textId="77777777" w:rsidTr="00204EC5">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3B50C8FF" w14:textId="57B951D8" w:rsidR="001C1B11" w:rsidRPr="001C1B11" w:rsidRDefault="001C1B11" w:rsidP="00B72780">
            <w:pPr>
              <w:suppressAutoHyphens/>
              <w:spacing w:after="0" w:line="240" w:lineRule="auto"/>
              <w:jc w:val="center"/>
              <w:rPr>
                <w:rFonts w:eastAsiaTheme="minorEastAsia"/>
                <w:sz w:val="17"/>
                <w:szCs w:val="17"/>
                <w:lang w:eastAsia="ja-JP"/>
              </w:rPr>
            </w:pPr>
            <w:r w:rsidRPr="001C1B11">
              <w:rPr>
                <w:rFonts w:eastAsiaTheme="minorEastAsia"/>
                <w:sz w:val="17"/>
                <w:szCs w:val="17"/>
                <w:lang w:eastAsia="ja-JP"/>
              </w:rPr>
              <w:t>pGLO</w:t>
            </w:r>
          </w:p>
        </w:tc>
        <w:tc>
          <w:tcPr>
            <w:tcW w:w="1424" w:type="dxa"/>
          </w:tcPr>
          <w:p w14:paraId="253B9F9A" w14:textId="103D890E"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ATT</w:t>
            </w:r>
          </w:p>
        </w:tc>
        <w:tc>
          <w:tcPr>
            <w:tcW w:w="1456" w:type="dxa"/>
          </w:tcPr>
          <w:p w14:paraId="7B669CED"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w:t>
            </w:r>
          </w:p>
        </w:tc>
        <w:tc>
          <w:tcPr>
            <w:tcW w:w="1683" w:type="dxa"/>
          </w:tcPr>
          <w:p w14:paraId="2A9F22F7"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Ile</w:t>
            </w:r>
          </w:p>
        </w:tc>
        <w:tc>
          <w:tcPr>
            <w:tcW w:w="1675" w:type="dxa"/>
          </w:tcPr>
          <w:p w14:paraId="360D22BE"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50.6</w:t>
            </w:r>
          </w:p>
        </w:tc>
        <w:tc>
          <w:tcPr>
            <w:tcW w:w="1407" w:type="dxa"/>
          </w:tcPr>
          <w:p w14:paraId="30FA91AA" w14:textId="77777777" w:rsidR="001C1B11" w:rsidRPr="001C1B11" w:rsidRDefault="001C1B11" w:rsidP="00B72780">
            <w:pPr>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17"/>
                <w:szCs w:val="17"/>
                <w:lang w:eastAsia="ja-JP"/>
              </w:rPr>
            </w:pPr>
            <w:r w:rsidRPr="001C1B11">
              <w:rPr>
                <w:rFonts w:eastAsiaTheme="minorEastAsia"/>
                <w:sz w:val="17"/>
                <w:szCs w:val="17"/>
                <w:lang w:eastAsia="ja-JP"/>
              </w:rPr>
              <w:t>47</w:t>
            </w:r>
          </w:p>
        </w:tc>
      </w:tr>
    </w:tbl>
    <w:bookmarkEnd w:id="5"/>
    <w:p w14:paraId="48E59563" w14:textId="07DF0307" w:rsidR="00F51B81" w:rsidRDefault="00B72780" w:rsidP="00B72780">
      <w:pPr>
        <w:spacing w:after="0" w:line="240" w:lineRule="auto"/>
        <w:ind w:firstLine="720"/>
        <w:rPr>
          <w:rFonts w:eastAsiaTheme="minorEastAsia"/>
          <w:sz w:val="24"/>
          <w:szCs w:val="24"/>
          <w:lang w:eastAsia="ja-JP"/>
        </w:rPr>
      </w:pPr>
      <w:r w:rsidRPr="00AF7E5D">
        <w:rPr>
          <w:rFonts w:eastAsiaTheme="minorEastAsia"/>
          <w:i/>
          <w:iCs/>
          <w:noProof/>
          <w:sz w:val="13"/>
          <w:szCs w:val="13"/>
          <w:lang w:eastAsia="ja-JP"/>
        </w:rPr>
        <mc:AlternateContent>
          <mc:Choice Requires="wps">
            <w:drawing>
              <wp:anchor distT="45720" distB="45720" distL="114300" distR="114300" simplePos="0" relativeHeight="251680768" behindDoc="0" locked="0" layoutInCell="1" allowOverlap="1" wp14:anchorId="7EA493EB" wp14:editId="1DB8AF2C">
                <wp:simplePos x="0" y="0"/>
                <wp:positionH relativeFrom="column">
                  <wp:posOffset>-59690</wp:posOffset>
                </wp:positionH>
                <wp:positionV relativeFrom="paragraph">
                  <wp:posOffset>-8149981</wp:posOffset>
                </wp:positionV>
                <wp:extent cx="4902200" cy="262467"/>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262467"/>
                        </a:xfrm>
                        <a:prstGeom prst="rect">
                          <a:avLst/>
                        </a:prstGeom>
                        <a:noFill/>
                        <a:ln w="9525">
                          <a:noFill/>
                          <a:miter lim="800000"/>
                          <a:headEnd/>
                          <a:tailEnd/>
                        </a:ln>
                      </wps:spPr>
                      <wps:txbx>
                        <w:txbxContent>
                          <w:p w14:paraId="798BA545" w14:textId="66504078" w:rsidR="0056554E" w:rsidRPr="007B30DC" w:rsidRDefault="0056554E" w:rsidP="00AF7E5D">
                            <w:pPr>
                              <w:rPr>
                                <w:i/>
                                <w:iCs/>
                                <w:sz w:val="24"/>
                                <w:szCs w:val="24"/>
                              </w:rPr>
                            </w:pPr>
                            <w:r w:rsidRPr="007B30DC">
                              <w:rPr>
                                <w:rFonts w:eastAsiaTheme="minorEastAsia"/>
                                <w:b/>
                                <w:bCs/>
                                <w:i/>
                                <w:iCs/>
                                <w:sz w:val="24"/>
                                <w:szCs w:val="24"/>
                                <w:lang w:eastAsia="ja-JP"/>
                              </w:rPr>
                              <w:t>Table .1</w:t>
                            </w:r>
                            <w:r w:rsidRPr="007B30DC">
                              <w:rPr>
                                <w:rFonts w:eastAsiaTheme="minorEastAsia"/>
                                <w:i/>
                                <w:iCs/>
                                <w:sz w:val="24"/>
                                <w:szCs w:val="24"/>
                                <w:lang w:eastAsia="ja-JP"/>
                              </w:rPr>
                              <w:t>: the different codons in GFP and precent of codon use</w:t>
                            </w:r>
                          </w:p>
                          <w:p w14:paraId="5A4D68A6" w14:textId="1D0F12C8" w:rsidR="0056554E" w:rsidRPr="007B30DC" w:rsidRDefault="0056554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493EB" id="_x0000_s1028" type="#_x0000_t202" style="position:absolute;left:0;text-align:left;margin-left:-4.7pt;margin-top:-641.75pt;width:386pt;height:20.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" filled="f" stroked="f">
                <v:textbox>
                  <w:txbxContent>
                    <w:p w14:paraId="798BA545" w14:textId="66504078" w:rsidR="0056554E" w:rsidRPr="007B30DC" w:rsidRDefault="0056554E" w:rsidP="00AF7E5D">
                      <w:pPr>
                        <w:rPr>
                          <w:i/>
                          <w:iCs/>
                          <w:sz w:val="24"/>
                          <w:szCs w:val="24"/>
                        </w:rPr>
                      </w:pPr>
                      <w:r w:rsidRPr="007B30DC">
                        <w:rPr>
                          <w:rFonts w:eastAsiaTheme="minorEastAsia"/>
                          <w:b/>
                          <w:bCs/>
                          <w:i/>
                          <w:iCs/>
                          <w:sz w:val="24"/>
                          <w:szCs w:val="24"/>
                          <w:lang w:eastAsia="ja-JP"/>
                        </w:rPr>
                        <w:t>Table .1</w:t>
                      </w:r>
                      <w:r w:rsidRPr="007B30DC">
                        <w:rPr>
                          <w:rFonts w:eastAsiaTheme="minorEastAsia"/>
                          <w:i/>
                          <w:iCs/>
                          <w:sz w:val="24"/>
                          <w:szCs w:val="24"/>
                          <w:lang w:eastAsia="ja-JP"/>
                        </w:rPr>
                        <w:t>: the different codons in GFP and precent of codon use</w:t>
                      </w:r>
                    </w:p>
                    <w:p w14:paraId="5A4D68A6" w14:textId="1D0F12C8" w:rsidR="0056554E" w:rsidRPr="007B30DC" w:rsidRDefault="0056554E">
                      <w:pPr>
                        <w:rPr>
                          <w:sz w:val="24"/>
                          <w:szCs w:val="24"/>
                        </w:rPr>
                      </w:pPr>
                    </w:p>
                  </w:txbxContent>
                </v:textbox>
              </v:shape>
            </w:pict>
          </mc:Fallback>
        </mc:AlternateContent>
      </w:r>
    </w:p>
    <w:p w14:paraId="1284D7DB" w14:textId="77777777" w:rsidR="00B72780" w:rsidRDefault="00B72780" w:rsidP="00B72780">
      <w:pPr>
        <w:suppressAutoHyphens/>
        <w:spacing w:after="0" w:line="240" w:lineRule="auto"/>
        <w:rPr>
          <w:rFonts w:asciiTheme="majorHAnsi" w:hAnsiTheme="majorHAnsi" w:cstheme="majorHAnsi"/>
          <w:color w:val="202124"/>
          <w:sz w:val="28"/>
          <w:szCs w:val="28"/>
          <w:shd w:val="clear" w:color="auto" w:fill="FFFFFF"/>
        </w:rPr>
      </w:pPr>
    </w:p>
    <w:p w14:paraId="7CA5F54D" w14:textId="5124F982" w:rsidR="008327D0" w:rsidRPr="00BD3341" w:rsidRDefault="008327D0" w:rsidP="00B72780">
      <w:pPr>
        <w:suppressAutoHyphens/>
        <w:spacing w:after="0" w:line="240" w:lineRule="auto"/>
        <w:rPr>
          <w:rFonts w:asciiTheme="majorHAnsi" w:eastAsiaTheme="minorEastAsia" w:hAnsiTheme="majorHAnsi" w:cstheme="majorHAnsi"/>
          <w:sz w:val="36"/>
          <w:szCs w:val="36"/>
          <w:lang w:eastAsia="ja-JP"/>
        </w:rPr>
      </w:pPr>
      <w:r w:rsidRPr="00BD3341">
        <w:rPr>
          <w:rFonts w:asciiTheme="majorHAnsi" w:hAnsiTheme="majorHAnsi" w:cstheme="majorHAnsi"/>
          <w:color w:val="202124"/>
          <w:sz w:val="28"/>
          <w:szCs w:val="28"/>
          <w:shd w:val="clear" w:color="auto" w:fill="FFFFFF"/>
        </w:rPr>
        <w:lastRenderedPageBreak/>
        <w:t>Transformation of Agrobacterium</w:t>
      </w:r>
    </w:p>
    <w:p w14:paraId="32FA4CE6" w14:textId="023DF50C" w:rsidR="008327D0" w:rsidRDefault="001A0848" w:rsidP="00B72780">
      <w:pPr>
        <w:suppressAutoHyphens/>
        <w:spacing w:after="0" w:line="240" w:lineRule="auto"/>
        <w:rPr>
          <w:rFonts w:eastAsiaTheme="minorEastAsia"/>
          <w:sz w:val="24"/>
          <w:szCs w:val="24"/>
          <w:lang w:eastAsia="ja-JP"/>
        </w:rPr>
      </w:pPr>
      <w:r w:rsidRPr="005C65D0">
        <w:rPr>
          <w:rFonts w:asciiTheme="majorHAnsi" w:eastAsiaTheme="minorEastAsia" w:hAnsiTheme="majorHAnsi" w:cstheme="majorHAnsi"/>
          <w:sz w:val="24"/>
          <w:szCs w:val="24"/>
          <w:lang w:eastAsia="ja-JP"/>
        </w:rPr>
        <w:t xml:space="preserve">First step </w:t>
      </w:r>
      <w:r w:rsidR="00EF6347">
        <w:rPr>
          <w:rFonts w:asciiTheme="majorHAnsi" w:eastAsiaTheme="minorEastAsia" w:hAnsiTheme="majorHAnsi" w:cstheme="majorHAnsi"/>
          <w:sz w:val="24"/>
          <w:szCs w:val="24"/>
          <w:lang w:eastAsia="ja-JP"/>
        </w:rPr>
        <w:t>was</w:t>
      </w:r>
      <w:r w:rsidRPr="005C65D0">
        <w:rPr>
          <w:rFonts w:asciiTheme="majorHAnsi" w:eastAsiaTheme="minorEastAsia" w:hAnsiTheme="majorHAnsi" w:cstheme="majorHAnsi"/>
          <w:sz w:val="24"/>
          <w:szCs w:val="24"/>
          <w:lang w:eastAsia="ja-JP"/>
        </w:rPr>
        <w:t xml:space="preserve"> to prepare competent cells. </w:t>
      </w:r>
      <w:r w:rsidR="000802E4" w:rsidRPr="005C65D0">
        <w:rPr>
          <w:rFonts w:asciiTheme="majorHAnsi" w:eastAsiaTheme="minorEastAsia" w:hAnsiTheme="majorHAnsi" w:cstheme="majorHAnsi"/>
          <w:sz w:val="24"/>
          <w:szCs w:val="24"/>
          <w:lang w:eastAsia="ja-JP"/>
        </w:rPr>
        <w:t>Agrobacterium was inoculated in 2 mL of liquid growth media</w:t>
      </w:r>
      <w:r w:rsidRPr="005C65D0">
        <w:rPr>
          <w:rFonts w:asciiTheme="majorHAnsi" w:eastAsiaTheme="minorEastAsia" w:hAnsiTheme="majorHAnsi" w:cstheme="majorHAnsi"/>
          <w:sz w:val="24"/>
          <w:szCs w:val="24"/>
          <w:lang w:eastAsia="ja-JP"/>
        </w:rPr>
        <w:t xml:space="preserve"> (LB)</w:t>
      </w:r>
      <w:r w:rsidR="000802E4" w:rsidRPr="005C65D0">
        <w:rPr>
          <w:rFonts w:asciiTheme="majorHAnsi" w:eastAsiaTheme="minorEastAsia" w:hAnsiTheme="majorHAnsi" w:cstheme="majorHAnsi"/>
          <w:sz w:val="24"/>
          <w:szCs w:val="24"/>
          <w:lang w:eastAsia="ja-JP"/>
        </w:rPr>
        <w:t xml:space="preserve"> and grown in a shaker overnight at </w:t>
      </w:r>
      <w:r w:rsidRPr="005C65D0">
        <w:rPr>
          <w:rFonts w:asciiTheme="majorHAnsi" w:eastAsiaTheme="minorEastAsia" w:hAnsiTheme="majorHAnsi" w:cstheme="majorHAnsi"/>
          <w:sz w:val="24"/>
          <w:szCs w:val="24"/>
          <w:lang w:eastAsia="ja-JP"/>
        </w:rPr>
        <w:t>28</w:t>
      </w:r>
      <w:r w:rsidRPr="005C65D0">
        <w:rPr>
          <w:rFonts w:asciiTheme="majorHAnsi" w:hAnsiTheme="majorHAnsi" w:cstheme="majorHAnsi"/>
          <w:color w:val="202124"/>
          <w:sz w:val="24"/>
          <w:szCs w:val="24"/>
          <w:shd w:val="clear" w:color="auto" w:fill="FFFFFF"/>
        </w:rPr>
        <w:t>°C. 2 mL of the culture was inoculated in 50mL of the same medium. The culture was incubated until the opacity level was around 1.0. the culture was chilled on ice for 10 min. the cells were pelleted by centrifuge at 4°C for 8 min. the supernatant was discarded</w:t>
      </w:r>
      <w:r w:rsidRPr="00E45C11">
        <w:rPr>
          <w:rFonts w:asciiTheme="majorHAnsi" w:hAnsiTheme="majorHAnsi" w:cstheme="majorHAnsi"/>
          <w:color w:val="202124"/>
          <w:sz w:val="24"/>
          <w:szCs w:val="24"/>
          <w:shd w:val="clear" w:color="auto" w:fill="FFFFFF"/>
        </w:rPr>
        <w:t>, and the cells were resuspended in 7mL of cold</w:t>
      </w:r>
      <w:r w:rsidR="00483C75" w:rsidRPr="00E45C11">
        <w:rPr>
          <w:rFonts w:asciiTheme="majorHAnsi" w:hAnsiTheme="majorHAnsi" w:cstheme="majorHAnsi"/>
          <w:color w:val="202124"/>
          <w:sz w:val="24"/>
          <w:szCs w:val="24"/>
          <w:shd w:val="clear" w:color="auto" w:fill="FFFFFF"/>
        </w:rPr>
        <w:t xml:space="preserve"> 20mM</w:t>
      </w:r>
      <w:r w:rsidRPr="00E45C11">
        <w:rPr>
          <w:rFonts w:asciiTheme="majorHAnsi" w:hAnsiTheme="majorHAnsi" w:cstheme="majorHAnsi"/>
          <w:color w:val="202124"/>
          <w:sz w:val="24"/>
          <w:szCs w:val="24"/>
          <w:shd w:val="clear" w:color="auto" w:fill="FFFFFF"/>
        </w:rPr>
        <w:t xml:space="preserve"> CaCl</w:t>
      </w:r>
      <w:r w:rsidR="00483C75" w:rsidRPr="00E45C11">
        <w:rPr>
          <w:rFonts w:asciiTheme="majorHAnsi" w:hAnsiTheme="majorHAnsi" w:cstheme="majorHAnsi"/>
          <w:color w:val="202124"/>
          <w:sz w:val="24"/>
          <w:szCs w:val="24"/>
          <w:shd w:val="clear" w:color="auto" w:fill="FFFFFF"/>
          <w:vertAlign w:val="subscript"/>
        </w:rPr>
        <w:t>2</w:t>
      </w:r>
      <w:r w:rsidRPr="00E45C11">
        <w:rPr>
          <w:rFonts w:asciiTheme="majorHAnsi" w:hAnsiTheme="majorHAnsi" w:cstheme="majorHAnsi"/>
          <w:color w:val="202124"/>
          <w:sz w:val="24"/>
          <w:szCs w:val="24"/>
          <w:shd w:val="clear" w:color="auto" w:fill="FFFFFF"/>
        </w:rPr>
        <w:t xml:space="preserve">. Solution was pelleted </w:t>
      </w:r>
      <w:r w:rsidR="00483C75" w:rsidRPr="00E45C11">
        <w:rPr>
          <w:rFonts w:asciiTheme="majorHAnsi" w:hAnsiTheme="majorHAnsi" w:cstheme="majorHAnsi"/>
          <w:color w:val="202124"/>
          <w:sz w:val="24"/>
          <w:szCs w:val="24"/>
          <w:shd w:val="clear" w:color="auto" w:fill="FFFFFF"/>
        </w:rPr>
        <w:t>again,</w:t>
      </w:r>
      <w:r w:rsidRPr="00E45C11">
        <w:rPr>
          <w:rFonts w:asciiTheme="majorHAnsi" w:hAnsiTheme="majorHAnsi" w:cstheme="majorHAnsi"/>
          <w:color w:val="202124"/>
          <w:sz w:val="24"/>
          <w:szCs w:val="24"/>
          <w:shd w:val="clear" w:color="auto" w:fill="FFFFFF"/>
        </w:rPr>
        <w:t xml:space="preserve"> and supernatant was discarded. </w:t>
      </w:r>
      <w:r w:rsidR="00483C75" w:rsidRPr="00E45C11">
        <w:rPr>
          <w:rFonts w:asciiTheme="majorHAnsi" w:hAnsiTheme="majorHAnsi" w:cstheme="majorHAnsi"/>
          <w:color w:val="202124"/>
          <w:sz w:val="24"/>
          <w:szCs w:val="24"/>
          <w:shd w:val="clear" w:color="auto" w:fill="FFFFFF"/>
        </w:rPr>
        <w:t>Resuspend cells in 1mL of CaCl</w:t>
      </w:r>
      <w:r w:rsidR="00483C75" w:rsidRPr="00E45C11">
        <w:rPr>
          <w:rFonts w:asciiTheme="majorHAnsi" w:hAnsiTheme="majorHAnsi" w:cstheme="majorHAnsi"/>
          <w:color w:val="202124"/>
          <w:sz w:val="24"/>
          <w:szCs w:val="24"/>
          <w:shd w:val="clear" w:color="auto" w:fill="FFFFFF"/>
          <w:vertAlign w:val="subscript"/>
        </w:rPr>
        <w:t>2</w:t>
      </w:r>
      <w:r w:rsidR="00483C75" w:rsidRPr="00E45C11">
        <w:rPr>
          <w:rFonts w:asciiTheme="majorHAnsi" w:hAnsiTheme="majorHAnsi" w:cstheme="majorHAnsi"/>
          <w:color w:val="202124"/>
          <w:sz w:val="24"/>
          <w:szCs w:val="24"/>
          <w:shd w:val="clear" w:color="auto" w:fill="FFFFFF"/>
        </w:rPr>
        <w:t xml:space="preserve"> and make 100 </w:t>
      </w:r>
      <w:bookmarkStart w:id="6" w:name="_Hlk64371066"/>
      <w:r w:rsidR="00483C75" w:rsidRPr="00E45C11">
        <w:rPr>
          <w:sz w:val="24"/>
          <w:szCs w:val="24"/>
        </w:rPr>
        <w:t>μ</w:t>
      </w:r>
      <w:bookmarkEnd w:id="6"/>
      <w:r w:rsidR="00483C75" w:rsidRPr="00E45C11">
        <w:rPr>
          <w:sz w:val="24"/>
          <w:szCs w:val="24"/>
        </w:rPr>
        <w:t>L aliquots. The aliquots were stored in a -80</w:t>
      </w:r>
      <w:bookmarkStart w:id="7" w:name="_Hlk64371289"/>
      <w:r w:rsidR="00483C75" w:rsidRPr="00E45C11">
        <w:rPr>
          <w:rFonts w:asciiTheme="majorHAnsi" w:hAnsiTheme="majorHAnsi" w:cstheme="majorHAnsi"/>
          <w:color w:val="202124"/>
          <w:sz w:val="24"/>
          <w:szCs w:val="24"/>
          <w:shd w:val="clear" w:color="auto" w:fill="FFFFFF"/>
        </w:rPr>
        <w:t>°C</w:t>
      </w:r>
      <w:bookmarkEnd w:id="7"/>
      <w:r w:rsidR="00483C75" w:rsidRPr="00E45C11">
        <w:rPr>
          <w:rFonts w:asciiTheme="majorHAnsi" w:hAnsiTheme="majorHAnsi" w:cstheme="majorHAnsi"/>
          <w:color w:val="202124"/>
          <w:sz w:val="24"/>
          <w:szCs w:val="24"/>
          <w:shd w:val="clear" w:color="auto" w:fill="FFFFFF"/>
        </w:rPr>
        <w:t xml:space="preserve"> freezer. The competent cells </w:t>
      </w:r>
      <w:r w:rsidR="00EF6347">
        <w:rPr>
          <w:rFonts w:asciiTheme="majorHAnsi" w:hAnsiTheme="majorHAnsi" w:cstheme="majorHAnsi"/>
          <w:color w:val="202124"/>
          <w:sz w:val="24"/>
          <w:szCs w:val="24"/>
          <w:shd w:val="clear" w:color="auto" w:fill="FFFFFF"/>
        </w:rPr>
        <w:t>were</w:t>
      </w:r>
      <w:r w:rsidR="00483C75" w:rsidRPr="00E45C11">
        <w:rPr>
          <w:rFonts w:asciiTheme="majorHAnsi" w:hAnsiTheme="majorHAnsi" w:cstheme="majorHAnsi"/>
          <w:color w:val="202124"/>
          <w:sz w:val="24"/>
          <w:szCs w:val="24"/>
          <w:shd w:val="clear" w:color="auto" w:fill="FFFFFF"/>
        </w:rPr>
        <w:t xml:space="preserve"> ready to be transformed. </w:t>
      </w:r>
      <w:r w:rsidR="00E45C11">
        <w:rPr>
          <w:rFonts w:asciiTheme="majorHAnsi" w:hAnsiTheme="majorHAnsi" w:cstheme="majorHAnsi"/>
          <w:color w:val="202124"/>
          <w:sz w:val="24"/>
          <w:szCs w:val="24"/>
          <w:shd w:val="clear" w:color="auto" w:fill="FFFFFF"/>
        </w:rPr>
        <w:t xml:space="preserve">The cells </w:t>
      </w:r>
      <w:r w:rsidR="00EF6347">
        <w:rPr>
          <w:rFonts w:asciiTheme="majorHAnsi" w:hAnsiTheme="majorHAnsi" w:cstheme="majorHAnsi"/>
          <w:color w:val="202124"/>
          <w:sz w:val="24"/>
          <w:szCs w:val="24"/>
          <w:shd w:val="clear" w:color="auto" w:fill="FFFFFF"/>
        </w:rPr>
        <w:t>were</w:t>
      </w:r>
      <w:r w:rsidR="00E45C11">
        <w:rPr>
          <w:rFonts w:asciiTheme="majorHAnsi" w:hAnsiTheme="majorHAnsi" w:cstheme="majorHAnsi"/>
          <w:color w:val="202124"/>
          <w:sz w:val="24"/>
          <w:szCs w:val="24"/>
          <w:shd w:val="clear" w:color="auto" w:fill="FFFFFF"/>
        </w:rPr>
        <w:t xml:space="preserve"> placed on ice and 1</w:t>
      </w:r>
      <w:bookmarkStart w:id="8" w:name="_Hlk64371470"/>
      <w:r w:rsidR="00E45C11" w:rsidRPr="00E45C11">
        <w:rPr>
          <w:sz w:val="24"/>
          <w:szCs w:val="24"/>
        </w:rPr>
        <w:t>μ</w:t>
      </w:r>
      <w:r w:rsidR="00E45C11">
        <w:rPr>
          <w:sz w:val="24"/>
          <w:szCs w:val="24"/>
        </w:rPr>
        <w:t>L</w:t>
      </w:r>
      <w:bookmarkEnd w:id="8"/>
      <w:r w:rsidR="00E45C11">
        <w:rPr>
          <w:sz w:val="24"/>
          <w:szCs w:val="24"/>
        </w:rPr>
        <w:t xml:space="preserve"> of the recombinant plasmid DNA was added before cells thawed. The cell/DNA mixture </w:t>
      </w:r>
      <w:r w:rsidR="00EF6347">
        <w:rPr>
          <w:sz w:val="24"/>
          <w:szCs w:val="24"/>
        </w:rPr>
        <w:t>was</w:t>
      </w:r>
      <w:r w:rsidR="00E45C11">
        <w:rPr>
          <w:sz w:val="24"/>
          <w:szCs w:val="24"/>
        </w:rPr>
        <w:t xml:space="preserve"> placed in liquid nitrogen for 5 minutes then left to thaw at room temperature for 10 min. The cells were transferred to a 2mL growth media and were incubated for 4 hours at 28</w:t>
      </w:r>
      <w:r w:rsidR="00E45C11" w:rsidRPr="00E45C11">
        <w:rPr>
          <w:rFonts w:asciiTheme="majorHAnsi" w:hAnsiTheme="majorHAnsi" w:cstheme="majorHAnsi"/>
          <w:color w:val="202124"/>
          <w:sz w:val="24"/>
          <w:szCs w:val="24"/>
          <w:shd w:val="clear" w:color="auto" w:fill="FFFFFF"/>
        </w:rPr>
        <w:t>°C</w:t>
      </w:r>
      <w:r w:rsidR="00E45C11">
        <w:rPr>
          <w:rFonts w:asciiTheme="majorHAnsi" w:hAnsiTheme="majorHAnsi" w:cstheme="majorHAnsi"/>
          <w:color w:val="202124"/>
          <w:sz w:val="24"/>
          <w:szCs w:val="24"/>
          <w:shd w:val="clear" w:color="auto" w:fill="FFFFFF"/>
        </w:rPr>
        <w:t>. Cells were pelleted for 2 min and resuspended in 1mL of growth media. 200</w:t>
      </w:r>
      <w:r w:rsidR="00BE4FE0" w:rsidRPr="00E45C11">
        <w:rPr>
          <w:sz w:val="24"/>
          <w:szCs w:val="24"/>
        </w:rPr>
        <w:t>μ</w:t>
      </w:r>
      <w:r w:rsidR="00BE4FE0">
        <w:rPr>
          <w:sz w:val="24"/>
          <w:szCs w:val="24"/>
        </w:rPr>
        <w:t>L</w:t>
      </w:r>
      <w:r w:rsidR="00E45C11">
        <w:rPr>
          <w:rFonts w:asciiTheme="majorHAnsi" w:hAnsiTheme="majorHAnsi" w:cstheme="majorHAnsi"/>
          <w:color w:val="202124"/>
          <w:sz w:val="24"/>
          <w:szCs w:val="24"/>
          <w:shd w:val="clear" w:color="auto" w:fill="FFFFFF"/>
        </w:rPr>
        <w:t xml:space="preserve"> aliquots were spread on agar plates that contain </w:t>
      </w:r>
      <w:r w:rsidR="00BE4FE0" w:rsidRPr="00BE4FE0">
        <w:rPr>
          <w:rFonts w:eastAsiaTheme="minorEastAsia"/>
          <w:sz w:val="24"/>
          <w:szCs w:val="24"/>
          <w:lang w:eastAsia="ja-JP"/>
        </w:rPr>
        <w:t>50 mg</w:t>
      </w:r>
      <w:r w:rsidR="00BE4FE0">
        <w:rPr>
          <w:rFonts w:eastAsiaTheme="minorEastAsia"/>
          <w:sz w:val="24"/>
          <w:szCs w:val="24"/>
          <w:lang w:eastAsia="ja-JP"/>
        </w:rPr>
        <w:t xml:space="preserve"> of</w:t>
      </w:r>
      <w:r w:rsidR="00BE4FE0" w:rsidRPr="00BE4FE0">
        <w:rPr>
          <w:rFonts w:eastAsiaTheme="minorEastAsia"/>
          <w:sz w:val="24"/>
          <w:szCs w:val="24"/>
          <w:lang w:eastAsia="ja-JP"/>
        </w:rPr>
        <w:t xml:space="preserve"> kanamycin</w:t>
      </w:r>
      <w:r w:rsidR="00BE4FE0">
        <w:rPr>
          <w:rFonts w:eastAsiaTheme="minorEastAsia"/>
          <w:sz w:val="24"/>
          <w:szCs w:val="24"/>
          <w:lang w:eastAsia="ja-JP"/>
        </w:rPr>
        <w:t>.</w:t>
      </w:r>
    </w:p>
    <w:p w14:paraId="1CE4FB1B" w14:textId="17820BCF" w:rsidR="0050744C" w:rsidRDefault="0050744C" w:rsidP="00B72780">
      <w:pPr>
        <w:suppressAutoHyphens/>
        <w:spacing w:after="0" w:line="240" w:lineRule="auto"/>
        <w:rPr>
          <w:rFonts w:eastAsiaTheme="minorEastAsia"/>
          <w:sz w:val="24"/>
          <w:szCs w:val="24"/>
          <w:lang w:eastAsia="ja-JP"/>
        </w:rPr>
      </w:pPr>
    </w:p>
    <w:p w14:paraId="414F8DB6" w14:textId="60CEAF0E" w:rsidR="00E73E05" w:rsidRPr="00BD3341" w:rsidRDefault="00E73E05" w:rsidP="00B72780">
      <w:pPr>
        <w:suppressAutoHyphens/>
        <w:spacing w:after="0" w:line="240" w:lineRule="auto"/>
        <w:rPr>
          <w:rFonts w:eastAsiaTheme="minorEastAsia"/>
          <w:sz w:val="28"/>
          <w:szCs w:val="28"/>
          <w:lang w:eastAsia="ja-JP"/>
        </w:rPr>
      </w:pPr>
      <w:r w:rsidRPr="00BD3341">
        <w:rPr>
          <w:rFonts w:eastAsiaTheme="minorEastAsia"/>
          <w:sz w:val="28"/>
          <w:szCs w:val="28"/>
          <w:lang w:eastAsia="ja-JP"/>
        </w:rPr>
        <w:t xml:space="preserve">Plant Culture </w:t>
      </w:r>
      <w:r w:rsidR="00EF6347">
        <w:rPr>
          <w:rFonts w:eastAsiaTheme="minorEastAsia"/>
          <w:sz w:val="28"/>
          <w:szCs w:val="28"/>
          <w:lang w:eastAsia="ja-JP"/>
        </w:rPr>
        <w:t>M</w:t>
      </w:r>
      <w:r w:rsidRPr="00BD3341">
        <w:rPr>
          <w:rFonts w:eastAsiaTheme="minorEastAsia"/>
          <w:sz w:val="28"/>
          <w:szCs w:val="28"/>
          <w:lang w:eastAsia="ja-JP"/>
        </w:rPr>
        <w:t>edia</w:t>
      </w:r>
    </w:p>
    <w:p w14:paraId="2DB1539C" w14:textId="78BCBCF1" w:rsidR="00E73E05" w:rsidRPr="00E73E05" w:rsidRDefault="00E73E05" w:rsidP="00B72780">
      <w:pPr>
        <w:suppressAutoHyphens/>
        <w:spacing w:after="0" w:line="240" w:lineRule="auto"/>
        <w:rPr>
          <w:rFonts w:eastAsiaTheme="minorEastAsia"/>
          <w:sz w:val="24"/>
          <w:szCs w:val="24"/>
          <w:lang w:eastAsia="ja-JP"/>
        </w:rPr>
      </w:pPr>
      <w:r w:rsidRPr="00E73E05">
        <w:rPr>
          <w:rFonts w:eastAsiaTheme="minorEastAsia"/>
          <w:sz w:val="24"/>
          <w:szCs w:val="24"/>
          <w:lang w:eastAsia="ja-JP"/>
        </w:rPr>
        <w:t xml:space="preserve">The basal medium used </w:t>
      </w:r>
      <w:r w:rsidR="00EF6347">
        <w:rPr>
          <w:rFonts w:eastAsiaTheme="minorEastAsia"/>
          <w:sz w:val="24"/>
          <w:szCs w:val="24"/>
          <w:lang w:eastAsia="ja-JP"/>
        </w:rPr>
        <w:t>was</w:t>
      </w:r>
      <w:r w:rsidRPr="00E73E05">
        <w:rPr>
          <w:rFonts w:eastAsiaTheme="minorEastAsia"/>
          <w:sz w:val="24"/>
          <w:szCs w:val="24"/>
          <w:lang w:eastAsia="ja-JP"/>
        </w:rPr>
        <w:t xml:space="preserve"> Murashige and Skoog (MS) which only contains nutrients necessary for plant growth</w:t>
      </w:r>
      <w:r>
        <w:rPr>
          <w:rFonts w:eastAsiaTheme="minorEastAsia"/>
          <w:sz w:val="24"/>
          <w:szCs w:val="24"/>
          <w:lang w:eastAsia="ja-JP"/>
        </w:rPr>
        <w:t xml:space="preserve">. </w:t>
      </w:r>
      <w:r w:rsidRPr="00E73E05">
        <w:rPr>
          <w:rFonts w:eastAsiaTheme="minorEastAsia"/>
          <w:sz w:val="24"/>
          <w:szCs w:val="24"/>
          <w:lang w:eastAsia="ja-JP"/>
        </w:rPr>
        <w:t xml:space="preserve">To optimize </w:t>
      </w:r>
      <w:r>
        <w:rPr>
          <w:rFonts w:eastAsiaTheme="minorEastAsia"/>
          <w:sz w:val="24"/>
          <w:szCs w:val="24"/>
          <w:lang w:eastAsia="ja-JP"/>
        </w:rPr>
        <w:t xml:space="preserve">callus and shoot </w:t>
      </w:r>
      <w:r w:rsidRPr="00E73E05">
        <w:rPr>
          <w:rFonts w:eastAsiaTheme="minorEastAsia"/>
          <w:sz w:val="24"/>
          <w:szCs w:val="24"/>
          <w:lang w:eastAsia="ja-JP"/>
        </w:rPr>
        <w:t xml:space="preserve">growth,0.57 </w:t>
      </w:r>
      <w:bookmarkStart w:id="9" w:name="_Hlk62742157"/>
      <w:r w:rsidRPr="00E73E05">
        <w:rPr>
          <w:rFonts w:eastAsiaTheme="minorEastAsia"/>
          <w:sz w:val="24"/>
          <w:szCs w:val="24"/>
          <w:lang w:eastAsia="ja-JP"/>
        </w:rPr>
        <w:t>μM</w:t>
      </w:r>
      <w:bookmarkEnd w:id="9"/>
      <w:r w:rsidRPr="00E73E05">
        <w:rPr>
          <w:rFonts w:eastAsiaTheme="minorEastAsia"/>
          <w:sz w:val="24"/>
          <w:szCs w:val="24"/>
          <w:lang w:eastAsia="ja-JP"/>
        </w:rPr>
        <w:t xml:space="preserve"> </w:t>
      </w:r>
      <w:r>
        <w:rPr>
          <w:rFonts w:eastAsiaTheme="minorEastAsia"/>
          <w:sz w:val="24"/>
          <w:szCs w:val="24"/>
          <w:lang w:eastAsia="ja-JP"/>
        </w:rPr>
        <w:t xml:space="preserve">of </w:t>
      </w:r>
      <w:r w:rsidRPr="00E73E05">
        <w:rPr>
          <w:rFonts w:eastAsiaTheme="minorEastAsia"/>
          <w:sz w:val="24"/>
          <w:szCs w:val="24"/>
          <w:lang w:eastAsia="ja-JP"/>
        </w:rPr>
        <w:t>the auxin hormone</w:t>
      </w:r>
      <w:r>
        <w:rPr>
          <w:rFonts w:eastAsiaTheme="minorEastAsia"/>
          <w:sz w:val="24"/>
          <w:szCs w:val="24"/>
          <w:lang w:eastAsia="ja-JP"/>
        </w:rPr>
        <w:t xml:space="preserve">, </w:t>
      </w:r>
      <w:r w:rsidRPr="00E73E05">
        <w:rPr>
          <w:rFonts w:eastAsiaTheme="minorEastAsia"/>
          <w:sz w:val="24"/>
          <w:szCs w:val="24"/>
          <w:lang w:eastAsia="ja-JP"/>
        </w:rPr>
        <w:t xml:space="preserve">IAA </w:t>
      </w:r>
      <w:r w:rsidR="00EF6347">
        <w:rPr>
          <w:rFonts w:eastAsiaTheme="minorEastAsia"/>
          <w:sz w:val="24"/>
          <w:szCs w:val="24"/>
          <w:lang w:eastAsia="ja-JP"/>
        </w:rPr>
        <w:t>were</w:t>
      </w:r>
      <w:r w:rsidRPr="00E73E05">
        <w:rPr>
          <w:rFonts w:eastAsiaTheme="minorEastAsia"/>
          <w:sz w:val="24"/>
          <w:szCs w:val="24"/>
          <w:lang w:eastAsia="ja-JP"/>
        </w:rPr>
        <w:t xml:space="preserve"> </w:t>
      </w:r>
      <w:r>
        <w:rPr>
          <w:rFonts w:eastAsiaTheme="minorEastAsia"/>
          <w:sz w:val="24"/>
          <w:szCs w:val="24"/>
          <w:lang w:eastAsia="ja-JP"/>
        </w:rPr>
        <w:t>used and</w:t>
      </w:r>
      <w:r w:rsidRPr="00E73E05">
        <w:rPr>
          <w:rFonts w:eastAsiaTheme="minorEastAsia"/>
          <w:sz w:val="24"/>
          <w:szCs w:val="24"/>
          <w:lang w:eastAsia="ja-JP"/>
        </w:rPr>
        <w:t xml:space="preserve">10 μM of </w:t>
      </w:r>
      <w:r>
        <w:rPr>
          <w:rFonts w:eastAsiaTheme="minorEastAsia"/>
          <w:sz w:val="24"/>
          <w:szCs w:val="24"/>
          <w:lang w:eastAsia="ja-JP"/>
        </w:rPr>
        <w:t xml:space="preserve">the </w:t>
      </w:r>
      <w:r w:rsidRPr="00E73E05">
        <w:rPr>
          <w:rFonts w:eastAsiaTheme="minorEastAsia"/>
          <w:sz w:val="24"/>
          <w:szCs w:val="24"/>
          <w:lang w:eastAsia="ja-JP"/>
        </w:rPr>
        <w:t>cytokinin hormone,</w:t>
      </w:r>
      <w:r>
        <w:rPr>
          <w:rFonts w:eastAsiaTheme="minorEastAsia"/>
          <w:sz w:val="24"/>
          <w:szCs w:val="24"/>
          <w:lang w:eastAsia="ja-JP"/>
        </w:rPr>
        <w:t xml:space="preserve"> </w:t>
      </w:r>
      <w:r w:rsidRPr="00E73E05">
        <w:rPr>
          <w:rFonts w:eastAsiaTheme="minorEastAsia"/>
          <w:sz w:val="24"/>
          <w:szCs w:val="24"/>
          <w:lang w:eastAsia="ja-JP"/>
        </w:rPr>
        <w:t xml:space="preserve">TDZ </w:t>
      </w:r>
      <w:r w:rsidR="00EF6347">
        <w:rPr>
          <w:rFonts w:eastAsiaTheme="minorEastAsia"/>
          <w:sz w:val="24"/>
          <w:szCs w:val="24"/>
          <w:lang w:eastAsia="ja-JP"/>
        </w:rPr>
        <w:t>w</w:t>
      </w:r>
      <w:r w:rsidRPr="00E73E05">
        <w:rPr>
          <w:rFonts w:eastAsiaTheme="minorEastAsia"/>
          <w:sz w:val="24"/>
          <w:szCs w:val="24"/>
          <w:lang w:eastAsia="ja-JP"/>
        </w:rPr>
        <w:t>e</w:t>
      </w:r>
      <w:r w:rsidR="00EF6347">
        <w:rPr>
          <w:rFonts w:eastAsiaTheme="minorEastAsia"/>
          <w:sz w:val="24"/>
          <w:szCs w:val="24"/>
          <w:lang w:eastAsia="ja-JP"/>
        </w:rPr>
        <w:t>re</w:t>
      </w:r>
      <w:r w:rsidRPr="00E73E05">
        <w:rPr>
          <w:rFonts w:eastAsiaTheme="minorEastAsia"/>
          <w:sz w:val="24"/>
          <w:szCs w:val="24"/>
          <w:lang w:eastAsia="ja-JP"/>
        </w:rPr>
        <w:t xml:space="preserve"> used</w:t>
      </w:r>
      <w:r>
        <w:rPr>
          <w:rFonts w:eastAsiaTheme="minorEastAsia"/>
          <w:sz w:val="24"/>
          <w:szCs w:val="24"/>
          <w:lang w:eastAsia="ja-JP"/>
        </w:rPr>
        <w:t>.</w:t>
      </w:r>
    </w:p>
    <w:p w14:paraId="2499CD68" w14:textId="77777777" w:rsidR="00E73E05" w:rsidRDefault="00E73E05" w:rsidP="00B72780">
      <w:pPr>
        <w:suppressAutoHyphens/>
        <w:spacing w:after="0" w:line="240" w:lineRule="auto"/>
        <w:rPr>
          <w:rFonts w:eastAsiaTheme="minorEastAsia"/>
          <w:i/>
          <w:iCs/>
          <w:sz w:val="24"/>
          <w:szCs w:val="24"/>
          <w:lang w:eastAsia="ja-JP"/>
        </w:rPr>
      </w:pPr>
    </w:p>
    <w:p w14:paraId="730BC53C" w14:textId="2D002639" w:rsidR="0050744C" w:rsidRPr="00BD3341" w:rsidRDefault="0050744C" w:rsidP="00B72780">
      <w:pPr>
        <w:suppressAutoHyphens/>
        <w:spacing w:after="0" w:line="240" w:lineRule="auto"/>
        <w:rPr>
          <w:rFonts w:eastAsiaTheme="minorEastAsia"/>
          <w:sz w:val="28"/>
          <w:szCs w:val="28"/>
          <w:lang w:eastAsia="ja-JP"/>
        </w:rPr>
      </w:pPr>
      <w:r w:rsidRPr="00BD3341">
        <w:rPr>
          <w:rFonts w:eastAsiaTheme="minorEastAsia"/>
          <w:sz w:val="28"/>
          <w:szCs w:val="28"/>
          <w:lang w:eastAsia="ja-JP"/>
        </w:rPr>
        <w:t xml:space="preserve">Plant </w:t>
      </w:r>
      <w:r w:rsidR="00EF6347">
        <w:rPr>
          <w:rFonts w:eastAsiaTheme="minorEastAsia"/>
          <w:sz w:val="28"/>
          <w:szCs w:val="28"/>
          <w:lang w:eastAsia="ja-JP"/>
        </w:rPr>
        <w:t>M</w:t>
      </w:r>
      <w:r w:rsidRPr="00BD3341">
        <w:rPr>
          <w:rFonts w:eastAsiaTheme="minorEastAsia"/>
          <w:sz w:val="28"/>
          <w:szCs w:val="28"/>
          <w:lang w:eastAsia="ja-JP"/>
        </w:rPr>
        <w:t>aterial</w:t>
      </w:r>
    </w:p>
    <w:p w14:paraId="2498CCCB" w14:textId="149F3524" w:rsidR="0050744C" w:rsidRDefault="00C30309" w:rsidP="00B72780">
      <w:pPr>
        <w:suppressAutoHyphens/>
        <w:spacing w:after="0" w:line="240" w:lineRule="auto"/>
        <w:rPr>
          <w:rFonts w:eastAsiaTheme="minorEastAsia"/>
          <w:sz w:val="24"/>
          <w:szCs w:val="24"/>
          <w:lang w:eastAsia="ja-JP"/>
        </w:rPr>
      </w:pPr>
      <w:r>
        <w:rPr>
          <w:rFonts w:eastAsiaTheme="minorEastAsia"/>
          <w:sz w:val="24"/>
          <w:szCs w:val="24"/>
          <w:lang w:eastAsia="ja-JP"/>
        </w:rPr>
        <w:t>8 petiole cultivars were collected from a nearby geranium plant. the sample</w:t>
      </w:r>
      <w:r w:rsidR="00EF6347">
        <w:rPr>
          <w:rFonts w:eastAsiaTheme="minorEastAsia"/>
          <w:sz w:val="24"/>
          <w:szCs w:val="24"/>
          <w:lang w:eastAsia="ja-JP"/>
        </w:rPr>
        <w:t>s</w:t>
      </w:r>
      <w:r>
        <w:rPr>
          <w:rFonts w:eastAsiaTheme="minorEastAsia"/>
          <w:sz w:val="24"/>
          <w:szCs w:val="24"/>
          <w:lang w:eastAsia="ja-JP"/>
        </w:rPr>
        <w:t xml:space="preserve"> were taken from young plants.</w:t>
      </w:r>
      <w:r w:rsidR="00E73E05">
        <w:rPr>
          <w:rFonts w:eastAsiaTheme="minorEastAsia"/>
          <w:sz w:val="24"/>
          <w:szCs w:val="24"/>
          <w:lang w:eastAsia="ja-JP"/>
        </w:rPr>
        <w:t xml:space="preserve"> The sterilization steps took place in a glass box.</w:t>
      </w:r>
      <w:r>
        <w:rPr>
          <w:rFonts w:eastAsiaTheme="minorEastAsia"/>
          <w:sz w:val="24"/>
          <w:szCs w:val="24"/>
          <w:lang w:eastAsia="ja-JP"/>
        </w:rPr>
        <w:t xml:space="preserve"> The samples were surface sterilized in ethanol solution for 30 sec and then they were placed in a </w:t>
      </w:r>
      <w:r w:rsidR="00E73E05">
        <w:rPr>
          <w:rFonts w:eastAsiaTheme="minorEastAsia"/>
          <w:sz w:val="24"/>
          <w:szCs w:val="24"/>
          <w:lang w:eastAsia="ja-JP"/>
        </w:rPr>
        <w:t>2% chlorine solution for 10 min. the samples were washed in sterile was 3 times, separated into intervals of 1, 2, and 5 min. the petioles were cut into 5mm segments and then placed horizontally in culture medium. the cultures were incubated at room temperature in 16 hr of light</w:t>
      </w:r>
    </w:p>
    <w:p w14:paraId="60E3C275" w14:textId="1CA7DC59" w:rsidR="00E73E05" w:rsidRDefault="00E73E05" w:rsidP="00B72780">
      <w:pPr>
        <w:suppressAutoHyphens/>
        <w:spacing w:after="0" w:line="240" w:lineRule="auto"/>
        <w:rPr>
          <w:rFonts w:eastAsiaTheme="minorEastAsia"/>
          <w:sz w:val="24"/>
          <w:szCs w:val="24"/>
          <w:lang w:eastAsia="ja-JP"/>
        </w:rPr>
      </w:pPr>
    </w:p>
    <w:p w14:paraId="6EBD04A4" w14:textId="39D5A826" w:rsidR="00E73E05" w:rsidRPr="00BD3341" w:rsidRDefault="00E02810" w:rsidP="00B72780">
      <w:pPr>
        <w:suppressAutoHyphens/>
        <w:spacing w:after="0" w:line="240" w:lineRule="auto"/>
        <w:rPr>
          <w:rFonts w:eastAsiaTheme="minorEastAsia"/>
          <w:sz w:val="28"/>
          <w:szCs w:val="28"/>
          <w:lang w:eastAsia="ja-JP"/>
        </w:rPr>
      </w:pPr>
      <w:r w:rsidRPr="00BD3341">
        <w:rPr>
          <w:rFonts w:eastAsiaTheme="minorEastAsia"/>
          <w:sz w:val="28"/>
          <w:szCs w:val="28"/>
          <w:lang w:eastAsia="ja-JP"/>
        </w:rPr>
        <w:t xml:space="preserve">Plant </w:t>
      </w:r>
      <w:r w:rsidR="00EF6347">
        <w:rPr>
          <w:rFonts w:eastAsiaTheme="minorEastAsia"/>
          <w:sz w:val="28"/>
          <w:szCs w:val="28"/>
          <w:lang w:eastAsia="ja-JP"/>
        </w:rPr>
        <w:t>T</w:t>
      </w:r>
      <w:r w:rsidR="00E73E05" w:rsidRPr="00BD3341">
        <w:rPr>
          <w:rFonts w:eastAsiaTheme="minorEastAsia"/>
          <w:sz w:val="28"/>
          <w:szCs w:val="28"/>
          <w:lang w:eastAsia="ja-JP"/>
        </w:rPr>
        <w:t xml:space="preserve">ransformation </w:t>
      </w:r>
      <w:r w:rsidR="00EF6347">
        <w:rPr>
          <w:rFonts w:eastAsiaTheme="minorEastAsia"/>
          <w:sz w:val="28"/>
          <w:szCs w:val="28"/>
          <w:lang w:eastAsia="ja-JP"/>
        </w:rPr>
        <w:t>E</w:t>
      </w:r>
      <w:r w:rsidR="00E73E05" w:rsidRPr="00BD3341">
        <w:rPr>
          <w:rFonts w:eastAsiaTheme="minorEastAsia"/>
          <w:sz w:val="28"/>
          <w:szCs w:val="28"/>
          <w:lang w:eastAsia="ja-JP"/>
        </w:rPr>
        <w:t xml:space="preserve">xperiment </w:t>
      </w:r>
    </w:p>
    <w:p w14:paraId="0E381C2D" w14:textId="5B74F4CB" w:rsidR="001B2E87" w:rsidRPr="001B2E87" w:rsidRDefault="000C3E8C" w:rsidP="00B72780">
      <w:pPr>
        <w:suppressAutoHyphens/>
        <w:spacing w:after="0" w:line="240" w:lineRule="auto"/>
        <w:rPr>
          <w:rFonts w:eastAsiaTheme="minorEastAsia"/>
          <w:sz w:val="24"/>
          <w:szCs w:val="24"/>
          <w:lang w:eastAsia="ja-JP"/>
        </w:rPr>
      </w:pPr>
      <w:r>
        <w:rPr>
          <w:rFonts w:eastAsiaTheme="minorEastAsia"/>
          <w:sz w:val="24"/>
          <w:szCs w:val="24"/>
          <w:lang w:eastAsia="ja-JP"/>
        </w:rPr>
        <w:t xml:space="preserve">The </w:t>
      </w:r>
      <w:r w:rsidRPr="000C3E8C">
        <w:rPr>
          <w:rFonts w:eastAsiaTheme="minorEastAsia"/>
          <w:sz w:val="24"/>
          <w:szCs w:val="24"/>
          <w:lang w:eastAsia="ja-JP"/>
        </w:rPr>
        <w:t>agrobacterium culture should be inoculated in 20 ml of LB medium and then incubated in shaker at 28 °C for 24hrs. The bacterial solution is then centrifuged at 3000 rpm for 10 min, the supernatant will be discarded and replaced with liquid plant culture medium (MS) to suspend the pellet. The petiole explants are incubated with the bacterial solution for 10 minutes. The petioles are then blotted dry and placed on basal media containing only 10 μM of TDZ. After 3 days the petioles were transferred to a medium of the same composition but with the addition of cefotaxime, an antibiotic, to combat the agrobacterium. Results should be seen after about a week. Additionally, the protocol could be modified based on the results.</w:t>
      </w:r>
    </w:p>
    <w:p w14:paraId="0F5CA855" w14:textId="77777777" w:rsidR="00B72780" w:rsidRDefault="00B72780" w:rsidP="00B72780">
      <w:pPr>
        <w:suppressAutoHyphens/>
        <w:spacing w:after="0" w:line="240" w:lineRule="auto"/>
        <w:rPr>
          <w:rFonts w:eastAsiaTheme="minorEastAsia"/>
          <w:b/>
          <w:bCs/>
          <w:sz w:val="24"/>
          <w:szCs w:val="24"/>
          <w:lang w:eastAsia="ja-JP"/>
        </w:rPr>
      </w:pPr>
    </w:p>
    <w:p w14:paraId="6FDA91EE" w14:textId="2145E07E" w:rsidR="001976D9" w:rsidRPr="00BD3341" w:rsidRDefault="001976D9" w:rsidP="00B72780">
      <w:pPr>
        <w:suppressAutoHyphens/>
        <w:spacing w:after="0" w:line="240" w:lineRule="auto"/>
        <w:rPr>
          <w:rFonts w:eastAsiaTheme="minorEastAsia"/>
          <w:b/>
          <w:bCs/>
          <w:sz w:val="28"/>
          <w:szCs w:val="28"/>
          <w:lang w:eastAsia="ja-JP"/>
        </w:rPr>
      </w:pPr>
      <w:r w:rsidRPr="00BD3341">
        <w:rPr>
          <w:rFonts w:eastAsiaTheme="minorEastAsia"/>
          <w:b/>
          <w:bCs/>
          <w:sz w:val="28"/>
          <w:szCs w:val="28"/>
          <w:lang w:eastAsia="ja-JP"/>
        </w:rPr>
        <w:t>Results</w:t>
      </w:r>
      <w:r w:rsidR="000343EC" w:rsidRPr="00BD3341">
        <w:rPr>
          <w:rFonts w:eastAsiaTheme="minorEastAsia"/>
          <w:b/>
          <w:bCs/>
          <w:sz w:val="28"/>
          <w:szCs w:val="28"/>
          <w:lang w:eastAsia="ja-JP"/>
        </w:rPr>
        <w:t xml:space="preserve"> and </w:t>
      </w:r>
      <w:r w:rsidR="00847DD0">
        <w:rPr>
          <w:rFonts w:eastAsiaTheme="minorEastAsia"/>
          <w:b/>
          <w:bCs/>
          <w:sz w:val="28"/>
          <w:szCs w:val="28"/>
          <w:lang w:eastAsia="ja-JP"/>
        </w:rPr>
        <w:t>D</w:t>
      </w:r>
      <w:r w:rsidR="000343EC" w:rsidRPr="00BD3341">
        <w:rPr>
          <w:rFonts w:eastAsiaTheme="minorEastAsia"/>
          <w:b/>
          <w:bCs/>
          <w:sz w:val="28"/>
          <w:szCs w:val="28"/>
          <w:lang w:eastAsia="ja-JP"/>
        </w:rPr>
        <w:t>iscussion</w:t>
      </w:r>
    </w:p>
    <w:p w14:paraId="11128507" w14:textId="77777777" w:rsidR="001976D9" w:rsidRDefault="001976D9" w:rsidP="00B72780">
      <w:pPr>
        <w:suppressAutoHyphens/>
        <w:spacing w:after="0" w:line="240" w:lineRule="auto"/>
        <w:rPr>
          <w:rFonts w:eastAsiaTheme="minorEastAsia"/>
          <w:b/>
          <w:bCs/>
          <w:sz w:val="24"/>
          <w:szCs w:val="24"/>
          <w:lang w:eastAsia="ja-JP"/>
        </w:rPr>
      </w:pPr>
    </w:p>
    <w:p w14:paraId="31AF7845" w14:textId="175A73F0" w:rsidR="00CB5C7B" w:rsidRPr="00BD3341" w:rsidRDefault="00CB5C7B" w:rsidP="00B72780">
      <w:pPr>
        <w:suppressAutoHyphens/>
        <w:spacing w:after="0" w:line="240" w:lineRule="auto"/>
        <w:rPr>
          <w:rFonts w:eastAsiaTheme="minorEastAsia"/>
          <w:sz w:val="28"/>
          <w:szCs w:val="28"/>
          <w:lang w:eastAsia="ja-JP"/>
        </w:rPr>
      </w:pPr>
      <w:r w:rsidRPr="00BD3341">
        <w:rPr>
          <w:rFonts w:eastAsiaTheme="minorEastAsia"/>
          <w:sz w:val="28"/>
          <w:szCs w:val="28"/>
          <w:lang w:eastAsia="ja-JP"/>
        </w:rPr>
        <w:t xml:space="preserve">Plant </w:t>
      </w:r>
      <w:r w:rsidR="00847DD0">
        <w:rPr>
          <w:rFonts w:eastAsiaTheme="minorEastAsia"/>
          <w:sz w:val="28"/>
          <w:szCs w:val="28"/>
          <w:lang w:eastAsia="ja-JP"/>
        </w:rPr>
        <w:t>R</w:t>
      </w:r>
      <w:r w:rsidRPr="00BD3341">
        <w:rPr>
          <w:rFonts w:eastAsiaTheme="minorEastAsia"/>
          <w:sz w:val="28"/>
          <w:szCs w:val="28"/>
          <w:lang w:eastAsia="ja-JP"/>
        </w:rPr>
        <w:t>egeneration</w:t>
      </w:r>
    </w:p>
    <w:p w14:paraId="3E87A428" w14:textId="3B877CEC" w:rsidR="000343EC" w:rsidRDefault="00CB5C7B" w:rsidP="00B72780">
      <w:pPr>
        <w:suppressAutoHyphens/>
        <w:spacing w:after="0" w:line="240" w:lineRule="auto"/>
        <w:rPr>
          <w:rFonts w:eastAsiaTheme="minorEastAsia"/>
          <w:sz w:val="24"/>
          <w:szCs w:val="24"/>
          <w:lang w:eastAsia="ja-JP"/>
        </w:rPr>
      </w:pPr>
      <w:r>
        <w:rPr>
          <w:rFonts w:eastAsiaTheme="minorEastAsia"/>
          <w:sz w:val="24"/>
          <w:szCs w:val="24"/>
          <w:lang w:eastAsia="ja-JP"/>
        </w:rPr>
        <w:t>There was</w:t>
      </w:r>
      <w:r w:rsidR="000343EC">
        <w:rPr>
          <w:rFonts w:eastAsiaTheme="minorEastAsia"/>
          <w:sz w:val="24"/>
          <w:szCs w:val="24"/>
          <w:lang w:eastAsia="ja-JP"/>
        </w:rPr>
        <w:t xml:space="preserve"> minor</w:t>
      </w:r>
      <w:r>
        <w:rPr>
          <w:rFonts w:eastAsiaTheme="minorEastAsia"/>
          <w:sz w:val="24"/>
          <w:szCs w:val="24"/>
          <w:lang w:eastAsia="ja-JP"/>
        </w:rPr>
        <w:t xml:space="preserve"> contamination which means our surface sterilization procedure was effective. </w:t>
      </w:r>
      <w:r w:rsidR="00AA3190">
        <w:rPr>
          <w:rFonts w:eastAsiaTheme="minorEastAsia"/>
          <w:sz w:val="24"/>
          <w:szCs w:val="24"/>
          <w:lang w:eastAsia="ja-JP"/>
        </w:rPr>
        <w:t>7</w:t>
      </w:r>
      <w:r>
        <w:rPr>
          <w:rFonts w:eastAsiaTheme="minorEastAsia"/>
          <w:sz w:val="24"/>
          <w:szCs w:val="24"/>
          <w:lang w:eastAsia="ja-JP"/>
        </w:rPr>
        <w:t xml:space="preserve"> of the petioles grew shoots which also indicates that the cultur</w:t>
      </w:r>
      <w:r w:rsidR="000343EC">
        <w:rPr>
          <w:rFonts w:eastAsiaTheme="minorEastAsia"/>
          <w:sz w:val="24"/>
          <w:szCs w:val="24"/>
          <w:lang w:eastAsia="ja-JP"/>
        </w:rPr>
        <w:t>ing</w:t>
      </w:r>
      <w:r>
        <w:rPr>
          <w:rFonts w:eastAsiaTheme="minorEastAsia"/>
          <w:sz w:val="24"/>
          <w:szCs w:val="24"/>
          <w:lang w:eastAsia="ja-JP"/>
        </w:rPr>
        <w:t xml:space="preserve"> protocol was successful.</w:t>
      </w:r>
    </w:p>
    <w:p w14:paraId="55AE4926" w14:textId="77777777" w:rsidR="000343EC" w:rsidRDefault="000343EC" w:rsidP="00B72780">
      <w:pPr>
        <w:suppressAutoHyphens/>
        <w:spacing w:after="0" w:line="240" w:lineRule="auto"/>
        <w:rPr>
          <w:rFonts w:eastAsiaTheme="minorEastAsia"/>
          <w:sz w:val="24"/>
          <w:szCs w:val="24"/>
          <w:lang w:eastAsia="ja-JP"/>
        </w:rPr>
      </w:pPr>
    </w:p>
    <w:p w14:paraId="3B2518B1" w14:textId="77777777" w:rsidR="001F0273" w:rsidRDefault="001F0273" w:rsidP="00B72780">
      <w:pPr>
        <w:suppressAutoHyphens/>
        <w:spacing w:after="0" w:line="240" w:lineRule="auto"/>
        <w:rPr>
          <w:rFonts w:eastAsiaTheme="minorEastAsia"/>
          <w:sz w:val="28"/>
          <w:szCs w:val="28"/>
          <w:lang w:eastAsia="ja-JP"/>
        </w:rPr>
      </w:pPr>
    </w:p>
    <w:p w14:paraId="1AA46B78" w14:textId="31559440" w:rsidR="000343EC" w:rsidRPr="00BD3341" w:rsidRDefault="000343EC" w:rsidP="00B72780">
      <w:pPr>
        <w:suppressAutoHyphens/>
        <w:spacing w:after="0" w:line="240" w:lineRule="auto"/>
        <w:rPr>
          <w:rFonts w:eastAsiaTheme="minorEastAsia"/>
          <w:b/>
          <w:bCs/>
          <w:sz w:val="28"/>
          <w:szCs w:val="28"/>
          <w:lang w:eastAsia="ja-JP"/>
        </w:rPr>
      </w:pPr>
      <w:r w:rsidRPr="00BD3341">
        <w:rPr>
          <w:rFonts w:eastAsiaTheme="minorEastAsia"/>
          <w:sz w:val="28"/>
          <w:szCs w:val="28"/>
          <w:lang w:eastAsia="ja-JP"/>
        </w:rPr>
        <w:lastRenderedPageBreak/>
        <w:t xml:space="preserve">Plant </w:t>
      </w:r>
      <w:r w:rsidR="00847DD0">
        <w:rPr>
          <w:rFonts w:eastAsiaTheme="minorEastAsia"/>
          <w:sz w:val="28"/>
          <w:szCs w:val="28"/>
          <w:lang w:eastAsia="ja-JP"/>
        </w:rPr>
        <w:t>T</w:t>
      </w:r>
      <w:r w:rsidRPr="00BD3341">
        <w:rPr>
          <w:rFonts w:eastAsiaTheme="minorEastAsia"/>
          <w:sz w:val="28"/>
          <w:szCs w:val="28"/>
          <w:lang w:eastAsia="ja-JP"/>
        </w:rPr>
        <w:t>ransformation</w:t>
      </w:r>
      <w:r w:rsidR="00CB5C7B" w:rsidRPr="00BD3341">
        <w:rPr>
          <w:rFonts w:eastAsiaTheme="minorEastAsia"/>
          <w:sz w:val="28"/>
          <w:szCs w:val="28"/>
          <w:lang w:eastAsia="ja-JP"/>
        </w:rPr>
        <w:t xml:space="preserve">  </w:t>
      </w:r>
    </w:p>
    <w:p w14:paraId="28890C54" w14:textId="1A8C42B3" w:rsidR="00AA3190" w:rsidRDefault="000343EC" w:rsidP="00B72780">
      <w:pPr>
        <w:suppressAutoHyphens/>
        <w:spacing w:after="0" w:line="240" w:lineRule="auto"/>
        <w:rPr>
          <w:rFonts w:eastAsiaTheme="minorEastAsia"/>
          <w:sz w:val="24"/>
          <w:szCs w:val="24"/>
          <w:lang w:eastAsia="ja-JP"/>
        </w:rPr>
      </w:pPr>
      <w:r w:rsidRPr="000343EC">
        <w:rPr>
          <w:rFonts w:eastAsiaTheme="minorEastAsia"/>
          <w:sz w:val="24"/>
          <w:szCs w:val="24"/>
          <w:lang w:eastAsia="ja-JP"/>
        </w:rPr>
        <w:t xml:space="preserve">Transformation did not occur in all samples. </w:t>
      </w:r>
      <w:r>
        <w:rPr>
          <w:rFonts w:eastAsiaTheme="minorEastAsia"/>
          <w:sz w:val="24"/>
          <w:szCs w:val="24"/>
          <w:lang w:eastAsia="ja-JP"/>
        </w:rPr>
        <w:t>Out of the 8 samples 4</w:t>
      </w:r>
      <w:r w:rsidRPr="000343EC">
        <w:rPr>
          <w:rFonts w:eastAsiaTheme="minorEastAsia"/>
          <w:sz w:val="24"/>
          <w:szCs w:val="24"/>
          <w:lang w:eastAsia="ja-JP"/>
        </w:rPr>
        <w:t xml:space="preserve"> of the</w:t>
      </w:r>
      <w:r>
        <w:rPr>
          <w:rFonts w:eastAsiaTheme="minorEastAsia"/>
          <w:sz w:val="24"/>
          <w:szCs w:val="24"/>
          <w:lang w:eastAsia="ja-JP"/>
        </w:rPr>
        <w:t>m confidently</w:t>
      </w:r>
      <w:r w:rsidRPr="000343EC">
        <w:rPr>
          <w:rFonts w:eastAsiaTheme="minorEastAsia"/>
          <w:sz w:val="24"/>
          <w:szCs w:val="24"/>
          <w:lang w:eastAsia="ja-JP"/>
        </w:rPr>
        <w:t xml:space="preserve"> expressed GFP</w:t>
      </w:r>
      <w:r>
        <w:rPr>
          <w:rFonts w:eastAsiaTheme="minorEastAsia"/>
          <w:sz w:val="24"/>
          <w:szCs w:val="24"/>
          <w:lang w:eastAsia="ja-JP"/>
        </w:rPr>
        <w:t>. The expression was also</w:t>
      </w:r>
      <w:r w:rsidRPr="000343EC">
        <w:rPr>
          <w:rFonts w:eastAsiaTheme="minorEastAsia"/>
          <w:sz w:val="24"/>
          <w:szCs w:val="24"/>
          <w:lang w:eastAsia="ja-JP"/>
        </w:rPr>
        <w:t xml:space="preserve"> in different degrees, </w:t>
      </w:r>
      <w:r>
        <w:rPr>
          <w:rFonts w:eastAsiaTheme="minorEastAsia"/>
          <w:sz w:val="24"/>
          <w:szCs w:val="24"/>
          <w:lang w:eastAsia="ja-JP"/>
        </w:rPr>
        <w:t>e</w:t>
      </w:r>
      <w:r w:rsidRPr="000343EC">
        <w:rPr>
          <w:rFonts w:eastAsiaTheme="minorEastAsia"/>
          <w:sz w:val="24"/>
          <w:szCs w:val="24"/>
          <w:lang w:eastAsia="ja-JP"/>
        </w:rPr>
        <w:t xml:space="preserve">xplants </w:t>
      </w:r>
      <w:r>
        <w:rPr>
          <w:rFonts w:eastAsiaTheme="minorEastAsia"/>
          <w:sz w:val="24"/>
          <w:szCs w:val="24"/>
          <w:lang w:eastAsia="ja-JP"/>
        </w:rPr>
        <w:t xml:space="preserve">2 and 3 </w:t>
      </w:r>
      <w:r w:rsidRPr="000343EC">
        <w:rPr>
          <w:rFonts w:eastAsiaTheme="minorEastAsia"/>
          <w:sz w:val="24"/>
          <w:szCs w:val="24"/>
          <w:lang w:eastAsia="ja-JP"/>
        </w:rPr>
        <w:t xml:space="preserve">exhibited brighter fluorescence in leaves under UV. </w:t>
      </w:r>
      <w:r>
        <w:rPr>
          <w:rFonts w:eastAsiaTheme="minorEastAsia"/>
          <w:sz w:val="24"/>
          <w:szCs w:val="24"/>
          <w:lang w:eastAsia="ja-JP"/>
        </w:rPr>
        <w:t>while</w:t>
      </w:r>
      <w:r w:rsidRPr="000343EC">
        <w:rPr>
          <w:rFonts w:eastAsiaTheme="minorEastAsia"/>
          <w:sz w:val="24"/>
          <w:szCs w:val="24"/>
          <w:lang w:eastAsia="ja-JP"/>
        </w:rPr>
        <w:t xml:space="preserve"> explants</w:t>
      </w:r>
      <w:r>
        <w:rPr>
          <w:rFonts w:eastAsiaTheme="minorEastAsia"/>
          <w:sz w:val="24"/>
          <w:szCs w:val="24"/>
          <w:lang w:eastAsia="ja-JP"/>
        </w:rPr>
        <w:t xml:space="preserve"> 5 and 8</w:t>
      </w:r>
      <w:r w:rsidRPr="000343EC">
        <w:rPr>
          <w:rFonts w:eastAsiaTheme="minorEastAsia"/>
          <w:sz w:val="24"/>
          <w:szCs w:val="24"/>
          <w:lang w:eastAsia="ja-JP"/>
        </w:rPr>
        <w:t xml:space="preserve"> had a more even expression of GFP throughout the plant but not as bright fluorescence</w:t>
      </w:r>
      <w:r>
        <w:rPr>
          <w:rFonts w:eastAsiaTheme="minorEastAsia"/>
          <w:sz w:val="24"/>
          <w:szCs w:val="24"/>
          <w:lang w:eastAsia="ja-JP"/>
        </w:rPr>
        <w:t>. The other samples had little to no activity of GFP</w:t>
      </w:r>
      <w:r w:rsidR="00AA3190">
        <w:rPr>
          <w:rFonts w:eastAsiaTheme="minorEastAsia"/>
          <w:sz w:val="24"/>
          <w:szCs w:val="24"/>
          <w:lang w:eastAsia="ja-JP"/>
        </w:rPr>
        <w:t>. this was expected since the recombinant DNA was not completely refined for plant cells. A simpler and easier to replicate protocol was favored.</w:t>
      </w:r>
      <w:r w:rsidR="00EF6347">
        <w:rPr>
          <w:rFonts w:eastAsiaTheme="minorEastAsia"/>
          <w:sz w:val="24"/>
          <w:szCs w:val="24"/>
          <w:lang w:eastAsia="ja-JP"/>
        </w:rPr>
        <w:t xml:space="preserve"> </w:t>
      </w:r>
      <w:r w:rsidR="00AA3190">
        <w:rPr>
          <w:rFonts w:eastAsiaTheme="minorEastAsia"/>
          <w:sz w:val="24"/>
          <w:szCs w:val="24"/>
          <w:lang w:eastAsia="ja-JP"/>
        </w:rPr>
        <w:t>The presence of the fluorescent plants also confirms that the agrobacterium transformation protocol was effective.</w:t>
      </w:r>
    </w:p>
    <w:p w14:paraId="503B0E35" w14:textId="77777777" w:rsidR="00AA3190" w:rsidRDefault="00AA3190" w:rsidP="00B72780">
      <w:pPr>
        <w:suppressAutoHyphens/>
        <w:spacing w:after="0" w:line="240" w:lineRule="auto"/>
        <w:rPr>
          <w:rFonts w:eastAsiaTheme="minorEastAsia"/>
          <w:sz w:val="24"/>
          <w:szCs w:val="24"/>
          <w:lang w:eastAsia="ja-JP"/>
        </w:rPr>
      </w:pPr>
    </w:p>
    <w:p w14:paraId="46624463" w14:textId="22231417" w:rsidR="00AA3190" w:rsidRPr="00BD3341" w:rsidRDefault="00AA3190" w:rsidP="00B72780">
      <w:pPr>
        <w:suppressAutoHyphens/>
        <w:spacing w:after="0" w:line="240" w:lineRule="auto"/>
        <w:rPr>
          <w:rFonts w:eastAsiaTheme="minorEastAsia"/>
          <w:sz w:val="28"/>
          <w:szCs w:val="28"/>
          <w:lang w:eastAsia="ja-JP"/>
        </w:rPr>
      </w:pPr>
      <w:r w:rsidRPr="00BD3341">
        <w:rPr>
          <w:rFonts w:eastAsiaTheme="minorEastAsia"/>
          <w:sz w:val="28"/>
          <w:szCs w:val="28"/>
          <w:lang w:eastAsia="ja-JP"/>
        </w:rPr>
        <w:t xml:space="preserve">Recombinant DNA </w:t>
      </w:r>
      <w:r w:rsidR="00847DD0">
        <w:rPr>
          <w:rFonts w:eastAsiaTheme="minorEastAsia"/>
          <w:sz w:val="28"/>
          <w:szCs w:val="28"/>
          <w:lang w:eastAsia="ja-JP"/>
        </w:rPr>
        <w:t>D</w:t>
      </w:r>
      <w:r w:rsidRPr="00BD3341">
        <w:rPr>
          <w:rFonts w:eastAsiaTheme="minorEastAsia"/>
          <w:sz w:val="28"/>
          <w:szCs w:val="28"/>
          <w:lang w:eastAsia="ja-JP"/>
        </w:rPr>
        <w:t>esign</w:t>
      </w:r>
    </w:p>
    <w:p w14:paraId="1A7E93CC" w14:textId="68FA0FE3" w:rsidR="00AA3190" w:rsidRPr="00AA3190" w:rsidRDefault="00AA3190" w:rsidP="00B72780">
      <w:pPr>
        <w:suppressAutoHyphens/>
        <w:spacing w:after="0" w:line="240" w:lineRule="auto"/>
        <w:rPr>
          <w:rFonts w:eastAsiaTheme="minorEastAsia"/>
          <w:sz w:val="24"/>
          <w:szCs w:val="24"/>
          <w:lang w:eastAsia="ja-JP"/>
        </w:rPr>
      </w:pPr>
      <w:r>
        <w:rPr>
          <w:rFonts w:eastAsiaTheme="minorEastAsia"/>
          <w:sz w:val="24"/>
          <w:szCs w:val="24"/>
          <w:lang w:eastAsia="ja-JP"/>
        </w:rPr>
        <w:t xml:space="preserve">We were able to confirm that using </w:t>
      </w:r>
      <w:bookmarkStart w:id="10" w:name="_Hlk64379389"/>
      <w:r>
        <w:rPr>
          <w:rFonts w:eastAsiaTheme="minorEastAsia"/>
          <w:sz w:val="24"/>
          <w:szCs w:val="24"/>
          <w:lang w:eastAsia="ja-JP"/>
        </w:rPr>
        <w:t xml:space="preserve">pGLO-GFP and wildtype 35s </w:t>
      </w:r>
      <w:bookmarkEnd w:id="10"/>
      <w:r>
        <w:rPr>
          <w:rFonts w:eastAsiaTheme="minorEastAsia"/>
          <w:sz w:val="24"/>
          <w:szCs w:val="24"/>
          <w:lang w:eastAsia="ja-JP"/>
        </w:rPr>
        <w:t xml:space="preserve">promoter was sufficient to allow geranium plants to fluoresce </w:t>
      </w:r>
    </w:p>
    <w:p w14:paraId="40EEC9A9" w14:textId="77777777" w:rsidR="00AA3190" w:rsidRDefault="00AA3190" w:rsidP="00B72780">
      <w:pPr>
        <w:suppressAutoHyphens/>
        <w:spacing w:after="0" w:line="240" w:lineRule="auto"/>
        <w:rPr>
          <w:rFonts w:eastAsiaTheme="minorEastAsia"/>
          <w:b/>
          <w:bCs/>
          <w:sz w:val="24"/>
          <w:szCs w:val="24"/>
          <w:lang w:eastAsia="ja-JP"/>
        </w:rPr>
      </w:pPr>
    </w:p>
    <w:p w14:paraId="4E0B5792" w14:textId="6E15446C" w:rsidR="00AA3190" w:rsidRPr="00BD3341" w:rsidRDefault="00AA3190" w:rsidP="00B72780">
      <w:pPr>
        <w:suppressAutoHyphens/>
        <w:spacing w:after="0" w:line="240" w:lineRule="auto"/>
        <w:rPr>
          <w:rFonts w:eastAsiaTheme="minorEastAsia"/>
          <w:b/>
          <w:bCs/>
          <w:sz w:val="28"/>
          <w:szCs w:val="28"/>
          <w:lang w:eastAsia="ja-JP"/>
        </w:rPr>
      </w:pPr>
      <w:r w:rsidRPr="00BD3341">
        <w:rPr>
          <w:rFonts w:eastAsiaTheme="minorEastAsia"/>
          <w:b/>
          <w:bCs/>
          <w:sz w:val="28"/>
          <w:szCs w:val="28"/>
          <w:lang w:eastAsia="ja-JP"/>
        </w:rPr>
        <w:t>Conclusion</w:t>
      </w:r>
      <w:r w:rsidR="000343EC" w:rsidRPr="00BD3341">
        <w:rPr>
          <w:rFonts w:eastAsiaTheme="minorEastAsia"/>
          <w:b/>
          <w:bCs/>
          <w:sz w:val="28"/>
          <w:szCs w:val="28"/>
          <w:lang w:eastAsia="ja-JP"/>
        </w:rPr>
        <w:t xml:space="preserve"> </w:t>
      </w:r>
    </w:p>
    <w:p w14:paraId="2521DEBF" w14:textId="77777777" w:rsidR="00AA3190" w:rsidRDefault="00AA3190" w:rsidP="00B72780">
      <w:pPr>
        <w:suppressAutoHyphens/>
        <w:spacing w:after="0" w:line="240" w:lineRule="auto"/>
        <w:rPr>
          <w:rFonts w:eastAsiaTheme="minorEastAsia"/>
          <w:b/>
          <w:bCs/>
          <w:sz w:val="24"/>
          <w:szCs w:val="24"/>
          <w:lang w:eastAsia="ja-JP"/>
        </w:rPr>
      </w:pPr>
    </w:p>
    <w:p w14:paraId="05184936" w14:textId="77777777" w:rsidR="00A97B41" w:rsidRDefault="00AA3190" w:rsidP="00B72780">
      <w:pPr>
        <w:suppressAutoHyphens/>
        <w:spacing w:after="0" w:line="240" w:lineRule="auto"/>
        <w:rPr>
          <w:rFonts w:eastAsiaTheme="minorEastAsia"/>
          <w:b/>
          <w:bCs/>
          <w:sz w:val="24"/>
          <w:szCs w:val="24"/>
          <w:lang w:eastAsia="ja-JP"/>
        </w:rPr>
      </w:pPr>
      <w:r>
        <w:rPr>
          <w:rFonts w:eastAsiaTheme="minorEastAsia"/>
          <w:sz w:val="24"/>
          <w:szCs w:val="24"/>
          <w:lang w:eastAsia="ja-JP"/>
        </w:rPr>
        <w:t>The results were as expected given the limited resources available</w:t>
      </w:r>
      <w:r w:rsidR="00ED0FA0">
        <w:rPr>
          <w:rFonts w:eastAsiaTheme="minorEastAsia"/>
          <w:sz w:val="24"/>
          <w:szCs w:val="24"/>
          <w:lang w:eastAsia="ja-JP"/>
        </w:rPr>
        <w:t xml:space="preserve">. </w:t>
      </w:r>
      <w:r w:rsidR="00C91346">
        <w:rPr>
          <w:rFonts w:eastAsiaTheme="minorEastAsia"/>
          <w:sz w:val="24"/>
          <w:szCs w:val="24"/>
          <w:lang w:eastAsia="ja-JP"/>
        </w:rPr>
        <w:t xml:space="preserve">This indicates that geraniums are relatively flexible and can be transformed with less technical equipment or skills. </w:t>
      </w:r>
      <w:r w:rsidR="009627A1">
        <w:rPr>
          <w:rFonts w:eastAsiaTheme="minorEastAsia"/>
          <w:sz w:val="24"/>
          <w:szCs w:val="24"/>
          <w:lang w:eastAsia="ja-JP"/>
        </w:rPr>
        <w:t xml:space="preserve">There are multiple factors that could have interfered with the results. Using </w:t>
      </w:r>
      <w:r w:rsidR="009627A1" w:rsidRPr="009627A1">
        <w:rPr>
          <w:rFonts w:eastAsiaTheme="minorEastAsia"/>
          <w:sz w:val="24"/>
          <w:szCs w:val="24"/>
          <w:lang w:eastAsia="ja-JP"/>
        </w:rPr>
        <w:t xml:space="preserve">pGLO-GFP and wildtype 35s </w:t>
      </w:r>
      <w:r w:rsidR="009627A1">
        <w:rPr>
          <w:rFonts w:eastAsiaTheme="minorEastAsia"/>
          <w:sz w:val="24"/>
          <w:szCs w:val="24"/>
          <w:lang w:eastAsia="ja-JP"/>
        </w:rPr>
        <w:t>promoter most likely limited the levels of GFP expression</w:t>
      </w:r>
      <w:r w:rsidR="00316FBA">
        <w:rPr>
          <w:rFonts w:eastAsiaTheme="minorEastAsia"/>
          <w:sz w:val="24"/>
          <w:szCs w:val="24"/>
          <w:lang w:eastAsia="ja-JP"/>
        </w:rPr>
        <w:t>.</w:t>
      </w:r>
      <w:r w:rsidR="00A97B41">
        <w:rPr>
          <w:rFonts w:eastAsiaTheme="minorEastAsia"/>
          <w:sz w:val="24"/>
          <w:szCs w:val="24"/>
          <w:lang w:eastAsia="ja-JP"/>
        </w:rPr>
        <w:t xml:space="preserve"> Using </w:t>
      </w:r>
      <w:r w:rsidR="00A97B41" w:rsidRPr="00EE343E">
        <w:rPr>
          <w:rFonts w:eastAsiaTheme="minorEastAsia"/>
          <w:sz w:val="24"/>
          <w:szCs w:val="24"/>
          <w:lang w:eastAsia="ja-JP"/>
        </w:rPr>
        <w:t>pMG.d2.r</w:t>
      </w:r>
      <w:r w:rsidR="00A97B41">
        <w:rPr>
          <w:rFonts w:eastAsiaTheme="minorEastAsia"/>
          <w:sz w:val="24"/>
          <w:szCs w:val="24"/>
          <w:lang w:eastAsia="ja-JP"/>
        </w:rPr>
        <w:t xml:space="preserve">-GFP and an enhanced variant of 35s promoter might result in brighter and more consistent GFP expression.  </w:t>
      </w:r>
      <w:r w:rsidR="00A97B41" w:rsidRPr="00AA3190">
        <w:rPr>
          <w:rFonts w:eastAsiaTheme="minorEastAsia"/>
          <w:b/>
          <w:bCs/>
          <w:sz w:val="24"/>
          <w:szCs w:val="24"/>
          <w:lang w:eastAsia="ja-JP"/>
        </w:rPr>
        <w:t xml:space="preserve"> </w:t>
      </w:r>
      <w:r w:rsidR="00A97B41">
        <w:rPr>
          <w:rFonts w:eastAsiaTheme="minorEastAsia"/>
          <w:b/>
          <w:bCs/>
          <w:sz w:val="24"/>
          <w:szCs w:val="24"/>
          <w:lang w:eastAsia="ja-JP"/>
        </w:rPr>
        <w:t xml:space="preserve"> </w:t>
      </w:r>
    </w:p>
    <w:p w14:paraId="30725622" w14:textId="77777777" w:rsidR="00A97B41" w:rsidRDefault="00A97B41" w:rsidP="00B72780">
      <w:pPr>
        <w:suppressAutoHyphens/>
        <w:spacing w:after="0" w:line="240" w:lineRule="auto"/>
        <w:rPr>
          <w:rFonts w:eastAsiaTheme="minorEastAsia"/>
          <w:sz w:val="24"/>
          <w:szCs w:val="24"/>
          <w:lang w:eastAsia="ja-JP"/>
        </w:rPr>
      </w:pPr>
    </w:p>
    <w:p w14:paraId="3D062FB4" w14:textId="5A88F380" w:rsidR="00A97B41" w:rsidRDefault="00A97B41" w:rsidP="00B72780">
      <w:pPr>
        <w:suppressAutoHyphens/>
        <w:spacing w:after="0" w:line="240" w:lineRule="auto"/>
        <w:rPr>
          <w:rFonts w:eastAsiaTheme="minorEastAsia"/>
          <w:sz w:val="24"/>
          <w:szCs w:val="24"/>
          <w:lang w:eastAsia="ja-JP"/>
        </w:rPr>
      </w:pPr>
      <w:r w:rsidRPr="00A97B41">
        <w:rPr>
          <w:rFonts w:eastAsiaTheme="minorEastAsia"/>
          <w:sz w:val="24"/>
          <w:szCs w:val="24"/>
          <w:lang w:eastAsia="ja-JP"/>
        </w:rPr>
        <w:t>The pBI101 vector already contains a different kind of reporter gene called the GUS reporter.</w:t>
      </w:r>
      <w:r w:rsidR="003A1805" w:rsidRPr="003A1805">
        <w:rPr>
          <w:rFonts w:eastAsiaTheme="minorEastAsia"/>
          <w:sz w:val="24"/>
          <w:szCs w:val="24"/>
          <w:lang w:eastAsia="ja-JP"/>
        </w:rPr>
        <w:t xml:space="preserve"> </w:t>
      </w:r>
      <w:r w:rsidR="003A1805">
        <w:rPr>
          <w:rFonts w:eastAsiaTheme="minorEastAsia"/>
          <w:sz w:val="24"/>
          <w:szCs w:val="24"/>
          <w:lang w:eastAsia="ja-JP"/>
        </w:rPr>
        <w:t>I</w:t>
      </w:r>
      <w:r w:rsidR="003A1805" w:rsidRPr="00A97B41">
        <w:rPr>
          <w:rFonts w:eastAsiaTheme="minorEastAsia"/>
          <w:sz w:val="24"/>
          <w:szCs w:val="24"/>
          <w:lang w:eastAsia="ja-JP"/>
        </w:rPr>
        <w:t>t</w:t>
      </w:r>
      <w:r w:rsidR="003A1805">
        <w:rPr>
          <w:rFonts w:eastAsiaTheme="minorEastAsia"/>
          <w:sz w:val="24"/>
          <w:szCs w:val="24"/>
          <w:lang w:eastAsia="ja-JP"/>
        </w:rPr>
        <w:t xml:space="preserve"> i</w:t>
      </w:r>
      <w:r w:rsidR="003A1805" w:rsidRPr="00A97B41">
        <w:rPr>
          <w:rFonts w:eastAsiaTheme="minorEastAsia"/>
          <w:sz w:val="24"/>
          <w:szCs w:val="24"/>
          <w:lang w:eastAsia="ja-JP"/>
        </w:rPr>
        <w:t>s unnecessary and makes the vector larger than needed</w:t>
      </w:r>
      <w:r w:rsidR="003A1805">
        <w:rPr>
          <w:rFonts w:eastAsiaTheme="minorEastAsia"/>
          <w:sz w:val="24"/>
          <w:szCs w:val="24"/>
          <w:lang w:eastAsia="ja-JP"/>
        </w:rPr>
        <w:t>.</w:t>
      </w:r>
      <w:r w:rsidRPr="00A97B41">
        <w:rPr>
          <w:rFonts w:eastAsiaTheme="minorEastAsia"/>
          <w:sz w:val="24"/>
          <w:szCs w:val="24"/>
          <w:lang w:eastAsia="ja-JP"/>
        </w:rPr>
        <w:t xml:space="preserve"> </w:t>
      </w:r>
      <w:r>
        <w:rPr>
          <w:rFonts w:eastAsiaTheme="minorEastAsia"/>
          <w:sz w:val="24"/>
          <w:szCs w:val="24"/>
          <w:lang w:eastAsia="ja-JP"/>
        </w:rPr>
        <w:t xml:space="preserve">In this experiment </w:t>
      </w:r>
      <w:r w:rsidR="003A1805">
        <w:rPr>
          <w:rFonts w:eastAsiaTheme="minorEastAsia"/>
          <w:sz w:val="24"/>
          <w:szCs w:val="24"/>
          <w:lang w:eastAsia="ja-JP"/>
        </w:rPr>
        <w:t>the GUS reporter gene was untampered with</w:t>
      </w:r>
      <w:r w:rsidR="009E0351">
        <w:rPr>
          <w:rFonts w:eastAsiaTheme="minorEastAsia"/>
          <w:sz w:val="24"/>
          <w:szCs w:val="24"/>
          <w:lang w:eastAsia="ja-JP"/>
        </w:rPr>
        <w:t>;</w:t>
      </w:r>
      <w:r w:rsidR="003A1805">
        <w:rPr>
          <w:rFonts w:eastAsiaTheme="minorEastAsia"/>
          <w:sz w:val="24"/>
          <w:szCs w:val="24"/>
          <w:lang w:eastAsia="ja-JP"/>
        </w:rPr>
        <w:t xml:space="preserve"> however if t</w:t>
      </w:r>
      <w:r w:rsidRPr="00A97B41">
        <w:rPr>
          <w:rFonts w:eastAsiaTheme="minorEastAsia"/>
          <w:sz w:val="24"/>
          <w:szCs w:val="24"/>
          <w:lang w:eastAsia="ja-JP"/>
        </w:rPr>
        <w:t>he reporter gene</w:t>
      </w:r>
      <w:r w:rsidR="003A1805">
        <w:rPr>
          <w:rFonts w:eastAsiaTheme="minorEastAsia"/>
          <w:sz w:val="24"/>
          <w:szCs w:val="24"/>
          <w:lang w:eastAsia="ja-JP"/>
        </w:rPr>
        <w:t xml:space="preserve"> was</w:t>
      </w:r>
      <w:r w:rsidRPr="00A97B41">
        <w:rPr>
          <w:rFonts w:eastAsiaTheme="minorEastAsia"/>
          <w:sz w:val="24"/>
          <w:szCs w:val="24"/>
          <w:lang w:eastAsia="ja-JP"/>
        </w:rPr>
        <w:t xml:space="preserve"> removed</w:t>
      </w:r>
      <w:r w:rsidR="003A1805">
        <w:rPr>
          <w:rFonts w:eastAsiaTheme="minorEastAsia"/>
          <w:sz w:val="24"/>
          <w:szCs w:val="24"/>
          <w:lang w:eastAsia="ja-JP"/>
        </w:rPr>
        <w:t>, GFP could have</w:t>
      </w:r>
      <w:r w:rsidR="00925694">
        <w:rPr>
          <w:rFonts w:eastAsiaTheme="minorEastAsia"/>
          <w:sz w:val="24"/>
          <w:szCs w:val="24"/>
          <w:lang w:eastAsia="ja-JP"/>
        </w:rPr>
        <w:t xml:space="preserve"> had</w:t>
      </w:r>
      <w:r w:rsidR="003A1805">
        <w:rPr>
          <w:rFonts w:eastAsiaTheme="minorEastAsia"/>
          <w:sz w:val="24"/>
          <w:szCs w:val="24"/>
          <w:lang w:eastAsia="ja-JP"/>
        </w:rPr>
        <w:t xml:space="preserve"> higher</w:t>
      </w:r>
      <w:r w:rsidR="00925694">
        <w:rPr>
          <w:rFonts w:eastAsiaTheme="minorEastAsia"/>
          <w:sz w:val="24"/>
          <w:szCs w:val="24"/>
          <w:lang w:eastAsia="ja-JP"/>
        </w:rPr>
        <w:t xml:space="preserve"> levels of expression.</w:t>
      </w:r>
      <w:r w:rsidR="009E0351">
        <w:rPr>
          <w:rFonts w:eastAsiaTheme="minorEastAsia"/>
          <w:sz w:val="24"/>
          <w:szCs w:val="24"/>
          <w:lang w:eastAsia="ja-JP"/>
        </w:rPr>
        <w:t xml:space="preserve"> </w:t>
      </w:r>
      <w:r w:rsidR="003A1805">
        <w:rPr>
          <w:rFonts w:eastAsiaTheme="minorEastAsia"/>
          <w:sz w:val="24"/>
          <w:szCs w:val="24"/>
          <w:lang w:eastAsia="ja-JP"/>
        </w:rPr>
        <w:t>The different levels of GFP expression that w</w:t>
      </w:r>
      <w:r w:rsidR="009E0351">
        <w:rPr>
          <w:rFonts w:eastAsiaTheme="minorEastAsia"/>
          <w:sz w:val="24"/>
          <w:szCs w:val="24"/>
          <w:lang w:eastAsia="ja-JP"/>
        </w:rPr>
        <w:t>ere</w:t>
      </w:r>
      <w:r w:rsidR="003A1805">
        <w:rPr>
          <w:rFonts w:eastAsiaTheme="minorEastAsia"/>
          <w:sz w:val="24"/>
          <w:szCs w:val="24"/>
          <w:lang w:eastAsia="ja-JP"/>
        </w:rPr>
        <w:t xml:space="preserve"> exhibited </w:t>
      </w:r>
      <w:r w:rsidR="009E0351">
        <w:rPr>
          <w:rFonts w:eastAsiaTheme="minorEastAsia"/>
          <w:sz w:val="24"/>
          <w:szCs w:val="24"/>
          <w:lang w:eastAsia="ja-JP"/>
        </w:rPr>
        <w:t>could</w:t>
      </w:r>
      <w:r w:rsidR="003A1805">
        <w:rPr>
          <w:rFonts w:eastAsiaTheme="minorEastAsia"/>
          <w:sz w:val="24"/>
          <w:szCs w:val="24"/>
          <w:lang w:eastAsia="ja-JP"/>
        </w:rPr>
        <w:t xml:space="preserve"> be due to agrobacterium integrating the T-DNA in random regions of the plant.</w:t>
      </w:r>
    </w:p>
    <w:p w14:paraId="52F25F73" w14:textId="37449279" w:rsidR="00D73D88" w:rsidRDefault="00D73D88" w:rsidP="00B72780">
      <w:pPr>
        <w:suppressAutoHyphens/>
        <w:spacing w:after="0" w:line="240" w:lineRule="auto"/>
        <w:rPr>
          <w:rFonts w:eastAsiaTheme="minorEastAsia"/>
          <w:sz w:val="24"/>
          <w:szCs w:val="24"/>
          <w:lang w:eastAsia="ja-JP"/>
        </w:rPr>
      </w:pPr>
    </w:p>
    <w:p w14:paraId="5CB401AC" w14:textId="1B36E4E0" w:rsidR="00D73D88" w:rsidRDefault="0056554E" w:rsidP="00B72780">
      <w:pPr>
        <w:suppressAutoHyphens/>
        <w:spacing w:after="0" w:line="240" w:lineRule="auto"/>
        <w:rPr>
          <w:rFonts w:eastAsiaTheme="minorEastAsia"/>
          <w:sz w:val="24"/>
          <w:szCs w:val="24"/>
          <w:lang w:eastAsia="ja-JP"/>
        </w:rPr>
      </w:pPr>
      <w:r>
        <w:rPr>
          <w:rFonts w:eastAsiaTheme="minorEastAsia"/>
          <w:sz w:val="24"/>
          <w:szCs w:val="24"/>
          <w:lang w:eastAsia="ja-JP"/>
        </w:rPr>
        <w:t xml:space="preserve">This research gave us a better understanding of geraniums’ </w:t>
      </w:r>
      <w:r w:rsidRPr="0056554E">
        <w:rPr>
          <w:rFonts w:eastAsiaTheme="minorEastAsia"/>
          <w:sz w:val="24"/>
          <w:szCs w:val="24"/>
          <w:lang w:eastAsia="ja-JP"/>
        </w:rPr>
        <w:t>internal mechanisms and gene expression</w:t>
      </w:r>
      <w:r w:rsidR="003B6BC7">
        <w:rPr>
          <w:rFonts w:eastAsiaTheme="minorEastAsia"/>
          <w:sz w:val="24"/>
          <w:szCs w:val="24"/>
          <w:lang w:eastAsia="ja-JP"/>
        </w:rPr>
        <w:t xml:space="preserve">. It was implied that geraniums are less strict about codon usage. They were able to express GFP from genes that did not have specific modifications for better expression in plants. These factors could suggest that geraniums are good model organisms for expressing genes of interest. </w:t>
      </w:r>
      <w:r w:rsidR="00807E49">
        <w:rPr>
          <w:rFonts w:eastAsiaTheme="minorEastAsia"/>
          <w:sz w:val="24"/>
          <w:szCs w:val="24"/>
          <w:lang w:eastAsia="ja-JP"/>
        </w:rPr>
        <w:t>Further research to improve GFP expression in geraniums could allow for the use of fluorescent geraniums as decorative plants in private or public spaces.</w:t>
      </w:r>
    </w:p>
    <w:p w14:paraId="12EDEC08" w14:textId="3B6D34EB" w:rsidR="001F0273" w:rsidRDefault="001F0273" w:rsidP="00B72780">
      <w:pPr>
        <w:suppressAutoHyphens/>
        <w:spacing w:after="0" w:line="240" w:lineRule="auto"/>
        <w:rPr>
          <w:rFonts w:eastAsiaTheme="minorEastAsia"/>
          <w:sz w:val="24"/>
          <w:szCs w:val="24"/>
          <w:lang w:eastAsia="ja-JP"/>
        </w:rPr>
      </w:pPr>
    </w:p>
    <w:p w14:paraId="6793EF70" w14:textId="77777777" w:rsidR="001F0273" w:rsidRDefault="001F0273" w:rsidP="00B72780">
      <w:pPr>
        <w:suppressAutoHyphens/>
        <w:spacing w:after="0" w:line="240" w:lineRule="auto"/>
        <w:rPr>
          <w:rFonts w:eastAsiaTheme="minorEastAsia"/>
          <w:sz w:val="24"/>
          <w:szCs w:val="24"/>
          <w:lang w:eastAsia="ja-JP"/>
        </w:rPr>
      </w:pPr>
    </w:p>
    <w:p w14:paraId="7A5ED957" w14:textId="23C4E002" w:rsidR="00B72780" w:rsidRDefault="00B72780" w:rsidP="00B72780">
      <w:pPr>
        <w:suppressAutoHyphens/>
        <w:spacing w:after="0" w:line="240" w:lineRule="auto"/>
        <w:rPr>
          <w:rFonts w:eastAsiaTheme="minorEastAsia"/>
          <w:sz w:val="24"/>
          <w:szCs w:val="24"/>
          <w:lang w:eastAsia="ja-JP"/>
        </w:rPr>
      </w:pPr>
    </w:p>
    <w:p w14:paraId="52D27AE0" w14:textId="77777777" w:rsidR="00B72780" w:rsidRPr="00A97B41" w:rsidRDefault="00B72780" w:rsidP="00B72780">
      <w:pPr>
        <w:suppressAutoHyphens/>
        <w:spacing w:after="0" w:line="240" w:lineRule="auto"/>
        <w:rPr>
          <w:rFonts w:eastAsiaTheme="minorEastAsia"/>
          <w:sz w:val="24"/>
          <w:szCs w:val="24"/>
          <w:lang w:eastAsia="ja-JP"/>
        </w:rPr>
      </w:pPr>
    </w:p>
    <w:p w14:paraId="2C95D7FB" w14:textId="47DA9CD5" w:rsidR="001213F0" w:rsidRPr="00AA3190" w:rsidRDefault="001213F0" w:rsidP="00B72780">
      <w:pPr>
        <w:suppressAutoHyphens/>
        <w:spacing w:after="0" w:line="240" w:lineRule="auto"/>
        <w:rPr>
          <w:rFonts w:eastAsiaTheme="minorEastAsia"/>
          <w:b/>
          <w:bCs/>
          <w:sz w:val="24"/>
          <w:szCs w:val="24"/>
          <w:lang w:eastAsia="ja-JP"/>
        </w:rPr>
      </w:pPr>
      <w:r w:rsidRPr="00AA3190">
        <w:rPr>
          <w:rFonts w:eastAsiaTheme="minorEastAsia"/>
          <w:b/>
          <w:bCs/>
          <w:sz w:val="24"/>
          <w:szCs w:val="24"/>
          <w:lang w:eastAsia="ja-JP"/>
        </w:rPr>
        <w:br w:type="page"/>
      </w:r>
    </w:p>
    <w:p w14:paraId="6B26A9CB" w14:textId="77777777" w:rsidR="00CE1ECB" w:rsidRPr="00BD3341" w:rsidRDefault="00CE1ECB" w:rsidP="00B72780">
      <w:pPr>
        <w:suppressAutoHyphens/>
        <w:spacing w:after="0" w:line="240" w:lineRule="auto"/>
        <w:ind w:left="360"/>
        <w:rPr>
          <w:rFonts w:eastAsiaTheme="minorEastAsia"/>
          <w:b/>
          <w:bCs/>
          <w:sz w:val="28"/>
          <w:szCs w:val="28"/>
          <w:lang w:eastAsia="ja-JP"/>
        </w:rPr>
      </w:pPr>
      <w:r w:rsidRPr="00BD3341">
        <w:rPr>
          <w:rFonts w:eastAsiaTheme="minorEastAsia"/>
          <w:b/>
          <w:bCs/>
          <w:sz w:val="28"/>
          <w:szCs w:val="28"/>
          <w:lang w:eastAsia="ja-JP"/>
        </w:rPr>
        <w:lastRenderedPageBreak/>
        <w:t xml:space="preserve">References </w:t>
      </w:r>
    </w:p>
    <w:p w14:paraId="454CB227" w14:textId="77777777" w:rsidR="00CE1ECB" w:rsidRPr="00CE1ECB" w:rsidRDefault="00CE1ECB" w:rsidP="00B72780">
      <w:pPr>
        <w:suppressAutoHyphens/>
        <w:spacing w:after="0" w:line="240" w:lineRule="auto"/>
        <w:ind w:left="360"/>
        <w:rPr>
          <w:rFonts w:eastAsiaTheme="minorEastAsia"/>
          <w:sz w:val="24"/>
          <w:szCs w:val="24"/>
          <w:lang w:eastAsia="ja-JP"/>
        </w:rPr>
      </w:pPr>
    </w:p>
    <w:p w14:paraId="2A5B611B"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Chin, D. P., Shiratori, I., Shimizu, A., Kato, K., Mii, M., &amp; Waga, I. (2018, November 8). </w:t>
      </w:r>
      <w:r w:rsidRPr="00CE1ECB">
        <w:rPr>
          <w:rFonts w:eastAsiaTheme="minorEastAsia"/>
          <w:i/>
          <w:iCs/>
          <w:sz w:val="24"/>
          <w:szCs w:val="24"/>
          <w:lang w:eastAsia="ja-JP"/>
        </w:rPr>
        <w:t>Generation of brilliant green fluorescent petunia plants by using a new and potent fluorescent protein transgene</w:t>
      </w:r>
      <w:r w:rsidRPr="00CE1ECB">
        <w:rPr>
          <w:rFonts w:eastAsiaTheme="minorEastAsia"/>
          <w:sz w:val="24"/>
          <w:szCs w:val="24"/>
          <w:lang w:eastAsia="ja-JP"/>
        </w:rPr>
        <w:t>. Scientific Reports. https://www.nature.com/articles/s41598-018-34837-2?error=cookies_not_supported&amp;code=3813ccf0-62d8-4640-b796-530d2b26e759</w:t>
      </w:r>
    </w:p>
    <w:p w14:paraId="0EA9019C" w14:textId="77777777" w:rsidR="00CE1ECB" w:rsidRPr="00CE1ECB" w:rsidRDefault="00CE1ECB" w:rsidP="00B72780">
      <w:pPr>
        <w:suppressAutoHyphens/>
        <w:spacing w:after="0" w:line="240" w:lineRule="auto"/>
        <w:ind w:left="720"/>
        <w:contextualSpacing/>
        <w:rPr>
          <w:rFonts w:eastAsiaTheme="minorEastAsia"/>
          <w:sz w:val="24"/>
          <w:szCs w:val="24"/>
          <w:lang w:eastAsia="ja-JP"/>
        </w:rPr>
      </w:pPr>
    </w:p>
    <w:p w14:paraId="04AF6503"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Winkelmann, T., Kaviani, K., &amp; Serek, M. (2005). Development of a shoot regeneration protocol for genetic transformation in Pelargonium zonale and Pelargonium peltatum hybrids. </w:t>
      </w:r>
      <w:r w:rsidRPr="00CE1ECB">
        <w:rPr>
          <w:rFonts w:eastAsiaTheme="minorEastAsia"/>
          <w:i/>
          <w:iCs/>
          <w:sz w:val="24"/>
          <w:szCs w:val="24"/>
          <w:lang w:eastAsia="ja-JP"/>
        </w:rPr>
        <w:t>Plant Cell, Tissue and Organ Culture</w:t>
      </w:r>
      <w:r w:rsidRPr="00CE1ECB">
        <w:rPr>
          <w:rFonts w:eastAsiaTheme="minorEastAsia"/>
          <w:sz w:val="24"/>
          <w:szCs w:val="24"/>
          <w:lang w:eastAsia="ja-JP"/>
        </w:rPr>
        <w:t xml:space="preserve">, </w:t>
      </w:r>
      <w:r w:rsidRPr="00CE1ECB">
        <w:rPr>
          <w:rFonts w:eastAsiaTheme="minorEastAsia"/>
          <w:i/>
          <w:iCs/>
          <w:sz w:val="24"/>
          <w:szCs w:val="24"/>
          <w:lang w:eastAsia="ja-JP"/>
        </w:rPr>
        <w:t>80</w:t>
      </w:r>
      <w:r w:rsidRPr="00CE1ECB">
        <w:rPr>
          <w:rFonts w:eastAsiaTheme="minorEastAsia"/>
          <w:sz w:val="24"/>
          <w:szCs w:val="24"/>
          <w:lang w:eastAsia="ja-JP"/>
        </w:rPr>
        <w:t>(1), 33–42. https://doi.org/10.1007/s11240-004-5788-5</w:t>
      </w:r>
    </w:p>
    <w:p w14:paraId="57C2E56D" w14:textId="77777777" w:rsidR="00CE1ECB" w:rsidRPr="00CE1ECB" w:rsidRDefault="00CE1ECB" w:rsidP="00B72780">
      <w:pPr>
        <w:suppressAutoHyphens/>
        <w:spacing w:after="0" w:line="240" w:lineRule="auto"/>
        <w:ind w:left="720" w:firstLine="720"/>
        <w:contextualSpacing/>
        <w:rPr>
          <w:rFonts w:eastAsiaTheme="minorEastAsia"/>
          <w:sz w:val="24"/>
          <w:szCs w:val="24"/>
          <w:lang w:eastAsia="ja-JP"/>
        </w:rPr>
      </w:pPr>
    </w:p>
    <w:p w14:paraId="6AE86F6C"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Gressel, J. (2004). Methods of Risk Assessment of Transgenic Plants. IV. Biodiversity and Biotechnology. </w:t>
      </w:r>
      <w:r w:rsidRPr="00CE1ECB">
        <w:rPr>
          <w:rFonts w:eastAsiaTheme="minorEastAsia"/>
          <w:i/>
          <w:iCs/>
          <w:sz w:val="24"/>
          <w:szCs w:val="24"/>
          <w:lang w:eastAsia="ja-JP"/>
        </w:rPr>
        <w:t>Plant Science</w:t>
      </w:r>
      <w:r w:rsidRPr="00CE1ECB">
        <w:rPr>
          <w:rFonts w:eastAsiaTheme="minorEastAsia"/>
          <w:sz w:val="24"/>
          <w:szCs w:val="24"/>
          <w:lang w:eastAsia="ja-JP"/>
        </w:rPr>
        <w:t xml:space="preserve">, </w:t>
      </w:r>
      <w:r w:rsidRPr="00CE1ECB">
        <w:rPr>
          <w:rFonts w:eastAsiaTheme="minorEastAsia"/>
          <w:i/>
          <w:iCs/>
          <w:sz w:val="24"/>
          <w:szCs w:val="24"/>
          <w:lang w:eastAsia="ja-JP"/>
        </w:rPr>
        <w:t>166</w:t>
      </w:r>
      <w:r w:rsidRPr="00CE1ECB">
        <w:rPr>
          <w:rFonts w:eastAsiaTheme="minorEastAsia"/>
          <w:sz w:val="24"/>
          <w:szCs w:val="24"/>
          <w:lang w:eastAsia="ja-JP"/>
        </w:rPr>
        <w:t>(4), 1113–1115. https://doi.org/10.1016/j.plantsci.2003.12.008</w:t>
      </w:r>
    </w:p>
    <w:p w14:paraId="7207607E" w14:textId="77777777" w:rsidR="00CE1ECB" w:rsidRPr="00CE1ECB" w:rsidRDefault="00CE1ECB" w:rsidP="00B72780">
      <w:pPr>
        <w:suppressAutoHyphens/>
        <w:spacing w:after="0" w:line="240" w:lineRule="auto"/>
        <w:ind w:left="720" w:firstLine="720"/>
        <w:contextualSpacing/>
        <w:rPr>
          <w:rFonts w:eastAsiaTheme="minorEastAsia"/>
          <w:sz w:val="24"/>
          <w:szCs w:val="24"/>
          <w:lang w:eastAsia="ja-JP"/>
        </w:rPr>
      </w:pPr>
    </w:p>
    <w:p w14:paraId="200DAF19"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Hull, R., Covey, S. N., &amp; Dale, P. (2000). Genetically modified plants and the 35S promoter: assessing the risks and enhancing the debate. </w:t>
      </w:r>
      <w:r w:rsidRPr="00CE1ECB">
        <w:rPr>
          <w:rFonts w:eastAsiaTheme="minorEastAsia"/>
          <w:i/>
          <w:iCs/>
          <w:sz w:val="24"/>
          <w:szCs w:val="24"/>
          <w:lang w:eastAsia="ja-JP"/>
        </w:rPr>
        <w:t>Microbial Ecology in Health &amp; Disease</w:t>
      </w:r>
      <w:r w:rsidRPr="00CE1ECB">
        <w:rPr>
          <w:rFonts w:eastAsiaTheme="minorEastAsia"/>
          <w:sz w:val="24"/>
          <w:szCs w:val="24"/>
          <w:lang w:eastAsia="ja-JP"/>
        </w:rPr>
        <w:t xml:space="preserve">, </w:t>
      </w:r>
      <w:r w:rsidRPr="00CE1ECB">
        <w:rPr>
          <w:rFonts w:eastAsiaTheme="minorEastAsia"/>
          <w:i/>
          <w:iCs/>
          <w:sz w:val="24"/>
          <w:szCs w:val="24"/>
          <w:lang w:eastAsia="ja-JP"/>
        </w:rPr>
        <w:t>12</w:t>
      </w:r>
      <w:r w:rsidRPr="00CE1ECB">
        <w:rPr>
          <w:rFonts w:eastAsiaTheme="minorEastAsia"/>
          <w:sz w:val="24"/>
          <w:szCs w:val="24"/>
          <w:lang w:eastAsia="ja-JP"/>
        </w:rPr>
        <w:t>(1), 1. https://doi.org/10.3402/mehd.v12i1.8034</w:t>
      </w:r>
    </w:p>
    <w:p w14:paraId="48030628" w14:textId="77777777" w:rsidR="00CE1ECB" w:rsidRPr="00CE1ECB" w:rsidRDefault="00CE1ECB" w:rsidP="00B72780">
      <w:pPr>
        <w:suppressAutoHyphens/>
        <w:spacing w:after="0" w:line="240" w:lineRule="auto"/>
        <w:ind w:left="720" w:firstLine="720"/>
        <w:contextualSpacing/>
        <w:rPr>
          <w:rFonts w:eastAsiaTheme="minorEastAsia"/>
          <w:sz w:val="24"/>
          <w:szCs w:val="24"/>
          <w:lang w:eastAsia="ja-JP"/>
        </w:rPr>
      </w:pPr>
    </w:p>
    <w:p w14:paraId="37100F96"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val="en" w:eastAsia="ja-JP"/>
        </w:rPr>
      </w:pPr>
      <w:r w:rsidRPr="00CE1ECB">
        <w:rPr>
          <w:rFonts w:eastAsiaTheme="minorEastAsia"/>
          <w:sz w:val="24"/>
          <w:szCs w:val="24"/>
          <w:lang w:eastAsia="ja-JP"/>
        </w:rPr>
        <w:t>Tripathi, S., Suzuki, J., &amp; Gonsalves, D. (2007). Development of genetically engineered resistant papaya for papaya ringspot virus in a timely manner: a comprehensive and successful approach. </w:t>
      </w:r>
      <w:r w:rsidRPr="00CE1ECB">
        <w:rPr>
          <w:rFonts w:eastAsiaTheme="minorEastAsia"/>
          <w:i/>
          <w:iCs/>
          <w:sz w:val="24"/>
          <w:szCs w:val="24"/>
          <w:lang w:eastAsia="ja-JP"/>
        </w:rPr>
        <w:t>Methods in molecular biology (Clifton, N.J.)</w:t>
      </w:r>
      <w:r w:rsidRPr="00CE1ECB">
        <w:rPr>
          <w:rFonts w:eastAsiaTheme="minorEastAsia"/>
          <w:sz w:val="24"/>
          <w:szCs w:val="24"/>
          <w:lang w:eastAsia="ja-JP"/>
        </w:rPr>
        <w:t>, </w:t>
      </w:r>
      <w:r w:rsidRPr="00CE1ECB">
        <w:rPr>
          <w:rFonts w:eastAsiaTheme="minorEastAsia"/>
          <w:i/>
          <w:iCs/>
          <w:sz w:val="24"/>
          <w:szCs w:val="24"/>
          <w:lang w:eastAsia="ja-JP"/>
        </w:rPr>
        <w:t>354</w:t>
      </w:r>
      <w:r w:rsidRPr="00CE1ECB">
        <w:rPr>
          <w:rFonts w:eastAsiaTheme="minorEastAsia"/>
          <w:sz w:val="24"/>
          <w:szCs w:val="24"/>
          <w:lang w:eastAsia="ja-JP"/>
        </w:rPr>
        <w:t>, 197–240. https://doi.org/10.1385/1-59259-966-4:197</w:t>
      </w:r>
    </w:p>
    <w:p w14:paraId="7E32CC46" w14:textId="77777777" w:rsidR="00CE1ECB" w:rsidRPr="00CE1ECB" w:rsidRDefault="00CE1ECB" w:rsidP="00B72780">
      <w:pPr>
        <w:suppressAutoHyphens/>
        <w:spacing w:after="0" w:line="240" w:lineRule="auto"/>
        <w:ind w:left="720"/>
        <w:contextualSpacing/>
        <w:rPr>
          <w:rFonts w:eastAsiaTheme="minorEastAsia"/>
          <w:sz w:val="24"/>
          <w:szCs w:val="24"/>
          <w:lang w:val="en" w:eastAsia="ja-JP"/>
        </w:rPr>
      </w:pPr>
    </w:p>
    <w:p w14:paraId="7DD39103" w14:textId="77777777" w:rsidR="00CE1ECB" w:rsidRP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Guisinger, M. M., Kuehl, J. V., Boore, J. L., &amp; Jansen, R. K. (2010). Extreme Reconfiguration of Plastid Genomes in the Angiosperm Family Geraniaceae: Rearrangements, Repeats, and Codon Usage. </w:t>
      </w:r>
      <w:r w:rsidRPr="00CE1ECB">
        <w:rPr>
          <w:rFonts w:eastAsiaTheme="minorEastAsia"/>
          <w:i/>
          <w:iCs/>
          <w:sz w:val="24"/>
          <w:szCs w:val="24"/>
          <w:lang w:eastAsia="ja-JP"/>
        </w:rPr>
        <w:t>Molecular Biology and Evolution</w:t>
      </w:r>
      <w:r w:rsidRPr="00CE1ECB">
        <w:rPr>
          <w:rFonts w:eastAsiaTheme="minorEastAsia"/>
          <w:sz w:val="24"/>
          <w:szCs w:val="24"/>
          <w:lang w:eastAsia="ja-JP"/>
        </w:rPr>
        <w:t xml:space="preserve">, </w:t>
      </w:r>
      <w:r w:rsidRPr="00CE1ECB">
        <w:rPr>
          <w:rFonts w:eastAsiaTheme="minorEastAsia"/>
          <w:i/>
          <w:iCs/>
          <w:sz w:val="24"/>
          <w:szCs w:val="24"/>
          <w:lang w:eastAsia="ja-JP"/>
        </w:rPr>
        <w:t>28</w:t>
      </w:r>
      <w:r w:rsidRPr="00CE1ECB">
        <w:rPr>
          <w:rFonts w:eastAsiaTheme="minorEastAsia"/>
          <w:sz w:val="24"/>
          <w:szCs w:val="24"/>
          <w:lang w:eastAsia="ja-JP"/>
        </w:rPr>
        <w:t xml:space="preserve">(1), 583–600. </w:t>
      </w:r>
      <w:hyperlink r:id="rId10" w:history="1">
        <w:r w:rsidRPr="00CE1ECB">
          <w:rPr>
            <w:rFonts w:eastAsiaTheme="minorEastAsia"/>
            <w:color w:val="5F5F5F" w:themeColor="hyperlink"/>
            <w:sz w:val="24"/>
            <w:szCs w:val="24"/>
            <w:u w:val="single"/>
            <w:lang w:eastAsia="ja-JP"/>
          </w:rPr>
          <w:t>https://doi.org/10.1093/molbev/msq229</w:t>
        </w:r>
      </w:hyperlink>
    </w:p>
    <w:p w14:paraId="386F1C66" w14:textId="77777777" w:rsidR="00CE1ECB" w:rsidRPr="00CE1ECB" w:rsidRDefault="00CE1ECB" w:rsidP="00B72780">
      <w:pPr>
        <w:suppressAutoHyphens/>
        <w:spacing w:after="0" w:line="240" w:lineRule="auto"/>
        <w:ind w:left="720" w:firstLine="720"/>
        <w:contextualSpacing/>
        <w:rPr>
          <w:rFonts w:eastAsiaTheme="minorEastAsia"/>
          <w:sz w:val="24"/>
          <w:szCs w:val="24"/>
          <w:lang w:eastAsia="ja-JP"/>
        </w:rPr>
      </w:pPr>
    </w:p>
    <w:p w14:paraId="19A135B8" w14:textId="2B080464" w:rsidR="00CE1ECB" w:rsidRDefault="00CE1ECB" w:rsidP="00B72780">
      <w:pPr>
        <w:numPr>
          <w:ilvl w:val="0"/>
          <w:numId w:val="23"/>
        </w:numPr>
        <w:suppressAutoHyphens/>
        <w:spacing w:after="0" w:line="240" w:lineRule="auto"/>
        <w:contextualSpacing/>
        <w:rPr>
          <w:rFonts w:eastAsiaTheme="minorEastAsia"/>
          <w:sz w:val="24"/>
          <w:szCs w:val="24"/>
          <w:lang w:eastAsia="ja-JP"/>
        </w:rPr>
      </w:pPr>
      <w:r w:rsidRPr="00CE1ECB">
        <w:rPr>
          <w:rFonts w:eastAsiaTheme="minorEastAsia"/>
          <w:sz w:val="24"/>
          <w:szCs w:val="24"/>
          <w:lang w:eastAsia="ja-JP"/>
        </w:rPr>
        <w:t xml:space="preserve">DeBlasio, S. L., Sylvester, A. W., &amp; Jackson, D. (2010). Illuminating plant biology: using fluorescent proteins for high-throughput analysis of protein localization and function in plants. </w:t>
      </w:r>
      <w:r w:rsidRPr="00CE1ECB">
        <w:rPr>
          <w:rFonts w:eastAsiaTheme="minorEastAsia"/>
          <w:i/>
          <w:iCs/>
          <w:sz w:val="24"/>
          <w:szCs w:val="24"/>
          <w:lang w:eastAsia="ja-JP"/>
        </w:rPr>
        <w:t>Briefings in Functional Genomics</w:t>
      </w:r>
      <w:r w:rsidRPr="00CE1ECB">
        <w:rPr>
          <w:rFonts w:eastAsiaTheme="minorEastAsia"/>
          <w:sz w:val="24"/>
          <w:szCs w:val="24"/>
          <w:lang w:eastAsia="ja-JP"/>
        </w:rPr>
        <w:t xml:space="preserve">, </w:t>
      </w:r>
      <w:r w:rsidRPr="00CE1ECB">
        <w:rPr>
          <w:rFonts w:eastAsiaTheme="minorEastAsia"/>
          <w:i/>
          <w:iCs/>
          <w:sz w:val="24"/>
          <w:szCs w:val="24"/>
          <w:lang w:eastAsia="ja-JP"/>
        </w:rPr>
        <w:t>9</w:t>
      </w:r>
      <w:r w:rsidRPr="00CE1ECB">
        <w:rPr>
          <w:rFonts w:eastAsiaTheme="minorEastAsia"/>
          <w:sz w:val="24"/>
          <w:szCs w:val="24"/>
          <w:lang w:eastAsia="ja-JP"/>
        </w:rPr>
        <w:t xml:space="preserve">(2), 129–138. </w:t>
      </w:r>
      <w:hyperlink r:id="rId11" w:history="1">
        <w:r w:rsidR="00F47260" w:rsidRPr="00B2009C">
          <w:rPr>
            <w:rStyle w:val="Hyperlink"/>
            <w:rFonts w:eastAsiaTheme="minorEastAsia"/>
            <w:sz w:val="24"/>
            <w:szCs w:val="24"/>
            <w:lang w:eastAsia="ja-JP"/>
          </w:rPr>
          <w:t>https://doi.org/10.1093/bfgp/elp060</w:t>
        </w:r>
      </w:hyperlink>
    </w:p>
    <w:p w14:paraId="6D9D2C1E" w14:textId="77777777" w:rsidR="00F47260" w:rsidRDefault="00F47260" w:rsidP="00B72780">
      <w:pPr>
        <w:pStyle w:val="ListParagraph"/>
        <w:spacing w:line="240" w:lineRule="auto"/>
        <w:rPr>
          <w:rFonts w:eastAsiaTheme="minorEastAsia"/>
          <w:sz w:val="24"/>
          <w:szCs w:val="24"/>
          <w:lang w:eastAsia="ja-JP"/>
        </w:rPr>
      </w:pPr>
    </w:p>
    <w:p w14:paraId="51DB8200" w14:textId="01AC4B60" w:rsidR="00F47260" w:rsidRDefault="0056554E" w:rsidP="00B72780">
      <w:pPr>
        <w:numPr>
          <w:ilvl w:val="0"/>
          <w:numId w:val="23"/>
        </w:numPr>
        <w:suppressAutoHyphens/>
        <w:spacing w:after="0" w:line="240" w:lineRule="auto"/>
        <w:contextualSpacing/>
        <w:rPr>
          <w:rFonts w:eastAsiaTheme="minorEastAsia"/>
          <w:sz w:val="24"/>
          <w:szCs w:val="24"/>
          <w:lang w:eastAsia="ja-JP"/>
        </w:rPr>
      </w:pPr>
      <w:hyperlink r:id="rId12" w:history="1">
        <w:r w:rsidR="00F47260" w:rsidRPr="00B2009C">
          <w:rPr>
            <w:rStyle w:val="Hyperlink"/>
            <w:rFonts w:eastAsiaTheme="minorEastAsia"/>
            <w:sz w:val="24"/>
            <w:szCs w:val="24"/>
            <w:lang w:eastAsia="ja-JP"/>
          </w:rPr>
          <w:t>http://www.biology.wustl.edu/allenlab/DIRgfp/pMG.d2.r.ascii</w:t>
        </w:r>
      </w:hyperlink>
    </w:p>
    <w:p w14:paraId="49D45859" w14:textId="77777777" w:rsidR="00F47260" w:rsidRDefault="00F47260" w:rsidP="00B72780">
      <w:pPr>
        <w:pStyle w:val="ListParagraph"/>
        <w:spacing w:line="240" w:lineRule="auto"/>
        <w:rPr>
          <w:rFonts w:eastAsiaTheme="minorEastAsia"/>
          <w:sz w:val="24"/>
          <w:szCs w:val="24"/>
          <w:lang w:eastAsia="ja-JP"/>
        </w:rPr>
      </w:pPr>
    </w:p>
    <w:p w14:paraId="5920A1E1" w14:textId="77777777" w:rsidR="00F47260" w:rsidRPr="00F47260" w:rsidRDefault="00F47260" w:rsidP="00B72780">
      <w:pPr>
        <w:numPr>
          <w:ilvl w:val="0"/>
          <w:numId w:val="23"/>
        </w:numPr>
        <w:suppressAutoHyphens/>
        <w:spacing w:after="0" w:line="240" w:lineRule="auto"/>
        <w:contextualSpacing/>
        <w:rPr>
          <w:rFonts w:eastAsiaTheme="minorEastAsia"/>
          <w:sz w:val="24"/>
          <w:szCs w:val="24"/>
          <w:lang w:eastAsia="ja-JP"/>
        </w:rPr>
      </w:pPr>
      <w:r w:rsidRPr="00F47260">
        <w:rPr>
          <w:rFonts w:eastAsiaTheme="minorEastAsia"/>
          <w:sz w:val="24"/>
          <w:szCs w:val="24"/>
          <w:lang w:eastAsia="ja-JP"/>
        </w:rPr>
        <w:t>Custom DNA OLIGOS: Thermo FISHER scientific - US. (n.d.). Retrieved February 20, 2021, from https://www.thermofisher.com/us/en/home/life-science/oligonucleotides-primers-probes-genes/custom-dna-oligos.html</w:t>
      </w:r>
    </w:p>
    <w:p w14:paraId="4BE88BCF" w14:textId="77777777" w:rsidR="00F47260" w:rsidRPr="00CE1ECB" w:rsidRDefault="00F47260" w:rsidP="00B72780">
      <w:pPr>
        <w:suppressAutoHyphens/>
        <w:spacing w:after="0" w:line="240" w:lineRule="auto"/>
        <w:ind w:left="720"/>
        <w:contextualSpacing/>
        <w:rPr>
          <w:rFonts w:eastAsiaTheme="minorEastAsia"/>
          <w:sz w:val="24"/>
          <w:szCs w:val="24"/>
          <w:lang w:eastAsia="ja-JP"/>
        </w:rPr>
      </w:pPr>
    </w:p>
    <w:p w14:paraId="5896A451" w14:textId="77777777" w:rsidR="00CE1ECB" w:rsidRPr="00CE1ECB" w:rsidRDefault="00CE1ECB" w:rsidP="00B72780">
      <w:pPr>
        <w:suppressAutoHyphens/>
        <w:spacing w:after="0" w:line="240" w:lineRule="auto"/>
        <w:ind w:left="720"/>
        <w:contextualSpacing/>
        <w:rPr>
          <w:rFonts w:eastAsiaTheme="minorEastAsia"/>
          <w:sz w:val="28"/>
          <w:szCs w:val="28"/>
          <w:lang w:eastAsia="ja-JP"/>
        </w:rPr>
      </w:pPr>
    </w:p>
    <w:p w14:paraId="43250CC2" w14:textId="6500B122" w:rsidR="00894B71" w:rsidRPr="00894B71" w:rsidRDefault="00894B71" w:rsidP="00B72780">
      <w:pPr>
        <w:spacing w:line="240" w:lineRule="auto"/>
        <w:rPr>
          <w:sz w:val="24"/>
          <w:szCs w:val="24"/>
        </w:rPr>
      </w:pPr>
    </w:p>
    <w:sectPr w:rsidR="00894B71" w:rsidRPr="00894B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C20D1" w14:textId="77777777" w:rsidR="00CD4F67" w:rsidRDefault="00CD4F67">
      <w:pPr>
        <w:spacing w:line="240" w:lineRule="auto"/>
      </w:pPr>
      <w:r>
        <w:separator/>
      </w:r>
    </w:p>
  </w:endnote>
  <w:endnote w:type="continuationSeparator" w:id="0">
    <w:p w14:paraId="44D0FA2A" w14:textId="77777777" w:rsidR="00CD4F67" w:rsidRDefault="00CD4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8E85B" w14:textId="77777777" w:rsidR="00CD4F67" w:rsidRDefault="00CD4F67">
      <w:pPr>
        <w:spacing w:line="240" w:lineRule="auto"/>
      </w:pPr>
      <w:r>
        <w:separator/>
      </w:r>
    </w:p>
  </w:footnote>
  <w:footnote w:type="continuationSeparator" w:id="0">
    <w:p w14:paraId="51FE0D78" w14:textId="77777777" w:rsidR="00CD4F67" w:rsidRDefault="00CD4F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822105C"/>
    <w:multiLevelType w:val="hybridMultilevel"/>
    <w:tmpl w:val="6CCAF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39"/>
    <w:rsid w:val="000300D0"/>
    <w:rsid w:val="000343EC"/>
    <w:rsid w:val="00040CBB"/>
    <w:rsid w:val="00047CD2"/>
    <w:rsid w:val="000802E4"/>
    <w:rsid w:val="00085AA9"/>
    <w:rsid w:val="000B78C8"/>
    <w:rsid w:val="000C3E8C"/>
    <w:rsid w:val="000E145D"/>
    <w:rsid w:val="001213F0"/>
    <w:rsid w:val="001463B2"/>
    <w:rsid w:val="0016582F"/>
    <w:rsid w:val="00173DA0"/>
    <w:rsid w:val="00193740"/>
    <w:rsid w:val="001976D9"/>
    <w:rsid w:val="001A0848"/>
    <w:rsid w:val="001B2E87"/>
    <w:rsid w:val="001C1B11"/>
    <w:rsid w:val="001C2A1D"/>
    <w:rsid w:val="001E4765"/>
    <w:rsid w:val="001F0273"/>
    <w:rsid w:val="001F02D9"/>
    <w:rsid w:val="001F62C0"/>
    <w:rsid w:val="00204EC5"/>
    <w:rsid w:val="00245E02"/>
    <w:rsid w:val="002612BD"/>
    <w:rsid w:val="00280437"/>
    <w:rsid w:val="002D1B9E"/>
    <w:rsid w:val="00316FBA"/>
    <w:rsid w:val="00353B66"/>
    <w:rsid w:val="003A1805"/>
    <w:rsid w:val="003B6BC7"/>
    <w:rsid w:val="003D2EEC"/>
    <w:rsid w:val="00483C75"/>
    <w:rsid w:val="004A2675"/>
    <w:rsid w:val="004C580E"/>
    <w:rsid w:val="004C7589"/>
    <w:rsid w:val="004F336F"/>
    <w:rsid w:val="004F3618"/>
    <w:rsid w:val="004F7139"/>
    <w:rsid w:val="005024B2"/>
    <w:rsid w:val="0050744C"/>
    <w:rsid w:val="00536A92"/>
    <w:rsid w:val="0056554E"/>
    <w:rsid w:val="00575C03"/>
    <w:rsid w:val="005C65D0"/>
    <w:rsid w:val="00663439"/>
    <w:rsid w:val="00691EC1"/>
    <w:rsid w:val="00701047"/>
    <w:rsid w:val="00735CB6"/>
    <w:rsid w:val="00772023"/>
    <w:rsid w:val="0077572A"/>
    <w:rsid w:val="007B30DC"/>
    <w:rsid w:val="007C374F"/>
    <w:rsid w:val="007C53FB"/>
    <w:rsid w:val="00807E49"/>
    <w:rsid w:val="008327D0"/>
    <w:rsid w:val="00847DD0"/>
    <w:rsid w:val="00877EF6"/>
    <w:rsid w:val="00894B71"/>
    <w:rsid w:val="008A1D42"/>
    <w:rsid w:val="008B7D18"/>
    <w:rsid w:val="008F1F97"/>
    <w:rsid w:val="008F4052"/>
    <w:rsid w:val="00916C24"/>
    <w:rsid w:val="00925694"/>
    <w:rsid w:val="0095495B"/>
    <w:rsid w:val="009627A1"/>
    <w:rsid w:val="009A066B"/>
    <w:rsid w:val="009A79C0"/>
    <w:rsid w:val="009D4EB3"/>
    <w:rsid w:val="009E0351"/>
    <w:rsid w:val="00A012E3"/>
    <w:rsid w:val="00A6402F"/>
    <w:rsid w:val="00A92352"/>
    <w:rsid w:val="00A97B41"/>
    <w:rsid w:val="00AA3190"/>
    <w:rsid w:val="00AB09E7"/>
    <w:rsid w:val="00AC7401"/>
    <w:rsid w:val="00AE21A1"/>
    <w:rsid w:val="00AF7E5D"/>
    <w:rsid w:val="00B13D1B"/>
    <w:rsid w:val="00B30809"/>
    <w:rsid w:val="00B72780"/>
    <w:rsid w:val="00B818DF"/>
    <w:rsid w:val="00BD15C2"/>
    <w:rsid w:val="00BD3341"/>
    <w:rsid w:val="00BE4FE0"/>
    <w:rsid w:val="00C30309"/>
    <w:rsid w:val="00C91346"/>
    <w:rsid w:val="00CB5C7B"/>
    <w:rsid w:val="00CD4F67"/>
    <w:rsid w:val="00CE1164"/>
    <w:rsid w:val="00CE1ECB"/>
    <w:rsid w:val="00CE4DD7"/>
    <w:rsid w:val="00CF3DBD"/>
    <w:rsid w:val="00CF429F"/>
    <w:rsid w:val="00D14E45"/>
    <w:rsid w:val="00D441E5"/>
    <w:rsid w:val="00D50050"/>
    <w:rsid w:val="00D52117"/>
    <w:rsid w:val="00D73D88"/>
    <w:rsid w:val="00DA2287"/>
    <w:rsid w:val="00DB0D39"/>
    <w:rsid w:val="00E02810"/>
    <w:rsid w:val="00E14005"/>
    <w:rsid w:val="00E45C11"/>
    <w:rsid w:val="00E614DD"/>
    <w:rsid w:val="00E667A6"/>
    <w:rsid w:val="00E73E05"/>
    <w:rsid w:val="00E97F9D"/>
    <w:rsid w:val="00ED0FA0"/>
    <w:rsid w:val="00EE343E"/>
    <w:rsid w:val="00EF6347"/>
    <w:rsid w:val="00F11BCC"/>
    <w:rsid w:val="00F47260"/>
    <w:rsid w:val="00F51B81"/>
    <w:rsid w:val="00F73F8B"/>
    <w:rsid w:val="00F901A8"/>
    <w:rsid w:val="00F9444C"/>
    <w:rsid w:val="00FE3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39DC3"/>
  <w15:chartTrackingRefBased/>
  <w15:docId w15:val="{1B4F6C3C-79A0-44F4-9836-887E9A2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050"/>
    <w:pPr>
      <w:spacing w:after="160" w:line="259" w:lineRule="auto"/>
      <w:ind w:firstLine="0"/>
    </w:pPr>
    <w:rPr>
      <w:rFonts w:eastAsiaTheme="minorHAnsi"/>
      <w:sz w:val="22"/>
      <w:szCs w:val="22"/>
      <w:lang w:eastAsia="en-US"/>
    </w:rPr>
  </w:style>
  <w:style w:type="paragraph" w:styleId="Heading1">
    <w:name w:val="heading 1"/>
    <w:basedOn w:val="Normal"/>
    <w:next w:val="Normal"/>
    <w:link w:val="Heading1Char"/>
    <w:uiPriority w:val="9"/>
    <w:qFormat/>
    <w:rsid w:val="000B78C8"/>
    <w:pPr>
      <w:keepNext/>
      <w:keepLines/>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pPr>
    <w:rPr>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pPr>
    <w:rPr>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pPr>
    <w:rPr>
      <w:i/>
      <w:iCs/>
      <w:color w:val="000000" w:themeColor="text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pPr>
    <w:rPr>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pPr>
    <w:rPr>
      <w:rFonts w:asciiTheme="majorHAnsi" w:eastAsiaTheme="majorEastAsia" w:hAnsiTheme="majorHAnsi" w:cstheme="majorBidi"/>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1"/>
    <w:qFormat/>
    <w:rsid w:val="001463B2"/>
    <w:pPr>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table" w:styleId="GridTable6Colorful-Accent4">
    <w:name w:val="Grid Table 6 Colorful Accent 4"/>
    <w:basedOn w:val="TableNormal"/>
    <w:uiPriority w:val="51"/>
    <w:rsid w:val="00A6402F"/>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ListParagraph">
    <w:name w:val="List Paragraph"/>
    <w:basedOn w:val="Normal"/>
    <w:uiPriority w:val="34"/>
    <w:semiHidden/>
    <w:unhideWhenUsed/>
    <w:qFormat/>
    <w:rsid w:val="00F47260"/>
    <w:pPr>
      <w:ind w:left="720"/>
      <w:contextualSpacing/>
    </w:pPr>
  </w:style>
  <w:style w:type="character" w:styleId="Hyperlink">
    <w:name w:val="Hyperlink"/>
    <w:basedOn w:val="DefaultParagraphFont"/>
    <w:uiPriority w:val="99"/>
    <w:unhideWhenUsed/>
    <w:rsid w:val="00F47260"/>
    <w:rPr>
      <w:color w:val="5F5F5F" w:themeColor="hyperlink"/>
      <w:u w:val="single"/>
    </w:rPr>
  </w:style>
  <w:style w:type="character" w:styleId="UnresolvedMention">
    <w:name w:val="Unresolved Mention"/>
    <w:basedOn w:val="DefaultParagraphFont"/>
    <w:uiPriority w:val="99"/>
    <w:semiHidden/>
    <w:unhideWhenUsed/>
    <w:rsid w:val="00F47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6840542">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r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logy.wustl.edu/allenlab/DIRgfp/pMG.d2.r.asc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fgp/elp060" TargetMode="External"/><Relationship Id="rId5" Type="http://schemas.openxmlformats.org/officeDocument/2006/relationships/webSettings" Target="webSettings.xml"/><Relationship Id="rId10" Type="http://schemas.openxmlformats.org/officeDocument/2006/relationships/hyperlink" Target="https://doi.org/10.1093/molbev/msq22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k\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1220</TotalTime>
  <Pages>7</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dc:creator>
  <cp:keywords/>
  <dc:description/>
  <cp:lastModifiedBy>Mohammed Kamal Al-Kubati</cp:lastModifiedBy>
  <cp:revision>68</cp:revision>
  <dcterms:created xsi:type="dcterms:W3CDTF">2021-02-16T00:35:00Z</dcterms:created>
  <dcterms:modified xsi:type="dcterms:W3CDTF">2021-02-22T21:35:00Z</dcterms:modified>
  <cp:version/>
</cp:coreProperties>
</file>