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52"/>
        <w:jc w:val="center"/>
      </w:pPr>
      <w:r>
        <w:rPr>
          <w:b/>
          <w:color w:val="1E40AF"/>
          <w:sz w:val="80"/>
        </w:rPr>
        <w:t>M-IMS</w:t>
      </w:r>
    </w:p>
    <w:p>
      <w:pPr>
        <w:jc w:val="center"/>
      </w:pPr>
      <w:r>
        <w:rPr>
          <w:color w:val="1F2937"/>
          <w:sz w:val="36"/>
        </w:rPr>
        <w:t>Hospital Information Management System</w:t>
      </w:r>
    </w:p>
    <w:p>
      <w:pPr>
        <w:jc w:val="center"/>
      </w:pPr>
      <w:r>
        <w:rPr>
          <w:b/>
          <w:color w:val="3B82F6"/>
          <w:sz w:val="28"/>
        </w:rPr>
        <w:t>HIMS</w:t>
      </w:r>
    </w:p>
    <w:p/>
    <w:p>
      <w:pPr>
        <w:jc w:val="center"/>
      </w:pPr>
      <w:r>
        <w:rPr>
          <w:b/>
          <w:color w:val="4B5563"/>
          <w:sz w:val="26"/>
        </w:rPr>
        <w:t>Technical Case Study</w:t>
      </w:r>
    </w:p>
    <w:p/>
    <w:tbl>
      <w:tblPr>
        <w:tblW w:type="auto" w:w="0"/>
        <w:jc w:val="center"/>
        <w:tblLook w:firstColumn="1" w:firstRow="1" w:lastColumn="0" w:lastRow="0" w:noHBand="0" w:noVBand="1" w:val="04A0"/>
      </w:tblPr>
      <w:tblGrid>
        <w:gridCol w:w="4680"/>
        <w:gridCol w:w="4680"/>
      </w:tblGrid>
      <w:tr>
        <w:tc>
          <w:tcPr>
            <w:tcW w:type="dxa" w:w="4680"/>
          </w:tcPr>
          <w:p>
            <w:r>
              <w:rPr>
                <w:b/>
                <w:color w:val="1E40AF"/>
                <w:sz w:val="20"/>
              </w:rPr>
              <w:t>Document Type</w:t>
            </w:r>
          </w:p>
        </w:tc>
        <w:tc>
          <w:tcPr>
            <w:tcW w:type="dxa" w:w="4680"/>
          </w:tcPr>
          <w:p>
            <w:r>
              <w:rPr>
                <w:color w:val="1F2937"/>
                <w:sz w:val="20"/>
              </w:rPr>
              <w:t>Technical Case Study</w:t>
            </w:r>
          </w:p>
        </w:tc>
      </w:tr>
      <w:tr>
        <w:tc>
          <w:tcPr>
            <w:tcW w:type="dxa" w:w="4680"/>
          </w:tcPr>
          <w:p>
            <w:r>
              <w:rPr>
                <w:b/>
                <w:color w:val="1E40AF"/>
                <w:sz w:val="20"/>
              </w:rPr>
              <w:t>Date</w:t>
            </w:r>
          </w:p>
        </w:tc>
        <w:tc>
          <w:tcPr>
            <w:tcW w:type="dxa" w:w="4680"/>
          </w:tcPr>
          <w:p>
            <w:r>
              <w:rPr>
                <w:color w:val="1F2937"/>
                <w:sz w:val="20"/>
              </w:rPr>
              <w:t>May 2026</w:t>
            </w:r>
          </w:p>
        </w:tc>
      </w:tr>
      <w:tr>
        <w:tc>
          <w:tcPr>
            <w:tcW w:type="dxa" w:w="4680"/>
          </w:tcPr>
          <w:p>
            <w:r>
              <w:rPr>
                <w:b/>
                <w:color w:val="1E40AF"/>
                <w:sz w:val="20"/>
              </w:rPr>
              <w:t>Project</w:t>
            </w:r>
          </w:p>
        </w:tc>
        <w:tc>
          <w:tcPr>
            <w:tcW w:type="dxa" w:w="4680"/>
          </w:tcPr>
          <w:p>
            <w:r>
              <w:rPr>
                <w:color w:val="1F2937"/>
                <w:sz w:val="20"/>
              </w:rPr>
              <w:t>M-IMS — Hospital Information Management System (HIMS)</w:t>
            </w:r>
          </w:p>
        </w:tc>
      </w:tr>
      <w:tr>
        <w:tc>
          <w:tcPr>
            <w:tcW w:type="dxa" w:w="4680"/>
          </w:tcPr>
          <w:p>
            <w:r>
              <w:rPr>
                <w:b/>
                <w:color w:val="1E40AF"/>
                <w:sz w:val="20"/>
              </w:rPr>
              <w:t>Phase</w:t>
            </w:r>
          </w:p>
        </w:tc>
        <w:tc>
          <w:tcPr>
            <w:tcW w:type="dxa" w:w="4680"/>
          </w:tcPr>
          <w:p>
            <w:r>
              <w:rPr>
                <w:color w:val="1F2937"/>
                <w:sz w:val="20"/>
              </w:rPr>
              <w:t>Phase 1 — Inventory &amp; Patient Issuance</w:t>
            </w:r>
          </w:p>
        </w:tc>
      </w:tr>
      <w:tr>
        <w:tc>
          <w:tcPr>
            <w:tcW w:type="dxa" w:w="4680"/>
          </w:tcPr>
          <w:p>
            <w:r>
              <w:rPr>
                <w:b/>
                <w:color w:val="1E40AF"/>
                <w:sz w:val="20"/>
              </w:rPr>
              <w:t>Platform</w:t>
            </w:r>
          </w:p>
        </w:tc>
        <w:tc>
          <w:tcPr>
            <w:tcW w:type="dxa" w:w="4680"/>
          </w:tcPr>
          <w:p>
            <w:r>
              <w:rPr>
                <w:color w:val="1F2937"/>
                <w:sz w:val="20"/>
              </w:rPr>
              <w:t>Web (PWA) + Offline Sync</w:t>
            </w:r>
          </w:p>
        </w:tc>
      </w:tr>
      <w:tr>
        <w:tc>
          <w:tcPr>
            <w:tcW w:type="dxa" w:w="4680"/>
          </w:tcPr>
          <w:p>
            <w:r>
              <w:rPr>
                <w:b/>
                <w:color w:val="1E40AF"/>
                <w:sz w:val="20"/>
              </w:rPr>
              <w:t>Region</w:t>
            </w:r>
          </w:p>
        </w:tc>
        <w:tc>
          <w:tcPr>
            <w:tcW w:type="dxa" w:w="4680"/>
          </w:tcPr>
          <w:p>
            <w:r>
              <w:rPr>
                <w:color w:val="1F2937"/>
                <w:sz w:val="20"/>
              </w:rPr>
              <w:t>Pakistan (multi-hospital)</w:t>
            </w:r>
          </w:p>
        </w:tc>
      </w:tr>
    </w:tbl>
    <w:p>
      <w:r>
        <w:br w:type="page"/>
      </w:r>
    </w:p>
    <w:p>
      <w:pPr>
        <w:spacing w:before="360" w:after="120"/>
        <w:pBdr>
          <w:bottom w:val="single" w:sz="6" w:space="1" w:color="1E40AF"/>
        </w:pBdr>
      </w:pPr>
      <w:r>
        <w:rPr>
          <w:b/>
          <w:color w:val="1E40AF"/>
          <w:sz w:val="36"/>
        </w:rPr>
        <w:t>1.  Executive Summary</w:t>
      </w:r>
    </w:p>
    <w:p>
      <w:pPr>
        <w:spacing w:after="80"/>
      </w:pPr>
      <w:r>
        <w:rPr>
          <w:color w:val="4B5563"/>
          <w:sz w:val="20"/>
        </w:rPr>
        <w:t>M-IMS is a full-stack, multi-tenant Hospital Information Management System (HIMS) built to digitize and automate the full spectrum of hospital operations — from patient registration and clinical workflows to pharmacy inventory, lab orders, HR, payroll, and analytics — within a single unified platform.</w:t>
      </w:r>
    </w:p>
    <w:p>
      <w:pPr>
        <w:spacing w:after="80"/>
      </w:pPr>
      <w:r>
        <w:rPr>
          <w:color w:val="4B5563"/>
          <w:sz w:val="20"/>
        </w:rPr>
        <w:t>The platform supports hospital networks in Pakistan with multiple facilities, multiple pharmacies per hospital, and a staff hierarchy ranging from Super Admin to bedside nurses. It is engineered to function both online and offline, making it viable for remote or infrastructure-limited settings.</w:t>
      </w:r>
    </w:p>
    <w:p>
      <w:pPr>
        <w:spacing w:before="360" w:after="120"/>
        <w:pBdr>
          <w:bottom w:val="single" w:sz="6" w:space="1" w:color="1E40AF"/>
        </w:pBdr>
      </w:pPr>
      <w:r>
        <w:rPr>
          <w:b/>
          <w:color w:val="1E40AF"/>
          <w:sz w:val="36"/>
        </w:rPr>
        <w:t>2.  Problem Statement</w:t>
      </w:r>
    </w:p>
    <w:p>
      <w:pPr>
        <w:spacing w:before="240" w:after="80"/>
      </w:pPr>
      <w:r>
        <w:rPr>
          <w:b/>
          <w:color w:val="3B82F6"/>
          <w:sz w:val="26"/>
        </w:rPr>
        <w:t>2.1  Background</w:t>
      </w:r>
    </w:p>
    <w:p>
      <w:pPr>
        <w:spacing w:after="80"/>
      </w:pPr>
      <w:r>
        <w:rPr>
          <w:color w:val="4B5563"/>
          <w:sz w:val="20"/>
        </w:rPr>
        <w:t>Hospitals managing operations manually face significant challenges across every department:</w:t>
      </w:r>
    </w:p>
    <w:p>
      <w:pPr>
        <w:pStyle w:val="ListBullet"/>
        <w:spacing w:after="40"/>
        <w:ind w:left="432"/>
      </w:pPr>
      <w:r>
        <w:rPr>
          <w:color w:val="4B5563"/>
          <w:sz w:val="20"/>
        </w:rPr>
        <w:t>Stock wastage due to expired medicines not identified in time</w:t>
      </w:r>
    </w:p>
    <w:p>
      <w:pPr>
        <w:pStyle w:val="ListBullet"/>
        <w:spacing w:after="40"/>
        <w:ind w:left="432"/>
      </w:pPr>
      <w:r>
        <w:rPr>
          <w:color w:val="4B5563"/>
          <w:sz w:val="20"/>
        </w:rPr>
        <w:t>Stock-outs at ward pharmacies while the main pharmacy holds surplus</w:t>
      </w:r>
    </w:p>
    <w:p>
      <w:pPr>
        <w:pStyle w:val="ListBullet"/>
        <w:spacing w:after="40"/>
        <w:ind w:left="432"/>
      </w:pPr>
      <w:r>
        <w:rPr>
          <w:color w:val="4B5563"/>
          <w:sz w:val="20"/>
        </w:rPr>
        <w:t>Paper-based prescriptions leading to errors, loss, and delays</w:t>
      </w:r>
    </w:p>
    <w:p>
      <w:pPr>
        <w:pStyle w:val="ListBullet"/>
        <w:spacing w:after="40"/>
        <w:ind w:left="432"/>
      </w:pPr>
      <w:r>
        <w:rPr>
          <w:color w:val="4B5563"/>
          <w:sz w:val="20"/>
        </w:rPr>
        <w:t>No audit trail for medicine issuance, returns, or transfers</w:t>
      </w:r>
    </w:p>
    <w:p>
      <w:pPr>
        <w:pStyle w:val="ListBullet"/>
        <w:spacing w:after="40"/>
        <w:ind w:left="432"/>
      </w:pPr>
      <w:r>
        <w:rPr>
          <w:color w:val="4B5563"/>
          <w:sz w:val="20"/>
        </w:rPr>
        <w:t>Disconnected systems — lab, pharmacy, billing, and patient records in silos</w:t>
      </w:r>
    </w:p>
    <w:p>
      <w:pPr>
        <w:pStyle w:val="ListBullet"/>
        <w:spacing w:after="40"/>
        <w:ind w:left="432"/>
      </w:pPr>
      <w:r>
        <w:rPr>
          <w:color w:val="4B5563"/>
          <w:sz w:val="20"/>
        </w:rPr>
        <w:t>Inability to operate during internet outages at remote pharmacy terminals</w:t>
      </w:r>
    </w:p>
    <w:p>
      <w:pPr>
        <w:pStyle w:val="ListBullet"/>
        <w:spacing w:after="40"/>
        <w:ind w:left="432"/>
      </w:pPr>
      <w:r>
        <w:rPr>
          <w:color w:val="4B5563"/>
          <w:sz w:val="20"/>
        </w:rPr>
        <w:t>Manual attendance and payroll prone to errors and fraud</w:t>
      </w:r>
    </w:p>
    <w:p>
      <w:pPr>
        <w:spacing w:before="240" w:after="80"/>
      </w:pPr>
      <w:r>
        <w:rPr>
          <w:b/>
          <w:color w:val="3B82F6"/>
          <w:sz w:val="26"/>
        </w:rPr>
        <w:t>2.2  Key Pain Points Addressed</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40AF"/>
          </w:tcPr>
          <w:p>
            <w:r>
              <w:rPr>
                <w:b/>
                <w:color w:val="FFFFFF"/>
                <w:sz w:val="18"/>
              </w:rPr>
              <w:t>Pain Point</w:t>
            </w:r>
          </w:p>
        </w:tc>
        <w:tc>
          <w:tcPr>
            <w:tcW w:type="dxa" w:w="5184"/>
            <w:shd w:val="clear" w:color="auto" w:fill="1E40AF"/>
          </w:tcPr>
          <w:p>
            <w:r>
              <w:rPr>
                <w:b/>
                <w:color w:val="FFFFFF"/>
                <w:sz w:val="18"/>
              </w:rPr>
              <w:t>Solution</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Manual FIFO not enforced</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Automated FIFO batch allocation with expiry-first sorting</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No inter-pharmacy visibility</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Centralized transfer request and approval workflow</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Paper prescriptions</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Doctor-created e-prescriptions linked to patient R-Numbers</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Stock reconciliation errors</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Atomic stock operations with full audit logs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Offline pharmacy operations</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SQLite-based local sync with conflict resolution</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Role sprawl &amp; access leakage</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14 roles × 60+ fine-grained permissions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Login taking 5–6 seconds</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Redis caching reducing login to &lt; 500 ms</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Siloed HR &amp; payroll</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Integrated attendance, leave, shift, and payroll modules</w:t>
            </w:r>
          </w:p>
        </w:tc>
      </w:tr>
    </w:tbl>
    <w:p/>
    <w:p>
      <w:pPr>
        <w:spacing w:before="360" w:after="120"/>
        <w:pBdr>
          <w:bottom w:val="single" w:sz="6" w:space="1" w:color="1E40AF"/>
        </w:pBdr>
      </w:pPr>
      <w:r>
        <w:rPr>
          <w:b/>
          <w:color w:val="1E40AF"/>
          <w:sz w:val="36"/>
        </w:rPr>
        <w:t>3.  Solution Architecture</w:t>
      </w:r>
    </w:p>
    <w:p>
      <w:pPr>
        <w:spacing w:before="240" w:after="80"/>
      </w:pPr>
      <w:r>
        <w:rPr>
          <w:b/>
          <w:color w:val="3B82F6"/>
          <w:sz w:val="26"/>
        </w:rPr>
        <w:t>3.1  Architectural Pattern</w:t>
      </w:r>
    </w:p>
    <w:p>
      <w:pPr>
        <w:spacing w:after="80"/>
      </w:pPr>
      <w:r>
        <w:rPr>
          <w:color w:val="4B5563"/>
          <w:sz w:val="20"/>
        </w:rPr>
        <w:t>The system uses a hybrid monolith architecture: a single NestJS backend application that houses all feature modules with clear separation of concerns. Clinical and billing modules were added inside the monolith to avoid disrupting the production pharmacy core, with selective microservice extraction planned for Phase 4+.</w:t>
      </w:r>
    </w:p>
    <w:p>
      <w:pPr>
        <w:spacing w:before="80" w:after="80"/>
        <w:ind w:left="432"/>
      </w:pPr>
      <w:r>
        <w:rPr>
          <w:rFonts w:ascii="Courier New" w:hAnsi="Courier New"/>
          <w:color w:val="0F172A"/>
          <w:sz w:val="17"/>
        </w:rPr>
        <w:t>Client (Browser / PWA)</w:t>
        <w:br/>
        <w:t xml:space="preserve">         │</w:t>
        <w:br/>
        <w:t xml:space="preserve">    [Next.js 14 Frontend]</w:t>
        <w:br/>
        <w:t xml:space="preserve">         │</w:t>
        <w:br/>
        <w:t xml:space="preserve">    [Nginx Reverse Proxy]</w:t>
        <w:br/>
        <w:t xml:space="preserve">         │</w:t>
        <w:br/>
        <w:t xml:space="preserve">    [NestJS Backend API]</w:t>
        <w:br/>
        <w:t xml:space="preserve">         │</w:t>
        <w:br/>
        <w:t xml:space="preserve">  ┌──────┴──────┐</w:t>
        <w:br/>
        <w:t xml:space="preserve">  │             │</w:t>
        <w:br/>
        <w:t>[PostgreSQL]  [Redis]</w:t>
        <w:br/>
        <w:t xml:space="preserve">  │</w:t>
        <w:br/>
        <w:t>[SQLite — Offline Sync]</w:t>
      </w:r>
    </w:p>
    <w:p>
      <w:pPr>
        <w:spacing w:before="240" w:after="80"/>
      </w:pPr>
      <w:r>
        <w:rPr>
          <w:b/>
          <w:color w:val="3B82F6"/>
          <w:sz w:val="26"/>
        </w:rPr>
        <w:t>3.2  Multi-Tenancy Design</w:t>
      </w:r>
    </w:p>
    <w:p>
      <w:pPr>
        <w:pStyle w:val="ListBullet"/>
        <w:spacing w:after="40"/>
        <w:ind w:left="432"/>
      </w:pPr>
      <w:r>
        <w:rPr>
          <w:color w:val="4B5563"/>
          <w:sz w:val="20"/>
        </w:rPr>
        <w:t>Single database with hospital_id column on every table</w:t>
      </w:r>
    </w:p>
    <w:p>
      <w:pPr>
        <w:pStyle w:val="ListBullet"/>
        <w:spacing w:after="40"/>
        <w:ind w:left="432"/>
      </w:pPr>
      <w:r>
        <w:rPr>
          <w:color w:val="4B5563"/>
          <w:sz w:val="20"/>
        </w:rPr>
        <w:t>Row-Level Security (RLS) policies in PostgreSQL for tenant isolation</w:t>
      </w:r>
    </w:p>
    <w:p>
      <w:pPr>
        <w:pStyle w:val="ListBullet"/>
        <w:spacing w:after="40"/>
        <w:ind w:left="432"/>
      </w:pPr>
      <w:r>
        <w:rPr>
          <w:color w:val="4B5563"/>
          <w:sz w:val="20"/>
        </w:rPr>
        <w:t>JWT tokens carry hospital_id claim; middleware validates on every request</w:t>
      </w:r>
    </w:p>
    <w:p>
      <w:pPr>
        <w:pStyle w:val="ListBullet"/>
        <w:spacing w:after="40"/>
        <w:ind w:left="432"/>
      </w:pPr>
      <w:r>
        <w:rPr>
          <w:color w:val="4B5563"/>
          <w:sz w:val="20"/>
        </w:rPr>
        <w:t>Super Admin can switch hospital context via a special token claim without re-authentication</w:t>
      </w:r>
    </w:p>
    <w:p>
      <w:pPr>
        <w:spacing w:before="240" w:after="80"/>
      </w:pPr>
      <w:r>
        <w:rPr>
          <w:b/>
          <w:color w:val="3B82F6"/>
          <w:sz w:val="26"/>
        </w:rPr>
        <w:t>3.3  Database Scale</w:t>
      </w:r>
    </w:p>
    <w:p>
      <w:pPr>
        <w:spacing w:after="80"/>
      </w:pPr>
      <w:r>
        <w:rPr>
          <w:color w:val="4B5563"/>
          <w:sz w:val="20"/>
        </w:rPr>
        <w:t>The Prisma schema contains 60 domain models across all HIMS domains: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E40AF"/>
          </w:tcPr>
          <w:p>
            <w:r>
              <w:rPr>
                <w:b/>
                <w:color w:val="FFFFFF"/>
                <w:sz w:val="18"/>
              </w:rPr>
              <w:t>Domain</w:t>
            </w:r>
          </w:p>
        </w:tc>
        <w:tc>
          <w:tcPr>
            <w:tcW w:type="dxa" w:w="6912"/>
            <w:shd w:val="clear" w:color="auto" w:fill="1E40AF"/>
          </w:tcPr>
          <w:p>
            <w:r>
              <w:rPr>
                <w:b/>
                <w:color w:val="FFFFFF"/>
                <w:sz w:val="18"/>
              </w:rPr>
              <w:t>Models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Core Hospital</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Hospital, Department, SubDepartment, Room, Bed, Admission</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Users &amp; Auth</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User, Permission, RolePermission, Token, FeatureFlag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Patients</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Patient, Visit, Clinic, Referral</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Pharmacy</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Pharmacy, Medicine, MedicineAlternative, StockBatch</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Procurement</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PurchaseOrder, PurchaseOrderItem, GRN, GRNItem</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Prescriptions</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Prescription, PrescriptionItem, PrescriptionMedicine, PrescriptionDispatch, PrescriptionDispatchItem</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Issuance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IssueTransaction, IssueItem, ReturnTransaction, ReturnItem</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Transfers</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TransferRequest, TransferItem, TransferBatchMapping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Operations</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OperationTheatre, Operation</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Lab</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LabTest, LabOrder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Billing</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Receipt, DailyCharge, Expenditure</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Attendance</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AttendanceLog, AttendanceRecord, Shift, EmployeeShift, Leave, LeaveType, Holiday, BiometricDevice, BiometricEnrollment, AttendanceConfig, DeviceSyncLog</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Payroll</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PayrollSetting, PayrollRecord</w:t>
            </w:r>
          </w:p>
        </w:tc>
      </w:tr>
      <w:tr>
        <w:tc>
          <w:tcPr>
            <w:tcW w:type="dxa" w:w="259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System</w:t>
            </w:r>
          </w:p>
        </w:tc>
        <w:tc>
          <w:tcPr>
            <w:tcW w:type="dxa" w:w="6912"/>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AuditLog, SyncOperation, SystemConfig, Alert, ThreatAlert</w:t>
            </w:r>
          </w:p>
        </w:tc>
      </w:tr>
    </w:tbl>
    <w:p/>
    <w:p>
      <w:pPr>
        <w:spacing w:before="360" w:after="120"/>
        <w:pBdr>
          <w:bottom w:val="single" w:sz="6" w:space="1" w:color="1E40AF"/>
        </w:pBdr>
      </w:pPr>
      <w:r>
        <w:rPr>
          <w:b/>
          <w:color w:val="1E40AF"/>
          <w:sz w:val="36"/>
        </w:rPr>
        <w:t>4.  Technology Stack</w:t>
      </w:r>
    </w:p>
    <w:p>
      <w:pPr>
        <w:spacing w:before="240" w:after="80"/>
      </w:pPr>
      <w:r>
        <w:rPr>
          <w:b/>
          <w:color w:val="3B82F6"/>
          <w:sz w:val="26"/>
        </w:rPr>
        <w:t>4.1  Backend</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40AF"/>
          </w:tcPr>
          <w:p>
            <w:r>
              <w:rPr>
                <w:b/>
                <w:color w:val="FFFFFF"/>
                <w:sz w:val="18"/>
              </w:rPr>
              <w:t>Technology</w:t>
            </w:r>
          </w:p>
        </w:tc>
        <w:tc>
          <w:tcPr>
            <w:tcW w:type="dxa" w:w="6336"/>
            <w:shd w:val="clear" w:color="auto" w:fill="1E40AF"/>
          </w:tcPr>
          <w:p>
            <w:r>
              <w:rPr>
                <w:b/>
                <w:color w:val="FFFFFF"/>
                <w:sz w:val="18"/>
              </w:rPr>
              <w:t>Purpose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NestJS (Node.js + TypeScript)</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Core API framework with modular architecture</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Prisma ORM</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Type-safe database access, migrations, seeding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PostgreSQL 15+</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Primary relational database</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Redis</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Session caching, JWT user caching (2-min TTL), rate limiting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Bull MQ</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Background job queues (stock redistribution, alerts)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Passport.js</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JWT + TOTP MFA authentication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Argon2</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Memory-hard password hashing</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Winston</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Structured application logging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Helmet</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HTTP security headers</w:t>
            </w:r>
          </w:p>
        </w:tc>
      </w:tr>
    </w:tbl>
    <w:p/>
    <w:p>
      <w:pPr>
        <w:spacing w:before="240" w:after="80"/>
      </w:pPr>
      <w:r>
        <w:rPr>
          <w:b/>
          <w:color w:val="3B82F6"/>
          <w:sz w:val="26"/>
        </w:rPr>
        <w:t>4.2  Frontend</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40AF"/>
          </w:tcPr>
          <w:p>
            <w:r>
              <w:rPr>
                <w:b/>
                <w:color w:val="FFFFFF"/>
                <w:sz w:val="18"/>
              </w:rPr>
              <w:t>Technology</w:t>
            </w:r>
          </w:p>
        </w:tc>
        <w:tc>
          <w:tcPr>
            <w:tcW w:type="dxa" w:w="6336"/>
            <w:shd w:val="clear" w:color="auto" w:fill="1E40AF"/>
          </w:tcPr>
          <w:p>
            <w:r>
              <w:rPr>
                <w:b/>
                <w:color w:val="FFFFFF"/>
                <w:sz w:val="18"/>
              </w:rPr>
              <w:t>Purpose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Next.js 14+ (App Router)</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React framework with SSR and route groups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TypeScript</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Type safety across all components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Tailwind CSS</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Utility-first responsive styling</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shadcn-ui</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Accessible component library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React Query</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Server state management, caching, background refetch</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Zustand</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Client-side state (auth, hospital context)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React Hook Form + Zod</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Form management with schema validation</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Recharts</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Dashboard visualizations and analytics charts</w:t>
            </w:r>
          </w:p>
        </w:tc>
      </w:tr>
    </w:tbl>
    <w:p/>
    <w:p>
      <w:pPr>
        <w:spacing w:before="240" w:after="80"/>
      </w:pPr>
      <w:r>
        <w:rPr>
          <w:b/>
          <w:color w:val="3B82F6"/>
          <w:sz w:val="26"/>
        </w:rPr>
        <w:t>4.3  Infrastructure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40AF"/>
          </w:tcPr>
          <w:p>
            <w:r>
              <w:rPr>
                <w:b/>
                <w:color w:val="FFFFFF"/>
                <w:sz w:val="18"/>
              </w:rPr>
              <w:t>Technology</w:t>
            </w:r>
          </w:p>
        </w:tc>
        <w:tc>
          <w:tcPr>
            <w:tcW w:type="dxa" w:w="6336"/>
            <w:shd w:val="clear" w:color="auto" w:fill="1E40AF"/>
          </w:tcPr>
          <w:p>
            <w:r>
              <w:rPr>
                <w:b/>
                <w:color w:val="FFFFFF"/>
                <w:sz w:val="18"/>
              </w:rPr>
              <w:t>Purpose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Docker + Docker Compose</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Containerized local and server deployment</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Nginx</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Reverse proxy, load balancing, SSL termination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Prometheus + Grafana</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Metrics collection and monitoring dashboards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MinIO / AWS S3</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File storage for reports and prescription images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SQLite</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Local database for offline pharmacy terminals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GitHub Actions</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CI/CD pipeline</w:t>
            </w:r>
          </w:p>
        </w:tc>
      </w:tr>
    </w:tbl>
    <w:p/>
    <w:p>
      <w:pPr>
        <w:spacing w:before="360" w:after="120"/>
        <w:pBdr>
          <w:bottom w:val="single" w:sz="6" w:space="1" w:color="1E40AF"/>
        </w:pBdr>
      </w:pPr>
      <w:r>
        <w:rPr>
          <w:b/>
          <w:color w:val="1E40AF"/>
          <w:sz w:val="36"/>
        </w:rPr>
        <w:t>5.  Feature Modules</w:t>
      </w:r>
    </w:p>
    <w:p>
      <w:pPr>
        <w:spacing w:before="240" w:after="80"/>
      </w:pPr>
      <w:r>
        <w:rPr>
          <w:b/>
          <w:color w:val="3B82F6"/>
          <w:sz w:val="26"/>
        </w:rPr>
        <w:t>5.1  Patient Management</w:t>
      </w:r>
    </w:p>
    <w:p>
      <w:pPr>
        <w:pStyle w:val="ListBullet"/>
        <w:spacing w:after="40"/>
        <w:ind w:left="432"/>
      </w:pPr>
      <w:r>
        <w:rPr>
          <w:color w:val="4B5563"/>
          <w:sz w:val="20"/>
        </w:rPr>
        <w:t>Unique R-Number generation per patient (format: R-YYYYMMDD-XXXX)</w:t>
      </w:r>
    </w:p>
    <w:p>
      <w:pPr>
        <w:pStyle w:val="ListBullet"/>
        <w:spacing w:after="40"/>
        <w:ind w:left="432"/>
      </w:pPr>
      <w:r>
        <w:rPr>
          <w:color w:val="4B5563"/>
          <w:sz w:val="20"/>
        </w:rPr>
        <w:t>Patient demographics with AES-256 encrypted CNIC</w:t>
      </w:r>
    </w:p>
    <w:p>
      <w:pPr>
        <w:pStyle w:val="ListBullet"/>
        <w:spacing w:after="40"/>
        <w:ind w:left="432"/>
      </w:pPr>
      <w:r>
        <w:rPr>
          <w:color w:val="4B5563"/>
          <w:sz w:val="20"/>
        </w:rPr>
        <w:t>Ward/bed assignment and admission tracking</w:t>
      </w:r>
    </w:p>
    <w:p>
      <w:pPr>
        <w:pStyle w:val="ListBullet"/>
        <w:spacing w:after="40"/>
        <w:ind w:left="432"/>
      </w:pPr>
      <w:r>
        <w:rPr>
          <w:color w:val="4B5563"/>
          <w:sz w:val="20"/>
        </w:rPr>
        <w:t>OPD and indoor visit management</w:t>
      </w:r>
    </w:p>
    <w:p>
      <w:pPr>
        <w:pStyle w:val="ListBullet"/>
        <w:spacing w:after="40"/>
        <w:ind w:left="432"/>
      </w:pPr>
      <w:r>
        <w:rPr>
          <w:color w:val="4B5563"/>
          <w:sz w:val="20"/>
        </w:rPr>
        <w:t>Doctor referral and consultation queue</w:t>
      </w:r>
    </w:p>
    <w:p>
      <w:pPr>
        <w:spacing w:before="240" w:after="80"/>
      </w:pPr>
      <w:r>
        <w:rPr>
          <w:b/>
          <w:color w:val="3B82F6"/>
          <w:sz w:val="26"/>
        </w:rPr>
        <w:t>5.2  E-Prescription Management</w:t>
      </w:r>
    </w:p>
    <w:p>
      <w:pPr>
        <w:pStyle w:val="ListBullet"/>
        <w:spacing w:after="40"/>
        <w:ind w:left="432"/>
      </w:pPr>
      <w:r>
        <w:rPr>
          <w:color w:val="4B5563"/>
          <w:sz w:val="20"/>
        </w:rPr>
        <w:t>Doctor creates prescription linked to patient R-Number</w:t>
      </w:r>
    </w:p>
    <w:p>
      <w:pPr>
        <w:pStyle w:val="ListBullet"/>
        <w:spacing w:after="40"/>
        <w:ind w:left="432"/>
      </w:pPr>
      <w:r>
        <w:rPr>
          <w:color w:val="4B5563"/>
          <w:sz w:val="20"/>
        </w:rPr>
        <w:t>Prescription statuses: ACTIVE → COMPLETED</w:t>
      </w:r>
    </w:p>
    <w:p>
      <w:pPr>
        <w:pStyle w:val="ListBullet"/>
        <w:spacing w:after="40"/>
        <w:ind w:left="432"/>
      </w:pPr>
      <w:r>
        <w:rPr>
          <w:color w:val="4B5563"/>
          <w:sz w:val="20"/>
        </w:rPr>
        <w:t>Items with dosage, frequency, and duration</w:t>
      </w:r>
    </w:p>
    <w:p>
      <w:pPr>
        <w:pStyle w:val="ListBullet"/>
        <w:spacing w:after="40"/>
        <w:ind w:left="432"/>
      </w:pPr>
      <w:r>
        <w:rPr>
          <w:color w:val="4B5563"/>
          <w:sz w:val="20"/>
        </w:rPr>
        <w:t>PrescriptionDispatch and PrescriptionDispatchItem for batch-level dispatch tracking</w:t>
      </w:r>
    </w:p>
    <w:p>
      <w:pPr>
        <w:pStyle w:val="ListBullet"/>
        <w:spacing w:after="40"/>
        <w:ind w:left="432"/>
      </w:pPr>
      <w:r>
        <w:rPr>
          <w:color w:val="4B5563"/>
          <w:sz w:val="20"/>
        </w:rPr>
        <w:t>Pharmacy queue view for pending dispensing</w:t>
      </w:r>
    </w:p>
    <w:p>
      <w:pPr>
        <w:spacing w:before="240" w:after="80"/>
      </w:pPr>
      <w:r>
        <w:rPr>
          <w:b/>
          <w:color w:val="3B82F6"/>
          <w:sz w:val="26"/>
        </w:rPr>
        <w:t>5.3  FIFO Medicine Issuance</w:t>
      </w:r>
    </w:p>
    <w:p>
      <w:pPr>
        <w:pStyle w:val="ListBullet"/>
        <w:spacing w:after="40"/>
        <w:ind w:left="432"/>
      </w:pPr>
      <w:r>
        <w:rPr>
          <w:color w:val="4B5563"/>
          <w:sz w:val="20"/>
        </w:rPr>
        <w:t>Batch-based inventory with expiry date tracking</w:t>
      </w:r>
    </w:p>
    <w:p>
      <w:pPr>
        <w:pStyle w:val="ListBullet"/>
        <w:spacing w:after="40"/>
        <w:ind w:left="432"/>
      </w:pPr>
      <w:r>
        <w:rPr>
          <w:color w:val="4B5563"/>
          <w:sz w:val="20"/>
        </w:rPr>
        <w:t>Automatic FIFO allocation: batches sorted by received_date ASC, expiry_date ASC</w:t>
      </w:r>
    </w:p>
    <w:p>
      <w:pPr>
        <w:pStyle w:val="ListBullet"/>
        <w:spacing w:after="40"/>
        <w:ind w:left="432"/>
      </w:pPr>
      <w:r>
        <w:rPr>
          <w:color w:val="4B5563"/>
          <w:sz w:val="20"/>
        </w:rPr>
        <w:t>Atomic stock operations with transaction locks to prevent race conditions</w:t>
      </w:r>
    </w:p>
    <w:p>
      <w:pPr>
        <w:pStyle w:val="ListBullet"/>
        <w:spacing w:after="40"/>
        <w:ind w:left="432"/>
      </w:pPr>
      <w:r>
        <w:rPr>
          <w:color w:val="4B5563"/>
          <w:sz w:val="20"/>
        </w:rPr>
        <w:t>Manual batch override with full audit trail</w:t>
      </w:r>
    </w:p>
    <w:p>
      <w:pPr>
        <w:pStyle w:val="ListBullet"/>
        <w:spacing w:after="40"/>
        <w:ind w:left="432"/>
      </w:pPr>
      <w:r>
        <w:rPr>
          <w:color w:val="4B5563"/>
          <w:sz w:val="20"/>
        </w:rPr>
        <w:t>Out-of-stock detection with alternative medicine suggestions</w:t>
      </w:r>
    </w:p>
    <w:p>
      <w:pPr>
        <w:pStyle w:val="ListBullet"/>
        <w:spacing w:after="40"/>
        <w:ind w:left="432"/>
      </w:pPr>
      <w:r>
        <w:rPr>
          <w:color w:val="4B5563"/>
          <w:sz w:val="20"/>
        </w:rPr>
        <w:t>Return transactions with stock reconciliation</w:t>
      </w:r>
    </w:p>
    <w:p>
      <w:pPr>
        <w:spacing w:before="240" w:after="80"/>
      </w:pPr>
      <w:r>
        <w:rPr>
          <w:b/>
          <w:color w:val="3B82F6"/>
          <w:sz w:val="26"/>
        </w:rPr>
        <w:t>5.4  Inter-Pharmacy Stock Transfers</w:t>
      </w:r>
    </w:p>
    <w:p>
      <w:pPr>
        <w:pStyle w:val="ListBullet"/>
        <w:spacing w:after="40"/>
        <w:ind w:left="432"/>
      </w:pPr>
      <w:r>
        <w:rPr>
          <w:color w:val="4B5563"/>
          <w:sz w:val="20"/>
        </w:rPr>
        <w:t>Sub-pharmacy initiates transfer request against main or peer pharmacy</w:t>
      </w:r>
    </w:p>
    <w:p>
      <w:pPr>
        <w:pStyle w:val="ListBullet"/>
        <w:spacing w:after="40"/>
        <w:ind w:left="432"/>
      </w:pPr>
      <w:r>
        <w:rPr>
          <w:color w:val="4B5563"/>
          <w:sz w:val="20"/>
        </w:rPr>
        <w:t>Main Pharmacy Manager reviews requests with real-time stock visibility</w:t>
      </w:r>
    </w:p>
    <w:p>
      <w:pPr>
        <w:pStyle w:val="ListBullet"/>
        <w:spacing w:after="40"/>
        <w:ind w:left="432"/>
      </w:pPr>
      <w:r>
        <w:rPr>
          <w:color w:val="4B5563"/>
          <w:sz w:val="20"/>
        </w:rPr>
        <w:t>Dispatch order created with TransferBatchMapping for batch-level traceability</w:t>
      </w:r>
    </w:p>
    <w:p>
      <w:pPr>
        <w:pStyle w:val="ListBullet"/>
        <w:spacing w:after="40"/>
        <w:ind w:left="432"/>
      </w:pPr>
      <w:r>
        <w:rPr>
          <w:color w:val="4B5563"/>
          <w:sz w:val="20"/>
        </w:rPr>
        <w:t>Receiving pharmacy confirms receipt; both inventories updated atomically</w:t>
      </w:r>
    </w:p>
    <w:p>
      <w:pPr>
        <w:pStyle w:val="ListBullet"/>
        <w:spacing w:after="40"/>
        <w:ind w:left="432"/>
      </w:pPr>
      <w:r>
        <w:rPr>
          <w:color w:val="4B5563"/>
          <w:sz w:val="20"/>
        </w:rPr>
        <w:t>Batch category (NORMAL / LP) propagated through full transfer chain</w:t>
      </w:r>
    </w:p>
    <w:p>
      <w:pPr>
        <w:spacing w:before="240" w:after="80"/>
      </w:pPr>
      <w:r>
        <w:rPr>
          <w:b/>
          <w:color w:val="3B82F6"/>
          <w:sz w:val="26"/>
        </w:rPr>
        <w:t>5.5  Procurement (PO/GRN)</w:t>
      </w:r>
    </w:p>
    <w:p>
      <w:pPr>
        <w:pStyle w:val="ListBullet"/>
        <w:spacing w:after="40"/>
        <w:ind w:left="432"/>
      </w:pPr>
      <w:r>
        <w:rPr>
          <w:color w:val="4B5563"/>
          <w:sz w:val="20"/>
        </w:rPr>
        <w:t>Purchase Order creation with line items</w:t>
      </w:r>
    </w:p>
    <w:p>
      <w:pPr>
        <w:pStyle w:val="ListBullet"/>
        <w:spacing w:after="40"/>
        <w:ind w:left="432"/>
      </w:pPr>
      <w:r>
        <w:rPr>
          <w:color w:val="4B5563"/>
          <w:sz w:val="20"/>
        </w:rPr>
        <w:t>Goods Receipt Note (GRN) matching against PO</w:t>
      </w:r>
    </w:p>
    <w:p>
      <w:pPr>
        <w:pStyle w:val="ListBullet"/>
        <w:spacing w:after="40"/>
        <w:ind w:left="432"/>
      </w:pPr>
      <w:r>
        <w:rPr>
          <w:color w:val="4B5563"/>
          <w:sz w:val="20"/>
        </w:rPr>
        <w:t>Batch details captured: batch number, expiry, manufacturer, storage type, cost price</w:t>
      </w:r>
    </w:p>
    <w:p>
      <w:pPr>
        <w:pStyle w:val="ListBullet"/>
        <w:spacing w:after="40"/>
        <w:ind w:left="432"/>
      </w:pPr>
      <w:r>
        <w:rPr>
          <w:color w:val="4B5563"/>
          <w:sz w:val="20"/>
        </w:rPr>
        <w:t>Low-stock alerts auto-generated post-GRN if thresholds not met</w:t>
      </w:r>
    </w:p>
    <w:p>
      <w:pPr>
        <w:spacing w:before="240" w:after="80"/>
      </w:pPr>
      <w:r>
        <w:rPr>
          <w:b/>
          <w:color w:val="3B82F6"/>
          <w:sz w:val="26"/>
        </w:rPr>
        <w:t>5.6  Clinical Module</w:t>
      </w:r>
    </w:p>
    <w:p>
      <w:pPr>
        <w:pStyle w:val="ListBullet"/>
        <w:spacing w:after="40"/>
        <w:ind w:left="432"/>
      </w:pPr>
      <w:r>
        <w:rPr>
          <w:color w:val="4B5563"/>
          <w:sz w:val="20"/>
        </w:rPr>
        <w:t>OPD clinic management with appointment queues</w:t>
      </w:r>
    </w:p>
    <w:p>
      <w:pPr>
        <w:pStyle w:val="ListBullet"/>
        <w:spacing w:after="40"/>
        <w:ind w:left="432"/>
      </w:pPr>
      <w:r>
        <w:rPr>
          <w:color w:val="4B5563"/>
          <w:sz w:val="20"/>
        </w:rPr>
        <w:t>Doctor consultation and diagnosis recording</w:t>
      </w:r>
    </w:p>
    <w:p>
      <w:pPr>
        <w:pStyle w:val="ListBullet"/>
        <w:spacing w:after="40"/>
        <w:ind w:left="432"/>
      </w:pPr>
      <w:r>
        <w:rPr>
          <w:color w:val="4B5563"/>
          <w:sz w:val="20"/>
        </w:rPr>
        <w:t>Operation Theatre scheduling and operation records</w:t>
      </w:r>
    </w:p>
    <w:p>
      <w:pPr>
        <w:pStyle w:val="ListBullet"/>
        <w:spacing w:after="40"/>
        <w:ind w:left="432"/>
      </w:pPr>
      <w:r>
        <w:rPr>
          <w:color w:val="4B5563"/>
          <w:sz w:val="20"/>
        </w:rPr>
        <w:t>Bed and admission management</w:t>
      </w:r>
    </w:p>
    <w:p>
      <w:pPr>
        <w:pStyle w:val="ListBullet"/>
        <w:spacing w:after="40"/>
        <w:ind w:left="432"/>
      </w:pPr>
      <w:r>
        <w:rPr>
          <w:color w:val="4B5563"/>
          <w:sz w:val="20"/>
        </w:rPr>
        <w:t>Lab order creation and result entry by technicians</w:t>
      </w:r>
    </w:p>
    <w:p>
      <w:pPr>
        <w:spacing w:before="240" w:after="80"/>
      </w:pPr>
      <w:r>
        <w:rPr>
          <w:b/>
          <w:color w:val="3B82F6"/>
          <w:sz w:val="26"/>
        </w:rPr>
        <w:t>5.7  Analytics &amp; Reporting</w:t>
      </w:r>
    </w:p>
    <w:p>
      <w:pPr>
        <w:pStyle w:val="ListBullet"/>
        <w:spacing w:after="40"/>
        <w:ind w:left="432"/>
      </w:pPr>
      <w:r>
        <w:rPr>
          <w:color w:val="4B5563"/>
          <w:sz w:val="20"/>
        </w:rPr>
        <w:t>Role-specific dashboards with real-time KPIs</w:t>
      </w:r>
    </w:p>
    <w:p>
      <w:pPr>
        <w:pStyle w:val="ListBullet"/>
        <w:spacing w:after="40"/>
        <w:ind w:left="432"/>
      </w:pPr>
      <w:r>
        <w:rPr>
          <w:color w:val="4B5563"/>
          <w:sz w:val="20"/>
        </w:rPr>
        <w:t>Daily consumption, batch expiry, and patient-wise issuance reports</w:t>
      </w:r>
    </w:p>
    <w:p>
      <w:pPr>
        <w:pStyle w:val="ListBullet"/>
        <w:spacing w:after="40"/>
        <w:ind w:left="432"/>
      </w:pPr>
      <w:r>
        <w:rPr>
          <w:color w:val="4B5563"/>
          <w:sz w:val="20"/>
        </w:rPr>
        <w:t>Inter-pharmacy transfer summaries</w:t>
      </w:r>
    </w:p>
    <w:p>
      <w:pPr>
        <w:pStyle w:val="ListBullet"/>
        <w:spacing w:after="40"/>
        <w:ind w:left="432"/>
      </w:pPr>
      <w:r>
        <w:rPr>
          <w:color w:val="4B5563"/>
          <w:sz w:val="20"/>
        </w:rPr>
        <w:t>Excel export with batch category filtering</w:t>
      </w:r>
    </w:p>
    <w:p>
      <w:pPr>
        <w:pStyle w:val="ListBullet"/>
        <w:spacing w:after="40"/>
        <w:ind w:left="432"/>
      </w:pPr>
      <w:r>
        <w:rPr>
          <w:color w:val="4B5563"/>
          <w:sz w:val="20"/>
        </w:rPr>
        <w:t>Super Admin system-wide view vs hospital-scoped views</w:t>
      </w:r>
    </w:p>
    <w:p>
      <w:pPr>
        <w:spacing w:before="240" w:after="80"/>
      </w:pPr>
      <w:r>
        <w:rPr>
          <w:b/>
          <w:color w:val="3B82F6"/>
          <w:sz w:val="26"/>
        </w:rPr>
        <w:t>5.8  Attendance &amp; HR</w:t>
      </w:r>
    </w:p>
    <w:p>
      <w:pPr>
        <w:pStyle w:val="ListBullet"/>
        <w:spacing w:after="40"/>
        <w:ind w:left="432"/>
      </w:pPr>
      <w:r>
        <w:rPr>
          <w:color w:val="4B5563"/>
          <w:sz w:val="20"/>
        </w:rPr>
        <w:t>Biometric device integration (BiometricDevice, BiometricEnrollment)</w:t>
      </w:r>
    </w:p>
    <w:p>
      <w:pPr>
        <w:pStyle w:val="ListBullet"/>
        <w:spacing w:after="40"/>
        <w:ind w:left="432"/>
      </w:pPr>
      <w:r>
        <w:rPr>
          <w:color w:val="4B5563"/>
          <w:sz w:val="20"/>
        </w:rPr>
        <w:t>Shift management with EmployeeShift scheduling</w:t>
      </w:r>
    </w:p>
    <w:p>
      <w:pPr>
        <w:pStyle w:val="ListBullet"/>
        <w:spacing w:after="40"/>
        <w:ind w:left="432"/>
      </w:pPr>
      <w:r>
        <w:rPr>
          <w:color w:val="4B5563"/>
          <w:sz w:val="20"/>
        </w:rPr>
        <w:t>Leave management with approval workflows</w:t>
      </w:r>
    </w:p>
    <w:p>
      <w:pPr>
        <w:pStyle w:val="ListBullet"/>
        <w:spacing w:after="40"/>
        <w:ind w:left="432"/>
      </w:pPr>
      <w:r>
        <w:rPr>
          <w:color w:val="4B5563"/>
          <w:sz w:val="20"/>
        </w:rPr>
        <w:t>Holiday calendar and grace-period configuration</w:t>
      </w:r>
    </w:p>
    <w:p>
      <w:pPr>
        <w:pStyle w:val="ListBullet"/>
        <w:spacing w:after="40"/>
        <w:ind w:left="432"/>
      </w:pPr>
      <w:r>
        <w:rPr>
          <w:color w:val="4B5563"/>
          <w:sz w:val="20"/>
        </w:rPr>
        <w:t>Device sync logging for offline biometric terminals</w:t>
      </w:r>
    </w:p>
    <w:p>
      <w:pPr>
        <w:spacing w:before="240" w:after="80"/>
      </w:pPr>
      <w:r>
        <w:rPr>
          <w:b/>
          <w:color w:val="3B82F6"/>
          <w:sz w:val="26"/>
        </w:rPr>
        <w:t>5.9  Payroll</w:t>
      </w:r>
    </w:p>
    <w:p>
      <w:pPr>
        <w:pStyle w:val="ListBullet"/>
        <w:spacing w:after="40"/>
        <w:ind w:left="432"/>
      </w:pPr>
      <w:r>
        <w:rPr>
          <w:color w:val="4B5563"/>
          <w:sz w:val="20"/>
        </w:rPr>
        <w:t>PayrollSetting per employee with salary structure</w:t>
      </w:r>
    </w:p>
    <w:p>
      <w:pPr>
        <w:pStyle w:val="ListBullet"/>
        <w:spacing w:after="40"/>
        <w:ind w:left="432"/>
      </w:pPr>
      <w:r>
        <w:rPr>
          <w:color w:val="4B5563"/>
          <w:sz w:val="20"/>
        </w:rPr>
        <w:t>PayrollRecord generation based on attendance data</w:t>
      </w:r>
    </w:p>
    <w:p>
      <w:pPr>
        <w:pStyle w:val="ListBullet"/>
        <w:spacing w:after="40"/>
        <w:ind w:left="432"/>
      </w:pPr>
      <w:r>
        <w:rPr>
          <w:color w:val="4B5563"/>
          <w:sz w:val="20"/>
        </w:rPr>
        <w:t>Integration with leave deductions and overtime calculations</w:t>
      </w:r>
    </w:p>
    <w:p>
      <w:pPr>
        <w:spacing w:before="240" w:after="80"/>
      </w:pPr>
      <w:r>
        <w:rPr>
          <w:b/>
          <w:color w:val="3B82F6"/>
          <w:sz w:val="26"/>
        </w:rPr>
        <w:t>5.10  Offline Sync</w:t>
      </w:r>
    </w:p>
    <w:p>
      <w:pPr>
        <w:pStyle w:val="ListBullet"/>
        <w:spacing w:after="40"/>
        <w:ind w:left="432"/>
      </w:pPr>
      <w:r>
        <w:rPr>
          <w:color w:val="4B5563"/>
          <w:sz w:val="20"/>
        </w:rPr>
        <w:t>Local SQLite instance for pharmacy-specific data subset</w:t>
      </w:r>
    </w:p>
    <w:p>
      <w:pPr>
        <w:pStyle w:val="ListBullet"/>
        <w:spacing w:after="40"/>
        <w:ind w:left="432"/>
      </w:pPr>
      <w:r>
        <w:rPr>
          <w:color w:val="4B5563"/>
          <w:sz w:val="20"/>
        </w:rPr>
        <w:t>Event sourcing pattern: all local operations logged as SyncOperation records</w:t>
      </w:r>
    </w:p>
    <w:p>
      <w:pPr>
        <w:pStyle w:val="ListBullet"/>
        <w:spacing w:after="40"/>
        <w:ind w:left="432"/>
      </w:pPr>
      <w:r>
        <w:rPr>
          <w:color w:val="4B5563"/>
          <w:sz w:val="20"/>
        </w:rPr>
        <w:t>Conflict resolution: Last-Write-Wins with timestamp + version number</w:t>
      </w:r>
    </w:p>
    <w:p>
      <w:pPr>
        <w:pStyle w:val="ListBullet"/>
        <w:spacing w:after="40"/>
        <w:ind w:left="432"/>
      </w:pPr>
      <w:r>
        <w:rPr>
          <w:color w:val="4B5563"/>
          <w:sz w:val="20"/>
        </w:rPr>
        <w:t>Manual conflict resolution UI for critical discrepancies</w:t>
      </w:r>
    </w:p>
    <w:p>
      <w:pPr>
        <w:pStyle w:val="ListBullet"/>
        <w:spacing w:after="40"/>
        <w:ind w:left="432"/>
      </w:pPr>
      <w:r>
        <w:rPr>
          <w:color w:val="4B5563"/>
          <w:sz w:val="20"/>
        </w:rPr>
        <w:t>Incremental delta sync on reconnect; full sync via bulk upload button</w:t>
      </w:r>
    </w:p>
    <w:p>
      <w:pPr>
        <w:spacing w:before="360" w:after="120"/>
        <w:pBdr>
          <w:bottom w:val="single" w:sz="6" w:space="1" w:color="1E40AF"/>
        </w:pBdr>
      </w:pPr>
      <w:r>
        <w:rPr>
          <w:b/>
          <w:color w:val="1E40AF"/>
          <w:sz w:val="36"/>
        </w:rPr>
        <w:t>6.  Role-Based Access Control (RBAC)</w:t>
      </w:r>
    </w:p>
    <w:p>
      <w:pPr>
        <w:spacing w:before="240" w:after="80"/>
      </w:pPr>
      <w:r>
        <w:rPr>
          <w:b/>
          <w:color w:val="3B82F6"/>
          <w:sz w:val="26"/>
        </w:rPr>
        <w:t>6.1  Role Hierarchy</w:t>
      </w:r>
    </w:p>
    <w:p>
      <w:pPr>
        <w:spacing w:after="80"/>
      </w:pPr>
      <w:r>
        <w:rPr>
          <w:color w:val="4B5563"/>
          <w:sz w:val="20"/>
        </w:rPr>
        <w:t>The HIMS implements 14 distinct roles with 60+ fine-grained permissions: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40AF"/>
          </w:tcPr>
          <w:p>
            <w:r>
              <w:rPr>
                <w:b/>
                <w:color w:val="FFFFFF"/>
                <w:sz w:val="18"/>
              </w:rPr>
              <w:t>Role</w:t>
            </w:r>
          </w:p>
        </w:tc>
        <w:tc>
          <w:tcPr>
            <w:tcW w:type="dxa" w:w="1440"/>
            <w:shd w:val="clear" w:color="auto" w:fill="1E40AF"/>
          </w:tcPr>
          <w:p>
            <w:r>
              <w:rPr>
                <w:b/>
                <w:color w:val="FFFFFF"/>
                <w:sz w:val="18"/>
              </w:rPr>
              <w:t>Permissions</w:t>
            </w:r>
          </w:p>
        </w:tc>
        <w:tc>
          <w:tcPr>
            <w:tcW w:type="dxa" w:w="5184"/>
            <w:shd w:val="clear" w:color="auto" w:fill="1E40AF"/>
          </w:tcPr>
          <w:p>
            <w:r>
              <w:rPr>
                <w:b/>
                <w:color w:val="FFFFFF"/>
                <w:sz w:val="18"/>
              </w:rPr>
              <w:t>Primary Access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SUPER_ADMIN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49</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Full system — all hospitals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HOSPITAL_ADMIN</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31</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Hospital-wide administration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MAIN_PHARMACY_MANAGER</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19</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Main pharmacy + transfer approvals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SUB_PHARMACY_MANAGER</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12</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Own pharmacy only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DOCTOR</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9</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Prescriptions + patient records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NURSE</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7</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Patient care, medication info</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LAB_TECHNICIAN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4</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Lab orders, sample collection, results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RADIOLOGIST</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4</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Radiology orders and reports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BILLING_STAFF</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4</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Billing, payments, invoices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RECEPTIONIST</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2</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Patient registration only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DOCTOR_ASSISTANT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Assist doctor workflows</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AUDITOR</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Read-only audit access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PHARMACY_STAFF</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Medicine issuance</w:t>
            </w:r>
          </w:p>
        </w:tc>
      </w:tr>
      <w:tr>
        <w:tc>
          <w:tcPr>
            <w:tcW w:type="dxa" w:w="288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REGISTRATION_STAFF</w:t>
            </w:r>
          </w:p>
        </w:tc>
        <w:tc>
          <w:tcPr>
            <w:tcW w:type="dxa" w:w="144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Patient registration</w:t>
            </w:r>
          </w:p>
        </w:tc>
      </w:tr>
    </w:tbl>
    <w:p/>
    <w:p>
      <w:pPr>
        <w:spacing w:before="240" w:after="80"/>
      </w:pPr>
      <w:r>
        <w:rPr>
          <w:b/>
          <w:color w:val="3B82F6"/>
          <w:sz w:val="26"/>
        </w:rPr>
        <w:t>6.2  Permission Model</w:t>
      </w:r>
    </w:p>
    <w:p>
      <w:pPr>
        <w:spacing w:after="80"/>
      </w:pPr>
      <w:r>
        <w:rPr>
          <w:color w:val="4B5563"/>
          <w:sz w:val="20"/>
        </w:rPr>
        <w:t>Each permission uses a three-component structure:  resource : action : scope</w:t>
      </w:r>
    </w:p>
    <w:p>
      <w:pPr>
        <w:spacing w:before="80" w:after="80"/>
        <w:ind w:left="432"/>
      </w:pPr>
      <w:r>
        <w:rPr>
          <w:rFonts w:ascii="Courier New" w:hAnsi="Courier New"/>
          <w:color w:val="0F172A"/>
          <w:sz w:val="17"/>
        </w:rPr>
        <w:t>medicines    : read   : all</w:t>
        <w:br/>
        <w:t>inventory    : write  : own_pharmacy</w:t>
        <w:br/>
        <w:t>transfers    : approve: all</w:t>
        <w:br/>
        <w:t>prescriptions: write  : own</w:t>
      </w:r>
    </w:p>
    <w:p>
      <w:pPr>
        <w:spacing w:after="80"/>
      </w:pPr>
      <w:r>
        <w:rPr>
          <w:color w:val="4B5563"/>
          <w:sz w:val="20"/>
        </w:rPr>
        <w:t>Permissions are stored in the Permission table, assigned to roles via RolePermission, and cached in Redis with a 2-minute TTL for performance.</w:t>
      </w:r>
    </w:p>
    <w:p>
      <w:pPr>
        <w:spacing w:before="360" w:after="120"/>
        <w:pBdr>
          <w:bottom w:val="single" w:sz="6" w:space="1" w:color="1E40AF"/>
        </w:pBdr>
      </w:pPr>
      <w:r>
        <w:rPr>
          <w:b/>
          <w:color w:val="1E40AF"/>
          <w:sz w:val="36"/>
        </w:rPr>
        <w:t>7.  Security Architecture</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40AF"/>
          </w:tcPr>
          <w:p>
            <w:r>
              <w:rPr>
                <w:b/>
                <w:color w:val="FFFFFF"/>
                <w:sz w:val="18"/>
              </w:rPr>
              <w:t>Measure</w:t>
            </w:r>
          </w:p>
        </w:tc>
        <w:tc>
          <w:tcPr>
            <w:tcW w:type="dxa" w:w="6336"/>
            <w:shd w:val="clear" w:color="auto" w:fill="1E40AF"/>
          </w:tcPr>
          <w:p>
            <w:r>
              <w:rPr>
                <w:b/>
                <w:color w:val="FFFFFF"/>
                <w:sz w:val="18"/>
              </w:rPr>
              <w:t>Implementation</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Password hashing</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Argon2 (memory-hard — stronger than bcrypt against GPU attacks)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PII encryption</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AES-256 for CNIC and sensitive fields at rest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Transport security</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TLS 1.3 for all data in transit</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MFA</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TOTP-based for SUPER_ADMIN and HOSPITAL_ADMIN roles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Session management</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Redis-backed sessions, 30-min timeout with sliding window</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Rate limiting</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Per user and per IP via NestJS throttler</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SQL injection</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Prevented by Prisma parameterized queries</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XSS</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Content Security Policy headers via Helmet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Audit logging</w:t>
            </w:r>
          </w:p>
        </w:tc>
        <w:tc>
          <w:tcPr>
            <w:tcW w:type="dxa" w:w="633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Every write operation: who, what, when, IP, device</w:t>
            </w:r>
          </w:p>
        </w:tc>
      </w:tr>
      <w:tr>
        <w:tc>
          <w:tcPr>
            <w:tcW w:type="dxa" w:w="316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Multi-tenant isolation</w:t>
            </w:r>
          </w:p>
        </w:tc>
        <w:tc>
          <w:tcPr>
            <w:tcW w:type="dxa" w:w="633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PostgreSQL Row-Level Security + middleware hospital_id validation</w:t>
            </w:r>
          </w:p>
        </w:tc>
      </w:tr>
    </w:tbl>
    <w:p/>
    <w:p>
      <w:pPr>
        <w:spacing w:before="360" w:after="120"/>
        <w:pBdr>
          <w:bottom w:val="single" w:sz="6" w:space="1" w:color="1E40AF"/>
        </w:pBdr>
      </w:pPr>
      <w:r>
        <w:rPr>
          <w:b/>
          <w:color w:val="1E40AF"/>
          <w:sz w:val="36"/>
        </w:rPr>
        <w:t>8.  Performance Optimizations</w:t>
      </w:r>
    </w:p>
    <w:p>
      <w:pPr>
        <w:spacing w:before="240" w:after="80"/>
      </w:pPr>
      <w:r>
        <w:rPr>
          <w:b/>
          <w:color w:val="3B82F6"/>
          <w:sz w:val="26"/>
        </w:rPr>
        <w:t>8.1  Login Latency: 5–6 s → &lt; 500 ms</w:t>
      </w:r>
    </w:p>
    <w:p>
      <w:pPr>
        <w:pStyle w:val="ListBullet"/>
        <w:spacing w:after="40"/>
        <w:ind w:left="432"/>
      </w:pPr>
      <w:r>
        <w:rPr>
          <w:color w:val="4B5563"/>
          <w:sz w:val="20"/>
        </w:rPr>
        <w:t>lastLogin update made asynchronous (saves ~200 ms per login)</w:t>
      </w:r>
    </w:p>
    <w:p>
      <w:pPr>
        <w:pStyle w:val="ListBullet"/>
        <w:spacing w:after="40"/>
        <w:ind w:left="432"/>
      </w:pPr>
      <w:r>
        <w:rPr>
          <w:color w:val="4B5563"/>
          <w:sz w:val="20"/>
        </w:rPr>
        <w:t>select clauses fetch only required fields — password hash excluded</w:t>
      </w:r>
    </w:p>
    <w:p>
      <w:pPr>
        <w:pStyle w:val="ListBullet"/>
        <w:spacing w:after="40"/>
        <w:ind w:left="432"/>
      </w:pPr>
      <w:r>
        <w:rPr>
          <w:color w:val="4B5563"/>
          <w:sz w:val="20"/>
        </w:rPr>
        <w:t>Redis caching of authenticated user (user:auth:{id}, 2-min TTL)</w:t>
      </w:r>
    </w:p>
    <w:p>
      <w:pPr>
        <w:spacing w:before="240" w:after="80"/>
      </w:pPr>
      <w:r>
        <w:rPr>
          <w:b/>
          <w:color w:val="3B82F6"/>
          <w:sz w:val="26"/>
        </w:rPr>
        <w:t>8.2  Database Query Reduction: ~90 %</w:t>
      </w:r>
    </w:p>
    <w:p>
      <w:pPr>
        <w:spacing w:after="80"/>
      </w:pPr>
      <w:r>
        <w:rPr>
          <w:color w:val="4B5563"/>
          <w:sz w:val="20"/>
        </w:rPr>
        <w:t>Every authenticated API call previously triggered a full user lookup. A cache-first pattern was introduced in the JWT validate() method: a cache hit returns the user with zero DB queries, cutting database load by approximately 90 % for authenticated requests.</w:t>
      </w:r>
    </w:p>
    <w:p>
      <w:pPr>
        <w:spacing w:before="240" w:after="80"/>
      </w:pPr>
      <w:r>
        <w:rPr>
          <w:b/>
          <w:color w:val="3B82F6"/>
          <w:sz w:val="26"/>
        </w:rPr>
        <w:t>8.3  Connection Pool &amp; Compression</w:t>
      </w:r>
    </w:p>
    <w:p>
      <w:pPr>
        <w:pStyle w:val="ListBullet"/>
        <w:spacing w:after="40"/>
        <w:ind w:left="432"/>
      </w:pPr>
      <w:r>
        <w:rPr>
          <w:color w:val="4B5563"/>
          <w:sz w:val="20"/>
        </w:rPr>
        <w:t>Prisma pool: connection_limit=20, pool_timeout=10 s — prevents exhaustion under load</w:t>
      </w:r>
    </w:p>
    <w:p>
      <w:pPr>
        <w:pStyle w:val="ListBullet"/>
        <w:spacing w:after="40"/>
        <w:ind w:left="432"/>
      </w:pPr>
      <w:r>
        <w:rPr>
          <w:color w:val="4B5563"/>
          <w:sz w:val="20"/>
        </w:rPr>
        <w:t>Compression middleware added; large inventory responses significantly faster over the network</w:t>
      </w:r>
    </w:p>
    <w:p>
      <w:pPr>
        <w:spacing w:before="360" w:after="120"/>
        <w:pBdr>
          <w:bottom w:val="single" w:sz="6" w:space="1" w:color="1E40AF"/>
        </w:pBdr>
      </w:pPr>
      <w:r>
        <w:rPr>
          <w:b/>
          <w:color w:val="1E40AF"/>
          <w:sz w:val="36"/>
        </w:rPr>
        <w:t>9.  Core Workflows</w:t>
      </w:r>
    </w:p>
    <w:p>
      <w:pPr>
        <w:spacing w:before="240" w:after="80"/>
      </w:pPr>
      <w:r>
        <w:rPr>
          <w:b/>
          <w:color w:val="3B82F6"/>
          <w:sz w:val="26"/>
        </w:rPr>
        <w:t>9.1  Patient Registration</w:t>
      </w:r>
    </w:p>
    <w:p>
      <w:pPr>
        <w:pStyle w:val="ListBullet"/>
        <w:spacing w:after="40"/>
        <w:ind w:left="432"/>
      </w:pPr>
      <w:r>
        <w:rPr>
          <w:color w:val="4B5563"/>
          <w:sz w:val="20"/>
        </w:rPr>
        <w:t>1.  Registration Staff fills patient form</w:t>
      </w:r>
    </w:p>
    <w:p>
      <w:pPr>
        <w:pStyle w:val="ListBullet"/>
        <w:spacing w:after="40"/>
        <w:ind w:left="432"/>
      </w:pPr>
      <w:r>
        <w:rPr>
          <w:color w:val="4B5563"/>
          <w:sz w:val="20"/>
        </w:rPr>
        <w:t>2.  System generates unique R-Number (R-YYYYMMDD-XXXX)</w:t>
      </w:r>
    </w:p>
    <w:p>
      <w:pPr>
        <w:pStyle w:val="ListBullet"/>
        <w:spacing w:after="40"/>
        <w:ind w:left="432"/>
      </w:pPr>
      <w:r>
        <w:rPr>
          <w:color w:val="4B5563"/>
          <w:sz w:val="20"/>
        </w:rPr>
        <w:t>3.  Ward / bed assignment and doctor selection</w:t>
      </w:r>
    </w:p>
    <w:p>
      <w:pPr>
        <w:pStyle w:val="ListBullet"/>
        <w:spacing w:after="40"/>
        <w:ind w:left="432"/>
      </w:pPr>
      <w:r>
        <w:rPr>
          <w:color w:val="4B5563"/>
          <w:sz w:val="20"/>
        </w:rPr>
        <w:t>4.  Record saved; R-Number displayed for staff to note or print</w:t>
      </w:r>
    </w:p>
    <w:p>
      <w:pPr>
        <w:spacing w:before="240" w:after="80"/>
      </w:pPr>
      <w:r>
        <w:rPr>
          <w:b/>
          <w:color w:val="3B82F6"/>
          <w:sz w:val="26"/>
        </w:rPr>
        <w:t>9.2  Prescription-to-Issuance</w:t>
      </w:r>
    </w:p>
    <w:p>
      <w:pPr>
        <w:pStyle w:val="ListBullet"/>
        <w:spacing w:after="40"/>
        <w:ind w:left="432"/>
      </w:pPr>
      <w:r>
        <w:rPr>
          <w:color w:val="4B5563"/>
          <w:sz w:val="20"/>
        </w:rPr>
        <w:t>1.  Doctor searches patient by R-Number and creates e-prescription</w:t>
      </w:r>
    </w:p>
    <w:p>
      <w:pPr>
        <w:pStyle w:val="ListBullet"/>
        <w:spacing w:after="40"/>
        <w:ind w:left="432"/>
      </w:pPr>
      <w:r>
        <w:rPr>
          <w:color w:val="4B5563"/>
          <w:sz w:val="20"/>
        </w:rPr>
        <w:t>2.  Pharmacy staff views pending queue; system auto-allocates FIFO batches</w:t>
      </w:r>
    </w:p>
    <w:p>
      <w:pPr>
        <w:pStyle w:val="ListBullet"/>
        <w:spacing w:after="40"/>
        <w:ind w:left="432"/>
      </w:pPr>
      <w:r>
        <w:rPr>
          <w:color w:val="4B5563"/>
          <w:sz w:val="20"/>
        </w:rPr>
        <w:t>3.  Staff reviews allocation — manual override available with audit trail</w:t>
      </w:r>
    </w:p>
    <w:p>
      <w:pPr>
        <w:pStyle w:val="ListBullet"/>
        <w:spacing w:after="40"/>
        <w:ind w:left="432"/>
      </w:pPr>
      <w:r>
        <w:rPr>
          <w:color w:val="4B5563"/>
          <w:sz w:val="20"/>
        </w:rPr>
        <w:t>4.  Issuance confirmed → stock deducted atomically → receipt generated</w:t>
      </w:r>
    </w:p>
    <w:p>
      <w:pPr>
        <w:spacing w:before="240" w:after="80"/>
      </w:pPr>
      <w:r>
        <w:rPr>
          <w:b/>
          <w:color w:val="3B82F6"/>
          <w:sz w:val="26"/>
        </w:rPr>
        <w:t>9.3  Inter-Pharmacy Transfer</w:t>
      </w:r>
    </w:p>
    <w:p>
      <w:pPr>
        <w:pStyle w:val="ListBullet"/>
        <w:spacing w:after="40"/>
        <w:ind w:left="432"/>
      </w:pPr>
      <w:r>
        <w:rPr>
          <w:color w:val="4B5563"/>
          <w:sz w:val="20"/>
        </w:rPr>
        <w:t>1.  Sub-Pharmacy Manager submits transfer request with medicine quantities</w:t>
      </w:r>
    </w:p>
    <w:p>
      <w:pPr>
        <w:pStyle w:val="ListBullet"/>
        <w:spacing w:after="40"/>
        <w:ind w:left="432"/>
      </w:pPr>
      <w:r>
        <w:rPr>
          <w:color w:val="4B5563"/>
          <w:sz w:val="20"/>
        </w:rPr>
        <w:t>2.  Main Pharmacy Manager reviews and approves with batch selection</w:t>
      </w:r>
    </w:p>
    <w:p>
      <w:pPr>
        <w:pStyle w:val="ListBullet"/>
        <w:spacing w:after="40"/>
        <w:ind w:left="432"/>
      </w:pPr>
      <w:r>
        <w:rPr>
          <w:color w:val="4B5563"/>
          <w:sz w:val="20"/>
        </w:rPr>
        <w:t>3.  Dispatch order created with TransferBatchMapping for traceability</w:t>
      </w:r>
    </w:p>
    <w:p>
      <w:pPr>
        <w:pStyle w:val="ListBullet"/>
        <w:spacing w:after="40"/>
        <w:ind w:left="432"/>
      </w:pPr>
      <w:r>
        <w:rPr>
          <w:color w:val="4B5563"/>
          <w:sz w:val="20"/>
        </w:rPr>
        <w:t>4.  Receiving pharmacy confirms receipt; both stock levels updated atomically</w:t>
      </w:r>
    </w:p>
    <w:p>
      <w:pPr>
        <w:spacing w:before="240" w:after="80"/>
      </w:pPr>
      <w:r>
        <w:rPr>
          <w:b/>
          <w:color w:val="3B82F6"/>
          <w:sz w:val="26"/>
        </w:rPr>
        <w:t>9.4  Offline Operation &amp; Sync</w:t>
      </w:r>
    </w:p>
    <w:p>
      <w:pPr>
        <w:pStyle w:val="ListBullet"/>
        <w:spacing w:after="40"/>
        <w:ind w:left="432"/>
      </w:pPr>
      <w:r>
        <w:rPr>
          <w:color w:val="4B5563"/>
          <w:sz w:val="20"/>
        </w:rPr>
        <w:t>1.  Pharmacy terminal goes offline; SQLite captures all operations</w:t>
      </w:r>
    </w:p>
    <w:p>
      <w:pPr>
        <w:pStyle w:val="ListBullet"/>
        <w:spacing w:after="40"/>
        <w:ind w:left="432"/>
      </w:pPr>
      <w:r>
        <w:rPr>
          <w:color w:val="4B5563"/>
          <w:sz w:val="20"/>
        </w:rPr>
        <w:t>2.  SyncOperation events logged with timestamps and version numbers</w:t>
      </w:r>
    </w:p>
    <w:p>
      <w:pPr>
        <w:pStyle w:val="ListBullet"/>
        <w:spacing w:after="40"/>
        <w:ind w:left="432"/>
      </w:pPr>
      <w:r>
        <w:rPr>
          <w:color w:val="4B5563"/>
          <w:sz w:val="20"/>
        </w:rPr>
        <w:t>3.  Terminal reconnects; incremental delta sync initiated</w:t>
      </w:r>
    </w:p>
    <w:p>
      <w:pPr>
        <w:pStyle w:val="ListBullet"/>
        <w:spacing w:after="40"/>
        <w:ind w:left="432"/>
      </w:pPr>
      <w:r>
        <w:rPr>
          <w:color w:val="4B5563"/>
          <w:sz w:val="20"/>
        </w:rPr>
        <w:t>4.  Conflicts: Last-Write-Wins auto-resolution or manual UI resolution</w:t>
      </w:r>
    </w:p>
    <w:p>
      <w:pPr>
        <w:pStyle w:val="ListBullet"/>
        <w:spacing w:after="40"/>
        <w:ind w:left="432"/>
      </w:pPr>
      <w:r>
        <w:rPr>
          <w:color w:val="4B5563"/>
          <w:sz w:val="20"/>
        </w:rPr>
        <w:t>5.  Cloud PostgreSQL updated</w:t>
      </w:r>
    </w:p>
    <w:p>
      <w:pPr>
        <w:spacing w:before="360" w:after="120"/>
        <w:pBdr>
          <w:bottom w:val="single" w:sz="6" w:space="1" w:color="1E40AF"/>
        </w:pBdr>
      </w:pPr>
      <w:r>
        <w:rPr>
          <w:b/>
          <w:color w:val="1E40AF"/>
          <w:sz w:val="36"/>
        </w:rPr>
        <w:t>10.  Deployment</w:t>
      </w:r>
    </w:p>
    <w:p>
      <w:pPr>
        <w:spacing w:after="80"/>
      </w:pPr>
      <w:r>
        <w:rPr>
          <w:color w:val="4B5563"/>
          <w:sz w:val="20"/>
        </w:rPr>
        <w:t>Full Docker Compose configuration ships with the system, including:</w:t>
      </w:r>
    </w:p>
    <w:p>
      <w:pPr>
        <w:pStyle w:val="ListBullet"/>
        <w:spacing w:after="40"/>
        <w:ind w:left="432"/>
      </w:pPr>
      <w:r>
        <w:rPr>
          <w:color w:val="4B5563"/>
          <w:sz w:val="20"/>
        </w:rPr>
        <w:t>Backend API (NestJS)</w:t>
      </w:r>
    </w:p>
    <w:p>
      <w:pPr>
        <w:pStyle w:val="ListBullet"/>
        <w:spacing w:after="40"/>
        <w:ind w:left="432"/>
      </w:pPr>
      <w:r>
        <w:rPr>
          <w:color w:val="4B5563"/>
          <w:sz w:val="20"/>
        </w:rPr>
        <w:t>Frontend (Next.js)</w:t>
      </w:r>
    </w:p>
    <w:p>
      <w:pPr>
        <w:pStyle w:val="ListBullet"/>
        <w:spacing w:after="40"/>
        <w:ind w:left="432"/>
      </w:pPr>
      <w:r>
        <w:rPr>
          <w:color w:val="4B5563"/>
          <w:sz w:val="20"/>
        </w:rPr>
        <w:t>PostgreSQL</w:t>
      </w:r>
    </w:p>
    <w:p>
      <w:pPr>
        <w:pStyle w:val="ListBullet"/>
        <w:spacing w:after="40"/>
        <w:ind w:left="432"/>
      </w:pPr>
      <w:r>
        <w:rPr>
          <w:color w:val="4B5563"/>
          <w:sz w:val="20"/>
        </w:rPr>
        <w:t>Redis</w:t>
      </w:r>
    </w:p>
    <w:p>
      <w:pPr>
        <w:pStyle w:val="ListBullet"/>
        <w:spacing w:after="40"/>
        <w:ind w:left="432"/>
      </w:pPr>
      <w:r>
        <w:rPr>
          <w:color w:val="4B5563"/>
          <w:sz w:val="20"/>
        </w:rPr>
        <w:t>Nginx reverse proxy</w:t>
      </w:r>
    </w:p>
    <w:p>
      <w:pPr>
        <w:spacing w:after="80"/>
      </w:pPr>
      <w:r>
        <w:rPr>
          <w:color w:val="4B5563"/>
          <w:sz w:val="20"/>
        </w:rPr>
        <w:t>Deployment guides provided for Windows on-premise (hospital servers) and Linux. Kubernetes manifests and Terraform IaC are included for cloud / multi-node deployments.</w:t>
      </w:r>
    </w:p>
    <w:p>
      <w:pPr>
        <w:spacing w:before="360" w:after="120"/>
        <w:pBdr>
          <w:bottom w:val="single" w:sz="6" w:space="1" w:color="1E40AF"/>
        </w:pBdr>
      </w:pPr>
      <w:r>
        <w:rPr>
          <w:b/>
          <w:color w:val="1E40AF"/>
          <w:sz w:val="36"/>
        </w:rPr>
        <w:t>11.  Key Technical Decisions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E40AF"/>
          </w:tcPr>
          <w:p>
            <w:r>
              <w:rPr>
                <w:b/>
                <w:color w:val="FFFFFF"/>
                <w:sz w:val="18"/>
              </w:rPr>
              <w:t>Decision</w:t>
            </w:r>
          </w:p>
        </w:tc>
        <w:tc>
          <w:tcPr>
            <w:tcW w:type="dxa" w:w="6048"/>
            <w:shd w:val="clear" w:color="auto" w:fill="1E40AF"/>
          </w:tcPr>
          <w:p>
            <w:r>
              <w:rPr>
                <w:b/>
                <w:color w:val="FFFFFF"/>
                <w:sz w:val="18"/>
              </w:rPr>
              <w:t>Rationale</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Single-database multi-tenancy</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Lower cost, easier maintenance, enables cross-hospital analytics</w:t>
            </w:r>
          </w:p>
        </w:tc>
      </w:tr>
      <w:tr>
        <w:tc>
          <w:tcPr>
            <w:tcW w:type="dxa" w:w="345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NestJS over Express</w:t>
            </w:r>
          </w:p>
        </w:tc>
        <w:tc>
          <w:tcPr>
            <w:tcW w:type="dxa" w:w="604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Built-in DI, module system, decorators — enterprise-scale TypeScript</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Prisma over TypeORM</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Better type safety, migration UX, and query ergonomics</w:t>
            </w:r>
          </w:p>
        </w:tc>
      </w:tr>
      <w:tr>
        <w:tc>
          <w:tcPr>
            <w:tcW w:type="dxa" w:w="345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Next.js App Router</w:t>
            </w:r>
          </w:p>
        </w:tc>
        <w:tc>
          <w:tcPr>
            <w:tcW w:type="dxa" w:w="604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Nested layouts and route groups map cleanly to role-based dashboards</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Zustand over Redux</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Minimal boilerplate for hospital context and auth state</w:t>
            </w:r>
          </w:p>
        </w:tc>
      </w:tr>
      <w:tr>
        <w:tc>
          <w:tcPr>
            <w:tcW w:type="dxa" w:w="345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SQLite for offline sync</w:t>
            </w:r>
          </w:p>
        </w:tc>
        <w:tc>
          <w:tcPr>
            <w:tcW w:type="dxa" w:w="604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Zero-config embedded DB ideal for single-terminal offline operation</w:t>
            </w:r>
          </w:p>
        </w:tc>
      </w:tr>
      <w:tr>
        <w:tc>
          <w:tcPr>
            <w:tcW w:type="dxa" w:w="3456"/>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Hybrid monolith</w:t>
            </w:r>
          </w:p>
        </w:tc>
        <w:tc>
          <w:tcPr>
            <w:tcW w:type="dxa" w:w="6048"/>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Avoids disrupting pharmacy production; microservices deferred to Phase 4+</w:t>
            </w:r>
          </w:p>
        </w:tc>
      </w:tr>
      <w:tr>
        <w:tc>
          <w:tcPr>
            <w:tcW w:type="dxa" w:w="3456"/>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Argon2 for passwords</w:t>
            </w:r>
          </w:p>
        </w:tc>
        <w:tc>
          <w:tcPr>
            <w:tcW w:type="dxa" w:w="6048"/>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Memory-hard — more resistant to GPU brute-force than bcrypt</w:t>
            </w:r>
          </w:p>
        </w:tc>
      </w:tr>
    </w:tbl>
    <w:p/>
    <w:p>
      <w:pPr>
        <w:spacing w:before="360" w:after="120"/>
        <w:pBdr>
          <w:bottom w:val="single" w:sz="6" w:space="1" w:color="1E40AF"/>
        </w:pBdr>
      </w:pPr>
      <w:r>
        <w:rPr>
          <w:b/>
          <w:color w:val="1E40AF"/>
          <w:sz w:val="36"/>
        </w:rPr>
        <w:t>12.  Project Metrics</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40AF"/>
          </w:tcPr>
          <w:p>
            <w:r>
              <w:rPr>
                <w:b/>
                <w:color w:val="FFFFFF"/>
                <w:sz w:val="18"/>
              </w:rPr>
              <w:t>Metric</w:t>
            </w:r>
          </w:p>
        </w:tc>
        <w:tc>
          <w:tcPr>
            <w:tcW w:type="dxa" w:w="5184"/>
            <w:shd w:val="clear" w:color="auto" w:fill="1E40AF"/>
          </w:tcPr>
          <w:p>
            <w:r>
              <w:rPr>
                <w:b/>
                <w:color w:val="FFFFFF"/>
                <w:sz w:val="18"/>
              </w:rPr>
              <w:t>Value</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Database schema size</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2,380 lines (Prisma schema)</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Database models</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60 domain models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Backend feature modules</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30+ NestJS modules</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Frontend dashboard roles</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14 role-specific dashboard views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Permission count</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60+ fine-grained permissions</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Login latency improvement</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5–6 s  →  &lt; 500 ms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DB query reduction</w:t>
            </w:r>
          </w:p>
        </w:tc>
        <w:tc>
          <w:tcPr>
            <w:tcW w:type="dxa" w:w="5184"/>
            <w:shd w:val="clear" w:color="auto" w:fill="FFFFFF"/>
            <w:tcBorders>
              <w:top w:val="single" w:sz="4" w:space="0" w:color="CCCCCC"/>
              <w:left w:val="single" w:sz="4" w:space="0" w:color="CCCCCC"/>
              <w:bottom w:val="single" w:sz="4" w:space="0" w:color="CCCCCC"/>
              <w:right w:val="single" w:sz="4" w:space="0" w:color="CCCCCC"/>
            </w:tcBorders>
          </w:tcPr>
          <w:p>
            <w:r>
              <w:rPr>
                <w:color w:val="1F2937"/>
                <w:sz w:val="18"/>
              </w:rPr>
              <w:t>~90 % via Redis caching</w:t>
            </w:r>
          </w:p>
        </w:tc>
      </w:tr>
      <w:tr>
        <w:tc>
          <w:tcPr>
            <w:tcW w:type="dxa" w:w="4320"/>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Deployment targets</w:t>
            </w:r>
          </w:p>
        </w:tc>
        <w:tc>
          <w:tcPr>
            <w:tcW w:type="dxa" w:w="5184"/>
            <w:shd w:val="clear" w:color="auto" w:fill="EFF6FF"/>
            <w:tcBorders>
              <w:top w:val="single" w:sz="4" w:space="0" w:color="CCCCCC"/>
              <w:left w:val="single" w:sz="4" w:space="0" w:color="CCCCCC"/>
              <w:bottom w:val="single" w:sz="4" w:space="0" w:color="CCCCCC"/>
              <w:right w:val="single" w:sz="4" w:space="0" w:color="CCCCCC"/>
            </w:tcBorders>
          </w:tcPr>
          <w:p>
            <w:r>
              <w:rPr>
                <w:color w:val="1F2937"/>
                <w:sz w:val="18"/>
              </w:rPr>
              <w:t>Docker on-premise + Kubernetes cloud</w:t>
            </w:r>
          </w:p>
        </w:tc>
      </w:tr>
    </w:tbl>
    <w:p/>
    <w:p>
      <w:pPr>
        <w:spacing w:before="360" w:after="120"/>
        <w:pBdr>
          <w:bottom w:val="single" w:sz="6" w:space="1" w:color="1E40AF"/>
        </w:pBdr>
      </w:pPr>
      <w:r>
        <w:rPr>
          <w:b/>
          <w:color w:val="1E40AF"/>
          <w:sz w:val="36"/>
        </w:rPr>
        <w:t>13.  Conclusion</w:t>
      </w:r>
    </w:p>
    <w:p>
      <w:pPr>
        <w:spacing w:after="80"/>
      </w:pPr>
      <w:r>
        <w:rPr>
          <w:color w:val="4B5563"/>
          <w:sz w:val="20"/>
        </w:rPr>
        <w:t>M-IMS is a production-grade Hospital Information Management System (HIMS) built with a pragmatic, maintainable architecture. The hybrid monolith approach allowed rapid feature development across pharmacy, clinical, HR, and billing domains without sacrificing the reliability of the core hospital operation.</w:t>
      </w:r>
    </w:p>
    <w:p>
      <w:pPr>
        <w:spacing w:after="80"/>
      </w:pPr>
      <w:r>
        <w:rPr>
          <w:color w:val="4B5563"/>
          <w:sz w:val="20"/>
        </w:rPr>
        <w:t>The system's multi-tenant design, offline-first sync, fine-grained RBAC, and enforced FIFO allocation directly address the real operational needs of hospital networks — eliminating manual errors, reducing stock wastage, and providing complete traceability from prescription creation through to medicine issuance and batch-level stock reconciliation.</w:t>
      </w:r>
    </w:p>
    <w:p>
      <w:pPr>
        <w:spacing w:after="80"/>
      </w:pPr>
      <w:r>
        <w:rPr>
          <w:color w:val="4B5563"/>
          <w:sz w:val="20"/>
        </w:rPr>
        <w:t>The architecture provides a strong foundation for the radiology, expanded billing, and telemedicine modules planned in future phases, as well as selective microservice extraction for auth, reporting, and sync services.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