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54"/>
        </w:rPr>
        <w:t>MIZAN AI</w:t>
      </w:r>
    </w:p>
    <w:p>
      <w:pPr>
        <w:jc w:val="center"/>
        <w:bidi w:val="1"/>
      </w:pPr>
      <w:r>
        <w:rPr>
          <w:b/>
          <w:sz w:val="34"/>
        </w:rPr>
        <w:t>المرجع الرئيسي للمنتج والتشغيل والذكاء والحوكمة والتنفيذ</w:t>
      </w:r>
    </w:p>
    <w:p>
      <w:pPr>
        <w:jc w:val="center"/>
        <w:bidi w:val="1"/>
      </w:pPr>
      <w:r>
        <w:rPr>
          <w:sz w:val="26"/>
        </w:rPr>
        <w:t>Master Product Reference v1.0</w:t>
      </w:r>
    </w:p>
    <w:p>
      <w:pPr>
        <w:jc w:val="center"/>
        <w:bidi w:val="1"/>
      </w:pPr>
      <w:r>
        <w:rPr>
          <w:i/>
        </w:rPr>
        <w:t>مرجع جاهز للاستخدام في بناء المنتج والتحقق منه — حتى 3 أكتوبر 2026</w:t>
      </w:r>
    </w:p>
    <w:p>
      <w:pPr>
        <w:bidi w:val="1"/>
      </w:pPr>
      <w:r>
        <w:rPr>
          <w:b/>
        </w:rPr>
        <w:t xml:space="preserve">وضع المرجع: </w:t>
      </w:r>
      <w:r>
        <w:t>مرجع منتج/أعمال؛ لا يفرض بنية تقنية بعينها. يجب على وكيل البناء اكتشاف التنفيذ الحالي قبل تعديله.</w:t>
      </w:r>
    </w:p>
    <w:p>
      <w:pPr>
        <w:bidi w:val="1"/>
      </w:pPr>
      <w:r>
        <w:rPr>
          <w:b/>
        </w:rPr>
        <w:t xml:space="preserve">مبدأ مركزي: </w:t>
      </w:r>
      <w:r>
        <w:t>الواقع → الحدث → الدليل → البيانات → التحقق → النتيجة → الحالة → القرار/الإجراء → الأثر → التاريخ/الفترة → الاستمرارية.</w:t>
      </w:r>
    </w:p>
    <w:p>
      <w:r>
        <w:br w:type="page"/>
      </w:r>
    </w:p>
    <w:p>
      <w:pPr>
        <w:pStyle w:val="Heading1"/>
        <w:bidi w:val="1"/>
      </w:pPr>
      <w:r>
        <w:t>خريطة المرجع</w:t>
      </w:r>
    </w:p>
    <w:p>
      <w:pPr>
        <w:bidi w:val="1"/>
      </w:pPr>
      <w:r>
        <w:rPr>
          <w:b/>
        </w:rPr>
        <w:t>يتكون المرجع من 15 أساسًا مترابطًا.</w:t>
      </w:r>
    </w:p>
    <w:p>
      <w:pPr>
        <w:pStyle w:val="ListNumber"/>
        <w:bidi w:val="1"/>
      </w:pPr>
      <w:r>
        <w:rPr>
          <w:b/>
        </w:rPr>
        <w:t xml:space="preserve">تعريف المشكلة والحل: </w:t>
      </w:r>
      <w:r>
        <w:t>تثبيت لماذا توجد MIZAN وما النتيجة التي يجب أن تحققها قبل أي قرار تقني.</w:t>
      </w:r>
    </w:p>
    <w:p>
      <w:pPr>
        <w:pStyle w:val="ListNumber"/>
        <w:bidi w:val="1"/>
      </w:pPr>
      <w:r>
        <w:rPr>
          <w:b/>
        </w:rPr>
        <w:t xml:space="preserve">النموذج التشغيلي: </w:t>
      </w:r>
      <w:r>
        <w:t>وصف MIZAN كحلقة تشغيل مستمرة من الواقع إلى النتيجة، دون تحويلها إلى سلسلة شاشات أو وظائف معزولة.</w:t>
      </w:r>
    </w:p>
    <w:p>
      <w:pPr>
        <w:pStyle w:val="ListNumber"/>
        <w:bidi w:val="1"/>
      </w:pPr>
      <w:r>
        <w:rPr>
          <w:b/>
        </w:rPr>
        <w:t xml:space="preserve">السيناريوهات الشاملة: </w:t>
      </w:r>
      <w:r>
        <w:t>التأكد من أن التصميم يغطي الواقع المتنوع لا حالة استخدام واحدة فقط.</w:t>
      </w:r>
    </w:p>
    <w:p>
      <w:pPr>
        <w:pStyle w:val="ListNumber"/>
        <w:bidi w:val="1"/>
      </w:pPr>
      <w:r>
        <w:rPr>
          <w:b/>
        </w:rPr>
        <w:t xml:space="preserve">إطار مواصفة سير العمل: </w:t>
      </w:r>
      <w:r>
        <w:t>إعطاء كل عملية صيغة موحدة قابلة للتنفيذ والاختبار دون فرض أسماء تقنية.</w:t>
      </w:r>
    </w:p>
    <w:p>
      <w:pPr>
        <w:pStyle w:val="ListNumber"/>
        <w:bidi w:val="1"/>
      </w:pPr>
      <w:r>
        <w:rPr>
          <w:b/>
        </w:rPr>
        <w:t xml:space="preserve">مواصفة دورة التشغيل الكاملة: </w:t>
      </w:r>
      <w:r>
        <w:t>توحيد مفهوم التشغيل والفترات والإغلاق والترحيل ومنع استخدام الفترة كحاجز للتحديث.</w:t>
      </w:r>
    </w:p>
    <w:p>
      <w:pPr>
        <w:pStyle w:val="ListNumber"/>
        <w:bidi w:val="1"/>
      </w:pPr>
      <w:r>
        <w:rPr>
          <w:b/>
        </w:rPr>
        <w:t xml:space="preserve">نموذج المعلومات والبيانات المرجعي: </w:t>
      </w:r>
      <w:r>
        <w:t>تحديد ما يجب أن يعرفه MIZAN عن الواقع قبل ترجمة ذلك إلى بنية بيانات.</w:t>
      </w:r>
    </w:p>
    <w:p>
      <w:pPr>
        <w:pStyle w:val="ListNumber"/>
        <w:bidi w:val="1"/>
      </w:pPr>
      <w:r>
        <w:rPr>
          <w:b/>
        </w:rPr>
        <w:t xml:space="preserve">نموذج الذكاء والأتمتة: </w:t>
      </w:r>
      <w:r>
        <w:t>تحويل الذكاء الاصطناعي من ميزة منفصلة إلى طبقة قيمة آمنة ومضبوطة داخل دورة العمل.</w:t>
      </w:r>
    </w:p>
    <w:p>
      <w:pPr>
        <w:pStyle w:val="ListNumber"/>
        <w:bidi w:val="1"/>
      </w:pPr>
      <w:r>
        <w:rPr>
          <w:b/>
        </w:rPr>
        <w:t xml:space="preserve">نموذج الحوكمة والمسؤولية: </w:t>
      </w:r>
      <w:r>
        <w:t>ضمان أن البيانات والقرارات والتغييرات لها أصحاب مسؤولية واضحون وأن الصلاحيات لا تتجاوز الحاجة.</w:t>
      </w:r>
    </w:p>
    <w:p>
      <w:pPr>
        <w:pStyle w:val="ListNumber"/>
        <w:bidi w:val="1"/>
      </w:pPr>
      <w:r>
        <w:rPr>
          <w:b/>
        </w:rPr>
        <w:t xml:space="preserve">نموذج تجربة المستخدم والتفاعل: </w:t>
      </w:r>
      <w:r>
        <w:t>جعل النظام قابلًا للاستخدام فعلًا في الميدان والإدارة اليمنية، لا مجرد واجهة صحيحة تقنيًا.</w:t>
      </w:r>
    </w:p>
    <w:p>
      <w:pPr>
        <w:pStyle w:val="ListNumber"/>
        <w:bidi w:val="1"/>
      </w:pPr>
      <w:r>
        <w:rPr>
          <w:b/>
        </w:rPr>
        <w:t xml:space="preserve">نموذج الأداء والاستدامة: </w:t>
      </w:r>
      <w:r>
        <w:t>ضمان أن MIZAN يعمل بكفاءة في الظروف اليمنية ويستمر بعد المشروع التجريبي.</w:t>
      </w:r>
    </w:p>
    <w:p>
      <w:pPr>
        <w:pStyle w:val="ListNumber"/>
        <w:bidi w:val="1"/>
      </w:pPr>
      <w:r>
        <w:rPr>
          <w:b/>
        </w:rPr>
        <w:t xml:space="preserve">نموذج التقارير والتحليل ودعم القرار: </w:t>
      </w:r>
      <w:r>
        <w:t>تحويل البيانات إلى معرفة قابلة للاستخدام بدل زيادة عدد لوحات المؤشرات.</w:t>
      </w:r>
    </w:p>
    <w:p>
      <w:pPr>
        <w:pStyle w:val="ListNumber"/>
        <w:bidi w:val="1"/>
      </w:pPr>
      <w:r>
        <w:rPr>
          <w:b/>
        </w:rPr>
        <w:t xml:space="preserve">المبادئ الحاكمة لـ MIZAN: </w:t>
      </w:r>
      <w:r>
        <w:t>إنشاء حواجز تمنع انحراف المنتج أثناء البناء والتوسع.</w:t>
      </w:r>
    </w:p>
    <w:p>
      <w:pPr>
        <w:pStyle w:val="ListNumber"/>
        <w:bidi w:val="1"/>
      </w:pPr>
      <w:r>
        <w:rPr>
          <w:b/>
        </w:rPr>
        <w:t xml:space="preserve">خريطة القدرات المرجعية: </w:t>
      </w:r>
      <w:r>
        <w:t>تحديد ما يجب أن تستطيع MIZAN فعله دون تحويل القدرات إلى وحدات برمجية مسبقة.</w:t>
      </w:r>
    </w:p>
    <w:p>
      <w:pPr>
        <w:pStyle w:val="ListNumber"/>
        <w:bidi w:val="1"/>
      </w:pPr>
      <w:r>
        <w:rPr>
          <w:b/>
        </w:rPr>
        <w:t xml:space="preserve">المتطلبات المرجعية القابلة للتحقق: </w:t>
      </w:r>
      <w:r>
        <w:t>تحويل الفلسفة إلى متطلبات تستطيع فرق البناء والاختبار والحوكمة إثباتها.</w:t>
      </w:r>
    </w:p>
    <w:p>
      <w:pPr>
        <w:pStyle w:val="ListNumber"/>
        <w:bidi w:val="1"/>
      </w:pPr>
      <w:r>
        <w:rPr>
          <w:b/>
        </w:rPr>
        <w:t xml:space="preserve">المواصفة النهائية للمنتج وحزمة بدء العمل: </w:t>
      </w:r>
      <w:r>
        <w:t>تقديم مرجع مكتمل يستطيع وكيل البناء الاعتماد عليه، مع اكتشاف النظام الحالي وتنفيذ الإصلاحات والتحسينات بصورة آمنة ومثبتة.</w:t>
      </w:r>
    </w:p>
    <w:p>
      <w:r>
        <w:br w:type="page"/>
      </w:r>
    </w:p>
    <w:p>
      <w:pPr>
        <w:pStyle w:val="Heading1"/>
        <w:bidi w:val="1"/>
      </w:pPr>
      <w:r>
        <w:t>1. تعريف المشكلة والحل</w:t>
      </w:r>
    </w:p>
    <w:p>
      <w:pPr>
        <w:bidi w:val="1"/>
      </w:pPr>
      <w:r>
        <w:rPr>
          <w:b/>
        </w:rPr>
        <w:t xml:space="preserve">هدف الخطوة: </w:t>
      </w:r>
      <w:r>
        <w:t>تثبيت لماذا توجد MIZAN وما النتيجة التي يجب أن تحققها قبل أي قرار تقني.</w:t>
      </w:r>
    </w:p>
    <w:p>
      <w:pPr>
        <w:pStyle w:val="Heading2"/>
        <w:bidi w:val="1"/>
      </w:pPr>
      <w:r>
        <w:t>المشكلة المركزية</w:t>
      </w:r>
    </w:p>
    <w:p>
      <w:pPr>
        <w:pStyle w:val="ListBullet"/>
        <w:bidi w:val="1"/>
      </w:pPr>
      <w:r>
        <w:t>المشكلة ليست نقص المياه وحده، بل تجزؤ دورة المعلومات المرتبطة بخدمة المياه: الملاحظة في الميدان، الالتقاط، النقل، الإدخال، المراجعة، الحساب، التقرير، التحليل، ثم القرار.</w:t>
      </w:r>
    </w:p>
    <w:p>
      <w:pPr>
        <w:pStyle w:val="ListBullet"/>
        <w:bidi w:val="1"/>
      </w:pPr>
      <w:r>
        <w:t>كلما انقطعت السلسلة زادت احتمالات التأخر والخطأ وتكرار الإدخال وفقدان السياق وعدم اتساق الأرقام بين التشغيل والإدارة.</w:t>
      </w:r>
    </w:p>
    <w:p>
      <w:pPr>
        <w:pStyle w:val="ListBullet"/>
        <w:bidi w:val="1"/>
      </w:pPr>
      <w:r>
        <w:t>لذلك تُقاس قيمة MIZAN بقدرتها على تقليل الفجوة بين الواقع الميداني والمعلومة والقرار والفعل والنتيجة.</w:t>
      </w:r>
    </w:p>
    <w:p>
      <w:pPr>
        <w:pStyle w:val="Heading2"/>
        <w:bidi w:val="1"/>
      </w:pPr>
      <w:r>
        <w:t>تعريف الحل</w:t>
      </w:r>
    </w:p>
    <w:p>
      <w:pPr>
        <w:pStyle w:val="ListBullet"/>
        <w:bidi w:val="1"/>
      </w:pPr>
      <w:r>
        <w:t>MIZAN طبقة تشغيل وذكاء للمشاريع المائية: تربط واقع المشروع بالبيانات والأدلة والنتائج والحالات والقرارات والإجراءات، وتحوّل البيانات المتفرقة إلى تشغيل أوضح وقرارات أفضل قابلة للتتبع.</w:t>
      </w:r>
    </w:p>
    <w:p>
      <w:pPr>
        <w:pStyle w:val="ListBullet"/>
        <w:bidi w:val="1"/>
      </w:pPr>
      <w:r>
        <w:t>هي ليست ERP عامًا، وليست مجرد نظام تقارير، وليست مساعد محادثة منفصلًا عن البيانات.</w:t>
      </w:r>
    </w:p>
    <w:p>
      <w:pPr>
        <w:pStyle w:val="ListBullet"/>
        <w:bidi w:val="1"/>
      </w:pPr>
      <w:r>
        <w:t>القيمة الأساسية هي أن تصبح المعلومة جزءًا من التشغيل نفسه بدل أن تكون منتجًا متأخرًا بعد انتهاء العمل.</w:t>
      </w:r>
    </w:p>
    <w:p>
      <w:pPr>
        <w:pStyle w:val="Heading2"/>
        <w:bidi w:val="1"/>
      </w:pPr>
      <w:r>
        <w:t>الهدف العالمي والسياق اليمني</w:t>
      </w:r>
    </w:p>
    <w:p>
      <w:pPr>
        <w:pStyle w:val="ListBullet"/>
        <w:bidi w:val="1"/>
      </w:pPr>
      <w:r>
        <w:t>يتوافق التوجه مع انتقال قطاع المياه عالميًا نحو رقمنة سير العمل، دمج البيانات، العدادات الذكية، الفوترة الإلكترونية، الصيانة التنبؤية، اكتشاف الحالات غير الطبيعية والأمن السيبراني ضمن التشغيل اليومي. World Bank Digital Water يعرض هذه العناصر كمسارات للرقمنة تختلف حسب جاهزية كل مرفق وسياقه. [1][2]</w:t>
      </w:r>
    </w:p>
    <w:p>
      <w:pPr>
        <w:pStyle w:val="ListBullet"/>
        <w:bidi w:val="1"/>
      </w:pPr>
      <w:r>
        <w:t>في اليمن يجب أن تكون الرقمنة متكيفة مع انقطاعات الكهرباء والاتصال، المواقع الريفية، محدودية المهارات الرقمية، الاعتماد المتزايد على الأنظمة الشمسية للمياه، والحاجة إلى إدارة مجتمعية ومحلية مستدامة. توثق UNDP وUNICEF هذه القيود والحلول الشمسية وإدارة المشاريع المائية في اليمن، بما فيها تعز. [3][4][5]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2. النموذج التشغيلي</w:t>
      </w:r>
    </w:p>
    <w:p>
      <w:pPr>
        <w:bidi w:val="1"/>
      </w:pPr>
      <w:r>
        <w:rPr>
          <w:b/>
        </w:rPr>
        <w:t xml:space="preserve">هدف الخطوة: </w:t>
      </w:r>
      <w:r>
        <w:t>وصف MIZAN كحلقة تشغيل مستمرة من الواقع إلى النتيجة، دون تحويلها إلى سلسلة شاشات أو وظائف معزولة.</w:t>
      </w:r>
    </w:p>
    <w:p>
      <w:pPr>
        <w:pStyle w:val="Heading2"/>
        <w:bidi w:val="1"/>
      </w:pPr>
      <w:r>
        <w:t>الحلقة المرجعية</w:t>
      </w:r>
    </w:p>
    <w:p>
      <w:pPr>
        <w:pStyle w:val="ListBullet"/>
        <w:bidi w:val="1"/>
      </w:pPr>
      <w:r>
        <w:t>الواقع → الحدث → الالتقاط → التحقق → السياق → الحساب/الفهم → التقييم → الأتمتة أو المراجعة → القرار → الإجراء → قياس النتيجة → تحديث الحالة → التعلم.</w:t>
      </w:r>
    </w:p>
    <w:p>
      <w:pPr>
        <w:pStyle w:val="Heading2"/>
        <w:bidi w:val="1"/>
      </w:pPr>
      <w:r>
        <w:t>التشغيل الحي</w:t>
      </w:r>
    </w:p>
    <w:p>
      <w:pPr>
        <w:pStyle w:val="ListBullet"/>
        <w:bidi w:val="1"/>
      </w:pPr>
      <w:r>
        <w:t>التشغيل لا ينتظر نهاية الفترة. كل معلومة موثوقة تُدخل في النتائج والحالة الحالية في الوقت المناسب، بينما تُستخدم الفترات التشغيلية لتجميع وتثبيت النتائج التاريخية والمقارنة.</w:t>
      </w:r>
    </w:p>
    <w:p>
      <w:pPr>
        <w:pStyle w:val="Heading2"/>
        <w:bidi w:val="1"/>
      </w:pPr>
      <w:r>
        <w:t>المبدأ المائي</w:t>
      </w:r>
    </w:p>
    <w:p>
      <w:pPr>
        <w:pStyle w:val="ListBullet"/>
        <w:bidi w:val="1"/>
      </w:pPr>
      <w:r>
        <w:t>يجب أن يستطيع النموذج فهم الماء من المصدر والإنتاج والحركة والتخزين والتوزيع والاستخدام والقياس والخدمة، مع مراعاة جودة المياه والمخاطر الصحية عندما تكون ضمن نطاق المشروع. WHO 2024 يوصي للمصادر الصغيرة بإدارة المخاطر بصورة استباقية، وخطط سلامة المياه، والتفتيش الصحي، والتحسين التدريجي. [6][7]</w:t>
      </w:r>
    </w:p>
    <w:p>
      <w:pPr>
        <w:pStyle w:val="Heading2"/>
        <w:bidi w:val="1"/>
      </w:pPr>
      <w:r>
        <w:t>المبدأ الإداري</w:t>
      </w:r>
    </w:p>
    <w:p>
      <w:pPr>
        <w:pStyle w:val="ListBullet"/>
        <w:bidi w:val="1"/>
      </w:pPr>
      <w:r>
        <w:t>المستوى الأعلى يرى الصورة المجمعة حسب الصلاحية، ويستطيع عند الحاجة تتبعها إلى المشروع ثم الحدث والدليل، بينما يستطيع القرار أن يعود إلى المشروع ويصبح له أثر قابل للقياس.</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3. السيناريوهات الشاملة</w:t>
      </w:r>
    </w:p>
    <w:p>
      <w:pPr>
        <w:bidi w:val="1"/>
      </w:pPr>
      <w:r>
        <w:rPr>
          <w:b/>
        </w:rPr>
        <w:t xml:space="preserve">هدف الخطوة: </w:t>
      </w:r>
      <w:r>
        <w:t>التأكد من أن التصميم يغطي الواقع المتنوع لا حالة استخدام واحدة فقط.</w:t>
      </w:r>
    </w:p>
    <w:p>
      <w:pPr>
        <w:pStyle w:val="Heading2"/>
        <w:bidi w:val="1"/>
      </w:pPr>
      <w:r>
        <w:t>السيناريوهات الأساسية</w:t>
      </w:r>
    </w:p>
    <w:p>
      <w:pPr>
        <w:pStyle w:val="ListBullet"/>
        <w:bidi w:val="1"/>
      </w:pPr>
      <w:r>
        <w:t>دخول مشروع قائم: تثبيت الواقع المعروف وإنشاء خط أساس ثم بدء المتابعة.</w:t>
      </w:r>
    </w:p>
    <w:p>
      <w:pPr>
        <w:pStyle w:val="ListBullet"/>
        <w:bidi w:val="1"/>
      </w:pPr>
      <w:r>
        <w:t>مشروع جديد: الاحتياج والتطوير والتجهيز والجاهزية ثم التشغيل.</w:t>
      </w:r>
    </w:p>
    <w:p>
      <w:pPr>
        <w:pStyle w:val="ListBullet"/>
        <w:bidi w:val="1"/>
      </w:pPr>
      <w:r>
        <w:t>تشغيل مستمر: كل حدث موثوق يغيّر الحالة والنتائج المناسبة.</w:t>
      </w:r>
    </w:p>
    <w:p>
      <w:pPr>
        <w:pStyle w:val="ListBullet"/>
        <w:bidi w:val="1"/>
      </w:pPr>
      <w:r>
        <w:t>حدث ميداني مع دليل: الدليل → استخراج/قراءة → تحقق → نتيجة.</w:t>
      </w:r>
    </w:p>
    <w:p>
      <w:pPr>
        <w:pStyle w:val="ListBullet"/>
        <w:bidi w:val="1"/>
      </w:pPr>
      <w:r>
        <w:t>حالة غير طبيعية: اكتشاف → تفسير → تحديد أهمية → مراجعة/إجراء → نتيجة.</w:t>
      </w:r>
    </w:p>
    <w:p>
      <w:pPr>
        <w:pStyle w:val="ListBullet"/>
        <w:bidi w:val="1"/>
      </w:pPr>
      <w:r>
        <w:t>التشغيل والصيانة: حالة → فهم تاريخها → إجراء → نتيجة → حالة جديدة.</w:t>
      </w:r>
    </w:p>
    <w:p>
      <w:pPr>
        <w:pStyle w:val="ListBullet"/>
        <w:bidi w:val="1"/>
      </w:pPr>
      <w:r>
        <w:t>الخدمة والتحصيل: خدمة/استخدام → استحقاق → سداد → رصيد.</w:t>
      </w:r>
    </w:p>
    <w:p>
      <w:pPr>
        <w:pStyle w:val="ListBullet"/>
        <w:bidi w:val="1"/>
      </w:pPr>
      <w:r>
        <w:t>الدورة الزمنية: افتتاح → تشغيل حي → إغلاق → تثبيت النتائج → ترحيل الحالات المستمرة → بداية الفترة التالية.</w:t>
      </w:r>
    </w:p>
    <w:p>
      <w:pPr>
        <w:pStyle w:val="ListBullet"/>
        <w:bidi w:val="1"/>
      </w:pPr>
      <w:r>
        <w:t>العمل دون اتصال: التقاط محلي آمن → حفظ → مزامنة → تحقق من التعارض → اعتماد.</w:t>
      </w:r>
    </w:p>
    <w:p>
      <w:pPr>
        <w:pStyle w:val="ListBullet"/>
        <w:bidi w:val="1"/>
      </w:pPr>
      <w:r>
        <w:t>الرؤية متعددة المشاريع: معلومات المشاريع → صورة مجمعة → حالات مهمة → نزول إلى المصدر.</w:t>
      </w:r>
    </w:p>
    <w:p>
      <w:pPr>
        <w:pStyle w:val="Heading2"/>
        <w:bidi w:val="1"/>
      </w:pPr>
      <w:r>
        <w:t>قاعدة التغطية</w:t>
      </w:r>
    </w:p>
    <w:p>
      <w:pPr>
        <w:pStyle w:val="ListBullet"/>
        <w:bidi w:val="1"/>
      </w:pPr>
      <w:r>
        <w:t>كل سيناريو يجب أن يثبت ليس فقط النجاح في الخطوة الحالية، بل انتقال الأثر إلى النتيجة والحالة والتقارير والقرار والفترة التالية حيث ينطبق ذلك.</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4. إطار مواصفة سير العمل</w:t>
      </w:r>
    </w:p>
    <w:p>
      <w:pPr>
        <w:bidi w:val="1"/>
      </w:pPr>
      <w:r>
        <w:rPr>
          <w:b/>
        </w:rPr>
        <w:t xml:space="preserve">هدف الخطوة: </w:t>
      </w:r>
      <w:r>
        <w:t>إعطاء كل عملية صيغة موحدة قابلة للتنفيذ والاختبار دون فرض أسماء تقنية.</w:t>
      </w:r>
    </w:p>
    <w:p>
      <w:pPr>
        <w:pStyle w:val="Heading2"/>
        <w:bidi w:val="1"/>
      </w:pPr>
      <w:r>
        <w:t>القالب الإلزامي</w:t>
      </w:r>
    </w:p>
    <w:p>
      <w:pPr>
        <w:pStyle w:val="ListBullet"/>
        <w:bidi w:val="1"/>
      </w:pPr>
      <w:r>
        <w:t>الغرض والمشكلة؛ نقطة البداية؛ السياق؛ الأطراف والمسؤوليات؛ المدخلات والأدلة؛ المعالجة؛ التحقق؛ نقاط القرار؛ الأتمتة والذكاء؛ الإجراء البشري؛ النتيجة؛ تغير الحالة؛ انتشار المعلومة حسب الصلاحيات؛ الاستثناءات؛ العلاقة بالفترة التشغيلية؛ الأثر التاريخي؛ معايير القبول.</w:t>
      </w:r>
    </w:p>
    <w:p>
      <w:pPr>
        <w:pStyle w:val="Heading2"/>
        <w:bidi w:val="1"/>
      </w:pPr>
      <w:r>
        <w:t>معيار الحكم</w:t>
      </w:r>
    </w:p>
    <w:p>
      <w:pPr>
        <w:pStyle w:val="ListBullet"/>
        <w:bidi w:val="1"/>
      </w:pPr>
      <w:r>
        <w:t>إذا نجحت واجهة أو API لكن انقطعت السلسلة الواقعية أو لم تتغير الحالة أو لم تظهر النتيجة الصحيحة أو فقد الدليل، فلا يُعتبر سير العمل مكتملًا.</w:t>
      </w:r>
    </w:p>
    <w:p>
      <w:pPr>
        <w:pStyle w:val="Heading2"/>
        <w:bidi w:val="1"/>
      </w:pPr>
      <w:r>
        <w:t>التصميم بدون افتراض التقنية</w:t>
      </w:r>
    </w:p>
    <w:p>
      <w:pPr>
        <w:pStyle w:val="ListBullet"/>
        <w:bidi w:val="1"/>
      </w:pPr>
      <w:r>
        <w:t>مرجع العمل يصف السلوك المطلوب. وكيل البناء يكتشف التنفيذ الحالي ويحدد نقطة التغيير الأنسب. لا يجوز للمرجع اختراع صفحة أو جدول أو دالة لمجرد أنها قد تكون طريقة مناسبة للتنفيذ.</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5. مواصفة دورة التشغيل الكاملة</w:t>
      </w:r>
    </w:p>
    <w:p>
      <w:pPr>
        <w:bidi w:val="1"/>
      </w:pPr>
      <w:r>
        <w:rPr>
          <w:b/>
        </w:rPr>
        <w:t xml:space="preserve">هدف الخطوة: </w:t>
      </w:r>
      <w:r>
        <w:t>توحيد مفهوم التشغيل والفترات والإغلاق والترحيل ومنع استخدام الفترة كحاجز للتحديث.</w:t>
      </w:r>
    </w:p>
    <w:p>
      <w:pPr>
        <w:pStyle w:val="Heading2"/>
        <w:bidi w:val="1"/>
      </w:pPr>
      <w:r>
        <w:t>الحالة الافتتاحية</w:t>
      </w:r>
    </w:p>
    <w:p>
      <w:pPr>
        <w:pStyle w:val="ListBullet"/>
        <w:bidi w:val="1"/>
      </w:pPr>
      <w:r>
        <w:t>يجب أن تكون نقطة البداية معروفة المصدر، وتشمل فقط ما يستمر ويؤثر على التشغيل: الوضع التشغيلي، الكميات المستمرة، الأرصدة المستمرة، الحالات المفتوحة، وحالة الأصول ذات العلاقة.</w:t>
      </w:r>
    </w:p>
    <w:p>
      <w:pPr>
        <w:pStyle w:val="Heading2"/>
        <w:bidi w:val="1"/>
      </w:pPr>
      <w:r>
        <w:t>أثناء الدورة</w:t>
      </w:r>
    </w:p>
    <w:p>
      <w:pPr>
        <w:pStyle w:val="ListBullet"/>
        <w:bidi w:val="1"/>
      </w:pPr>
      <w:r>
        <w:t>الأحداث والقياسات والاستحقاقات والتحصيل والصيانة وغيرها تحدث بصورة مستمرة. النتائج القابلة للحساب تُحدَّث أثناء الدورة ولا تؤجل إلى نهايتها.</w:t>
      </w:r>
    </w:p>
    <w:p>
      <w:pPr>
        <w:pStyle w:val="Heading2"/>
        <w:bidi w:val="1"/>
      </w:pPr>
      <w:r>
        <w:t>الإغلاق</w:t>
      </w:r>
    </w:p>
    <w:p>
      <w:pPr>
        <w:pStyle w:val="ListBullet"/>
        <w:bidi w:val="1"/>
      </w:pPr>
      <w:r>
        <w:t>الإغلاق يثبت نتيجة تاريخية للفترة بعد استيفاء شروطها؛ لا يعني أن المشروع توقف أو أن كل معلومة أصبحت نهائية إلى الأبد.</w:t>
      </w:r>
    </w:p>
    <w:p>
      <w:pPr>
        <w:pStyle w:val="Heading2"/>
        <w:bidi w:val="1"/>
      </w:pPr>
      <w:r>
        <w:t>الترحيل</w:t>
      </w:r>
    </w:p>
    <w:p>
      <w:pPr>
        <w:pStyle w:val="ListBullet"/>
        <w:bidi w:val="1"/>
      </w:pPr>
      <w:r>
        <w:t>ما ينتهي يبقى تاريخًا؛ ما يستمر يصبح حالة افتتاحية للفترة التالية؛ ما يحتاج متابعة يبقى مفتوحًا؛ وما لا يمثل حالة مستمرة لا يُرحّل.</w:t>
      </w:r>
    </w:p>
    <w:p>
      <w:pPr>
        <w:pStyle w:val="Heading2"/>
        <w:bidi w:val="1"/>
      </w:pPr>
      <w:r>
        <w:t>الفصل المحاسبي</w:t>
      </w:r>
    </w:p>
    <w:p>
      <w:pPr>
        <w:pStyle w:val="ListBullet"/>
        <w:bidi w:val="1"/>
      </w:pPr>
      <w:r>
        <w:t>المحاسبة التشغيلية للمياه واستخدامها منفصلة مفاهيميًا عن المحاسبة المالية، مع روابط محددة عندما تنتج العملية التشغيلية أثرًا ماليًا.</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6. نموذج المعلومات والبيانات المرجعي</w:t>
      </w:r>
    </w:p>
    <w:p>
      <w:pPr>
        <w:bidi w:val="1"/>
      </w:pPr>
      <w:r>
        <w:rPr>
          <w:b/>
        </w:rPr>
        <w:t xml:space="preserve">هدف الخطوة: </w:t>
      </w:r>
      <w:r>
        <w:t>تحديد ما يجب أن يعرفه MIZAN عن الواقع قبل ترجمة ذلك إلى بنية بيانات.</w:t>
      </w:r>
    </w:p>
    <w:p>
      <w:pPr>
        <w:pStyle w:val="Heading2"/>
        <w:bidi w:val="1"/>
      </w:pPr>
      <w:r>
        <w:t>طبقات المعرفة</w:t>
      </w:r>
    </w:p>
    <w:p>
      <w:pPr>
        <w:pStyle w:val="ListBullet"/>
        <w:bidi w:val="1"/>
      </w:pPr>
      <w:r>
        <w:t>السياق؛ الكيان/الشيء؛ الحدث؛ القياس؛ الدليل؛ البيانات المستخرجة؛ التحقق؛ النتيجة؛ الحالة الحالية؛ القرار؛ الإجراء؛ الأثر.</w:t>
      </w:r>
    </w:p>
    <w:p>
      <w:pPr>
        <w:pStyle w:val="Heading2"/>
        <w:bidi w:val="1"/>
      </w:pPr>
      <w:r>
        <w:t>المشروع والأصل والمستفيد</w:t>
      </w:r>
    </w:p>
    <w:p>
      <w:pPr>
        <w:pStyle w:val="ListBullet"/>
        <w:bidi w:val="1"/>
      </w:pPr>
      <w:r>
        <w:t>المشروع محور التجميع التشغيلي، والأصول تمثل ما يؤثر في تقديم الخدمة، والمستفيد يمثل العلاقة مع الخدمة. لكل منها هوية وسياق وحالة وتاريخ مناسب.</w:t>
      </w:r>
    </w:p>
    <w:p>
      <w:pPr>
        <w:pStyle w:val="Heading2"/>
        <w:bidi w:val="1"/>
      </w:pPr>
      <w:r>
        <w:t>القياس وهوية وسيلة القياس</w:t>
      </w:r>
    </w:p>
    <w:p>
      <w:pPr>
        <w:pStyle w:val="ListBullet"/>
        <w:bidi w:val="1"/>
      </w:pPr>
      <w:r>
        <w:t>يجب فصل هوية أداة القياس عن القراءة. عند اعتماد صورة ميدانية يجب أن يكون التحقق من الهوية سابقًا لاعتماد القراءة عندما تكون الهوية مؤثرة في صحة النتيجة.</w:t>
      </w:r>
    </w:p>
    <w:p>
      <w:pPr>
        <w:pStyle w:val="Heading2"/>
        <w:bidi w:val="1"/>
      </w:pPr>
      <w:r>
        <w:t>الزمن</w:t>
      </w:r>
    </w:p>
    <w:p>
      <w:pPr>
        <w:pStyle w:val="ListBullet"/>
        <w:bidi w:val="1"/>
      </w:pPr>
      <w:r>
        <w:t>تمييز وقت حدوث الشيء عن وقت تسجيله والتحقق منه واعتماده عند اختلافها، وهو أساسي في بيئة العمل دون اتصال أو التسجيل المتأخر.</w:t>
      </w:r>
    </w:p>
    <w:p>
      <w:pPr>
        <w:pStyle w:val="Heading2"/>
        <w:bidi w:val="1"/>
      </w:pPr>
      <w:r>
        <w:t>المصدر الواحد للحقيقة</w:t>
      </w:r>
    </w:p>
    <w:p>
      <w:pPr>
        <w:pStyle w:val="ListBullet"/>
        <w:bidi w:val="1"/>
      </w:pPr>
      <w:r>
        <w:t>الحقيقة الواحدة تُدخل مرة وتُستخدم في النتائج المتعددة. لا تُنشأ نسخ مستقلة قابلة للتعارض لمجرد الحاجة إلى عرضها في أكثر من سياق.</w:t>
      </w:r>
    </w:p>
    <w:p>
      <w:pPr>
        <w:pStyle w:val="Heading2"/>
        <w:bidi w:val="1"/>
      </w:pPr>
      <w:r>
        <w:t>التتبع</w:t>
      </w:r>
    </w:p>
    <w:p>
      <w:pPr>
        <w:pStyle w:val="ListBullet"/>
        <w:bidi w:val="1"/>
      </w:pPr>
      <w:r>
        <w:t>الحد الأدنى المطلوب للبيانات المهمة: ماذا، متى، أين، المصدر، الحالة، والتحويل الذي أدى إلى النتيجة. عند وجود قرار أو إجراء يجب الحفاظ على العلاقة مع النتيجة اللاحقة.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r>
        <w:br w:type="page"/>
      </w:r>
    </w:p>
    <w:p>
      <w:pPr>
        <w:pStyle w:val="Heading1"/>
        <w:bidi w:val="1"/>
      </w:pPr>
      <w:r>
        <w:t>7. نموذج الذكاء والأتمتة</w:t>
      </w:r>
    </w:p>
    <w:p>
      <w:pPr>
        <w:bidi w:val="1"/>
      </w:pPr>
      <w:r>
        <w:rPr>
          <w:b/>
        </w:rPr>
        <w:t xml:space="preserve">هدف الخطوة: </w:t>
      </w:r>
      <w:r>
        <w:t>تحويل الذكاء الاصطناعي من ميزة منفصلة إلى طبقة قيمة آمنة ومضبوطة داخل دورة العمل.</w:t>
      </w:r>
    </w:p>
    <w:p>
      <w:pPr>
        <w:pStyle w:val="Heading2"/>
        <w:bidi w:val="1"/>
      </w:pPr>
      <w:r>
        <w:t>قاعدة اختيار التقنية</w:t>
      </w:r>
    </w:p>
    <w:p>
      <w:pPr>
        <w:pStyle w:val="ListBullet"/>
        <w:bidi w:val="1"/>
      </w:pPr>
      <w:r>
        <w:t>استخدم أبسط أداة تحقق الغرض: قاعدة ثابتة عندما تكون القاعدة واضحة؛ خوارزمية/تحليل إحصائي عندما يكون الحساب معلومًا؛ نموذج تنبؤي عندما توجد بيانات مناسبة؛ نموذج توليدي عندما تكون المهمة فهم اللغة أو المستندات أو الصور أو صياغة الشرح.</w:t>
      </w:r>
    </w:p>
    <w:p>
      <w:pPr>
        <w:pStyle w:val="ListBullet"/>
        <w:bidi w:val="1"/>
      </w:pPr>
      <w:r>
        <w:t>لا يستخدم الذكاء الاصطناعي لمجرد أنه متاح.</w:t>
      </w:r>
    </w:p>
    <w:p>
      <w:pPr>
        <w:pStyle w:val="Heading2"/>
        <w:bidi w:val="1"/>
      </w:pPr>
      <w:r>
        <w:t>الاستخراج من الأدلة</w:t>
      </w:r>
    </w:p>
    <w:p>
      <w:pPr>
        <w:pStyle w:val="ListBullet"/>
        <w:bidi w:val="1"/>
      </w:pPr>
      <w:r>
        <w:t>مسار الصور والمستندات يجب أن يحافظ على الأصل، وما استُخرج منه، وحالة التحقق. في قراءات العدادات، تتحقق هوية أداة القياس أولًا ثم القراءة، مع بديل يدوي واضح عند تعذر الاستخراج.</w:t>
      </w:r>
    </w:p>
    <w:p>
      <w:pPr>
        <w:pStyle w:val="Heading2"/>
        <w:bidi w:val="1"/>
      </w:pPr>
      <w:r>
        <w:t>الاكتشاف والتنبيه</w:t>
      </w:r>
    </w:p>
    <w:p>
      <w:pPr>
        <w:pStyle w:val="ListBullet"/>
        <w:bidi w:val="1"/>
      </w:pPr>
      <w:r>
        <w:t>اكتشاف الحالة غير المعتادة يجب أن يربط الحدث بسياقه وتاريخه ويشرح سبب أهميته. ISO/TS 24522:2019 يركز على اكتشاف وتصنيف أحداث المياه والتغيرات غير الطبيعية التي قد تؤثر في أصحاب المصلحة. [8]</w:t>
      </w:r>
    </w:p>
    <w:p>
      <w:pPr>
        <w:pStyle w:val="Heading2"/>
        <w:bidi w:val="1"/>
      </w:pPr>
      <w:r>
        <w:t>المساعد الذكي</w:t>
      </w:r>
    </w:p>
    <w:p>
      <w:pPr>
        <w:pStyle w:val="ListBullet"/>
        <w:bidi w:val="1"/>
      </w:pPr>
      <w:r>
        <w:t>المساعد يجب أن يجيب من بيانات المؤسسة والسياق المصرح به، وأن يميز بين الحقيقة المسجلة والاستنتاج والتوصية. عند عرض رقم أو ادعاء مهم يجب أن يستطيع المستخدم الرجوع إلى مصدره أو سياقه.</w:t>
      </w:r>
    </w:p>
    <w:p>
      <w:pPr>
        <w:pStyle w:val="Heading2"/>
        <w:bidi w:val="1"/>
      </w:pPr>
      <w:r>
        <w:t>الثقة والتقييم</w:t>
      </w:r>
    </w:p>
    <w:p>
      <w:pPr>
        <w:pStyle w:val="ListBullet"/>
        <w:bidi w:val="1"/>
      </w:pPr>
      <w:r>
        <w:t>لا تُستخدم ثقة النموذج وحدها كبديل للاعتماد. يجب الاحتفاظ بنتيجة النموذج، وإصداره، وسياقه التشغيلي، ونتيجة المراجعة البشرية عند الحاجة. NIST AI RMF وملف الذكاء التوليدي يضعان إدارة المخاطر والتقييم والشفافية ضمن دورة حياة الذكاء الاصطناعي. [9][10]</w:t>
      </w:r>
    </w:p>
    <w:p>
      <w:pPr>
        <w:pStyle w:val="Heading2"/>
        <w:bidi w:val="1"/>
      </w:pPr>
      <w:r>
        <w:t>الأفعال الوكيلة</w:t>
      </w:r>
    </w:p>
    <w:p>
      <w:pPr>
        <w:pStyle w:val="ListBullet"/>
        <w:bidi w:val="1"/>
      </w:pPr>
      <w:r>
        <w:t>أي استخدام مستقبلي لوكيل AI ينفذ فعلًا يجب أن يخضع لأقل صلاحية ممكنة، ونطاق أدوات محدد، وتفويض واضح، وتحقق قبل الأفعال عالية الأثر، وسجل كامل للفعل. أحدث OWASP في 2026 وسّع إرشاداته للأنظمة الوكيلة ومعيار التحكم فيها. [11]</w:t>
      </w:r>
    </w:p>
    <w:p>
      <w:pPr>
        <w:pStyle w:val="Heading2"/>
        <w:bidi w:val="1"/>
      </w:pPr>
      <w:r>
        <w:t>التكلفة</w:t>
      </w:r>
    </w:p>
    <w:p>
      <w:pPr>
        <w:pStyle w:val="ListBullet"/>
        <w:bidi w:val="1"/>
      </w:pPr>
      <w:r>
        <w:t>يجب قياس تكلفة الاستدعاءات الذكية واختيار النموذج وفق قيمة المهمة، مع تقليل إعادة المعالجة غير الضرورية، واستخدام المعالجة المحلية عندما يكون ذلك مناسبًا، وتأجيل المهام غير الحرجة عند انقطاع الاتصال.</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8. نموذج الحوكمة والمسؤولية</w:t>
      </w:r>
    </w:p>
    <w:p>
      <w:pPr>
        <w:bidi w:val="1"/>
      </w:pPr>
      <w:r>
        <w:rPr>
          <w:b/>
        </w:rPr>
        <w:t xml:space="preserve">هدف الخطوة: </w:t>
      </w:r>
      <w:r>
        <w:t>ضمان أن البيانات والقرارات والتغييرات لها أصحاب مسؤولية واضحون وأن الصلاحيات لا تتجاوز الحاجة.</w:t>
      </w:r>
    </w:p>
    <w:p>
      <w:pPr>
        <w:pStyle w:val="Heading2"/>
        <w:bidi w:val="1"/>
      </w:pPr>
      <w:r>
        <w:t>الفصل بين الحقوق</w:t>
      </w:r>
    </w:p>
    <w:p>
      <w:pPr>
        <w:pStyle w:val="ListBullet"/>
        <w:bidi w:val="1"/>
      </w:pPr>
      <w:r>
        <w:t>حق الرؤية لا يساوي حق التعديل؛ وحق التعديل لا يساوي حق الاعتماد؛ وحق الاعتماد لا يساوي حق اتخاذ قرار عالي الأثر.</w:t>
      </w:r>
    </w:p>
    <w:p>
      <w:pPr>
        <w:pStyle w:val="Heading2"/>
        <w:bidi w:val="1"/>
      </w:pPr>
      <w:r>
        <w:t>العزل</w:t>
      </w:r>
    </w:p>
    <w:p>
      <w:pPr>
        <w:pStyle w:val="ListBullet"/>
        <w:bidi w:val="1"/>
      </w:pPr>
      <w:r>
        <w:t>كل مشروع أو مستأجر يجب أن يرى فقط ما تسمح به علاقة التفويض الحالية. يجب أن يكون منع الوصول غير المصرح به محفوظًا على طبقة البيانات/الخدمة، وليس في الواجهة فقط. OWASP API Security يضع كسر التفويض على مستوى الكائن والوظيفة ضمن أخطر مخاطر API. [12]</w:t>
      </w:r>
    </w:p>
    <w:p>
      <w:pPr>
        <w:pStyle w:val="Heading2"/>
        <w:bidi w:val="1"/>
      </w:pPr>
      <w:r>
        <w:t>المساءلة</w:t>
      </w:r>
    </w:p>
    <w:p>
      <w:pPr>
        <w:pStyle w:val="ListBullet"/>
        <w:bidi w:val="1"/>
      </w:pPr>
      <w:r>
        <w:t>لكل تغيير مهم مالك قرار أو مسؤول تنفيذ مناسب، وسياق، ووقت، وأثر تاريخي.</w:t>
      </w:r>
    </w:p>
    <w:p>
      <w:pPr>
        <w:pStyle w:val="Heading2"/>
        <w:bidi w:val="1"/>
      </w:pPr>
      <w:r>
        <w:t>حوكمة البيانات</w:t>
      </w:r>
    </w:p>
    <w:p>
      <w:pPr>
        <w:pStyle w:val="ListBullet"/>
        <w:bidi w:val="1"/>
      </w:pPr>
      <w:r>
        <w:t>تحديد مالك البيانات، قواعد الاستخدام، الحد الأدنى من البيانات، الاحتفاظ، التصدير، التصحيح، النسخ الاحتياطي، واستمرارية الوصول عند تغيير المزود.</w:t>
      </w:r>
    </w:p>
    <w:p>
      <w:pPr>
        <w:pStyle w:val="Heading2"/>
        <w:bidi w:val="1"/>
      </w:pPr>
      <w:r>
        <w:t>حوكمة الذكاء</w:t>
      </w:r>
    </w:p>
    <w:p>
      <w:pPr>
        <w:pStyle w:val="ListBullet"/>
        <w:bidi w:val="1"/>
      </w:pPr>
      <w:r>
        <w:t>مصفوفة مخاطر للذكاء الاصطناعي: المهمة، الأثر، مستوى الاستقلالية، الأدلة المطلوبة، نقطة المراجعة البشرية، مؤشرات الجودة، وآلية الإيقاف/الرجوع. ISO/IEC 42001:2023 يضع نظام إدارة للذكاء الاصطناعي، وISO/IEC 23894:2023 يقدم إرشادات لإدارة مخاطر AI. [13][14]</w:t>
      </w:r>
    </w:p>
    <w:p>
      <w:pPr>
        <w:pStyle w:val="Heading2"/>
        <w:bidi w:val="1"/>
      </w:pPr>
      <w:r>
        <w:t>الأمن المؤسسي</w:t>
      </w:r>
    </w:p>
    <w:p>
      <w:pPr>
        <w:pStyle w:val="ListBullet"/>
        <w:bidi w:val="1"/>
      </w:pPr>
      <w:r>
        <w:t>يُنظم الأمن وفق إطار مستمر يشمل الحوكمة والتحديد والحماية والكشف والاستجابة والتعافي، وهو هيكل NIST CSF 2.0. [15]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9. نموذج تجربة المستخدم والتفاعل</w:t>
      </w:r>
    </w:p>
    <w:p>
      <w:pPr>
        <w:bidi w:val="1"/>
      </w:pPr>
      <w:r>
        <w:rPr>
          <w:b/>
        </w:rPr>
        <w:t xml:space="preserve">هدف الخطوة: </w:t>
      </w:r>
      <w:r>
        <w:t>جعل النظام قابلًا للاستخدام فعلًا في الميدان والإدارة اليمنية، لا مجرد واجهة صحيحة تقنيًا.</w:t>
      </w:r>
    </w:p>
    <w:p>
      <w:pPr>
        <w:pStyle w:val="Heading2"/>
        <w:bidi w:val="1"/>
      </w:pPr>
      <w:r>
        <w:t>العربية أولًا</w:t>
      </w:r>
    </w:p>
    <w:p>
      <w:pPr>
        <w:pStyle w:val="ListBullet"/>
        <w:bidi w:val="1"/>
      </w:pPr>
      <w:r>
        <w:t>RTL حقيقي، مصطلحات عربية مستقرة، رسائل خطأ مفهومة، وأقل قدر ممكن من المصطلحات التقنية أمام المستخدم.</w:t>
      </w:r>
    </w:p>
    <w:p>
      <w:pPr>
        <w:pStyle w:val="Heading2"/>
        <w:bidi w:val="1"/>
      </w:pPr>
      <w:r>
        <w:t>الميدان أولًا</w:t>
      </w:r>
    </w:p>
    <w:p>
      <w:pPr>
        <w:pStyle w:val="ListBullet"/>
        <w:bidi w:val="1"/>
      </w:pPr>
      <w:r>
        <w:t>العملية الأساسية يجب أن تكون قصيرة، واضحة، ويمكن إكمالها دون كتابة كثيرة. الصورة والاختيار والقراءة البسيطة أفضل من النماذج الطويلة عندما تكون كافية.</w:t>
      </w:r>
    </w:p>
    <w:p>
      <w:pPr>
        <w:pStyle w:val="Heading2"/>
        <w:bidi w:val="1"/>
      </w:pPr>
      <w:r>
        <w:t>دون اتصال</w:t>
      </w:r>
    </w:p>
    <w:p>
      <w:pPr>
        <w:pStyle w:val="ListBullet"/>
        <w:bidi w:val="1"/>
      </w:pPr>
      <w:r>
        <w:t>يجب أن يستطيع المستخدم تنفيذ العمليات المسموح بها محليًا، معرفة أنها محفوظة محليًا، ومعرفة حالة المزامنة، ومعالجة التعارض بدل فقد البيانات. IndexedDB يدعم التخزين المحلي والاستعلام في تطبيقات الويب التي تعمل دون اتصال، وService Workers هي الأساس التشغيلي للويب القابل للعمل أثناء انقطاع الشبكة. [16][17]</w:t>
      </w:r>
    </w:p>
    <w:p>
      <w:pPr>
        <w:pStyle w:val="Heading2"/>
        <w:bidi w:val="1"/>
      </w:pPr>
      <w:r>
        <w:t>الوصولية</w:t>
      </w:r>
    </w:p>
    <w:p>
      <w:pPr>
        <w:pStyle w:val="ListBullet"/>
        <w:bidi w:val="1"/>
      </w:pPr>
      <w:r>
        <w:t>تُستخدم WCAG 2.2 كأساس وصولية، وهي توصية W3C حديثة وأصبحت أيضًا ISO/IEC 40500:2025. [18][19]</w:t>
      </w:r>
    </w:p>
    <w:p>
      <w:pPr>
        <w:pStyle w:val="Heading2"/>
        <w:bidi w:val="1"/>
      </w:pPr>
      <w:r>
        <w:t>الهواتف والموارد المحدودة</w:t>
      </w:r>
    </w:p>
    <w:p>
      <w:pPr>
        <w:pStyle w:val="ListBullet"/>
        <w:bidi w:val="1"/>
      </w:pPr>
      <w:r>
        <w:t>التصميم يجب أن يتحمل أجهزة Android منخفضة المواصفات، صورًا كبيرة، ذاكرة محدودة، شبكة بطيئة، وتكرار المحاولة. ويُفضّل تطبيق ويب قابل للتثبيت إذا كان يحقق الحاجة بدل فرض تطبيق أصلي مستقل دون مبرر. W3C يواصل تحديث Web App Manifest في 2026. [20]</w:t>
      </w:r>
    </w:p>
    <w:p>
      <w:pPr>
        <w:pStyle w:val="Heading2"/>
        <w:bidi w:val="1"/>
      </w:pPr>
      <w:r>
        <w:t>تصحيح الخطأ</w:t>
      </w:r>
    </w:p>
    <w:p>
      <w:pPr>
        <w:pStyle w:val="ListBullet"/>
        <w:bidi w:val="1"/>
      </w:pPr>
      <w:r>
        <w:t>بعد الخطأ يجب أن يعرف المستخدم ماذا حدث، وهل فقدت البيانات، وما الخطوة التالية. لا تُظهر للمستخدم أخطاء SQL أو رموزًا داخلية غير مفيدة.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10. نموذج الأداء والاستدامة</w:t>
      </w:r>
    </w:p>
    <w:p>
      <w:pPr>
        <w:bidi w:val="1"/>
      </w:pPr>
      <w:r>
        <w:rPr>
          <w:b/>
        </w:rPr>
        <w:t xml:space="preserve">هدف الخطوة: </w:t>
      </w:r>
      <w:r>
        <w:t>ضمان أن MIZAN يعمل بكفاءة في الظروف اليمنية ويستمر بعد المشروع التجريبي.</w:t>
      </w:r>
    </w:p>
    <w:p>
      <w:pPr>
        <w:pStyle w:val="Heading2"/>
        <w:bidi w:val="1"/>
      </w:pPr>
      <w:r>
        <w:t>الأداء</w:t>
      </w:r>
    </w:p>
    <w:p>
      <w:pPr>
        <w:pStyle w:val="ListBullet"/>
        <w:bidi w:val="1"/>
      </w:pPr>
      <w:r>
        <w:t>الهدف هو استجابة سريعة في العمليات المتكررة، واجهة أولية خفيفة، تحميل تدريجي، وعدم جعل تقرير ثقيل أو AI يستدعى بلا حاجة يعطل العمل الميداني.</w:t>
      </w:r>
    </w:p>
    <w:p>
      <w:pPr>
        <w:pStyle w:val="Heading2"/>
        <w:bidi w:val="1"/>
      </w:pPr>
      <w:r>
        <w:t>الموثوقية</w:t>
      </w:r>
    </w:p>
    <w:p>
      <w:pPr>
        <w:pStyle w:val="ListBullet"/>
        <w:bidi w:val="1"/>
      </w:pPr>
      <w:r>
        <w:t>قياس توافر الخدمة، نجاح المزامنة، فشل العمليات، فقد البيانات، زمن الاستعادة، وحداثة البيانات.</w:t>
      </w:r>
    </w:p>
    <w:p>
      <w:pPr>
        <w:pStyle w:val="Heading2"/>
        <w:bidi w:val="1"/>
      </w:pPr>
      <w:r>
        <w:t>الاستدامة التشغيلية</w:t>
      </w:r>
    </w:p>
    <w:p>
      <w:pPr>
        <w:pStyle w:val="ListBullet"/>
        <w:bidi w:val="1"/>
      </w:pPr>
      <w:r>
        <w:t>التصميم يجب أن يقلل الاعتماد على شخص واحد، ويجعل التدريب والتشغيل والإجراءات قابلة للنقل بين المشاريع.</w:t>
      </w:r>
    </w:p>
    <w:p>
      <w:pPr>
        <w:pStyle w:val="Heading2"/>
        <w:bidi w:val="1"/>
      </w:pPr>
      <w:r>
        <w:t>استدامة المياه</w:t>
      </w:r>
    </w:p>
    <w:p>
      <w:pPr>
        <w:pStyle w:val="ListBullet"/>
        <w:bidi w:val="1"/>
      </w:pPr>
      <w:r>
        <w:t>المؤشرات يجب أن تربط الخدمة والكمية والجودة والمخاطر والتشغيل والأصول والطلب وقدرة المشروع على الاستمرار، لا أن تكتفي بعدّ الأنشطة. ISO 24512:2024 يركز على إدارة خدمات مياه الشرب وتقييمها ومؤشرات الأداء، بينما ISO 24510:2024 يركز على احتياجات المستخدم وتقييم الخدمة. [21][22]</w:t>
      </w:r>
    </w:p>
    <w:p>
      <w:pPr>
        <w:pStyle w:val="Heading2"/>
        <w:bidi w:val="1"/>
      </w:pPr>
      <w:r>
        <w:t>الأصول</w:t>
      </w:r>
    </w:p>
    <w:p>
      <w:pPr>
        <w:pStyle w:val="ListBullet"/>
        <w:bidi w:val="1"/>
      </w:pPr>
      <w:r>
        <w:t>يجب التعامل مع الأصل كجزء من دورة حياته: حالة، تشغيل، صيانة، تاريخ، قدرة، مخاطر، وتكلفة عندما تكون المعلومات متاحة. ISO 55001:2024 هو أحدث إصدار من معيار إدارة الأصول في سلسلة ISO 55000. [23]</w:t>
      </w:r>
    </w:p>
    <w:p>
      <w:pPr>
        <w:pStyle w:val="Heading2"/>
        <w:bidi w:val="1"/>
      </w:pPr>
      <w:r>
        <w:t>الاستدامة المالية للمنصة</w:t>
      </w:r>
    </w:p>
    <w:p>
      <w:pPr>
        <w:pStyle w:val="ListBullet"/>
        <w:bidi w:val="1"/>
      </w:pPr>
      <w:r>
        <w:t>يجب أن يستطيع مالك المنصة معرفة تكلفة البنية والذكاء والاستخدام لكل مستأجر، بينما يرى المستأجر المبلغ المستحق وفق النموذج التجاري المعتمد، دون خلط التكلفة الداخلية مع بيانات العميل.</w:t>
      </w:r>
    </w:p>
    <w:p>
      <w:pPr>
        <w:pStyle w:val="Heading2"/>
        <w:bidi w:val="1"/>
      </w:pPr>
      <w:r>
        <w:t>المرونة المناخية والكهربائية</w:t>
      </w:r>
    </w:p>
    <w:p>
      <w:pPr>
        <w:pStyle w:val="ListBullet"/>
        <w:bidi w:val="1"/>
      </w:pPr>
      <w:r>
        <w:t>ينبغي أن تتحمل المنصة واقع الجفاف والحرارة والسيول وانقطاع الكهرباء والاعتماد على الطاقة الشمسية حيث تكون مرتبطة بالتشغيل. WHO يضع المرونة المناخية وإدارة المخاطر ضمن إدارة الخدمات الآمنة، وتوثق UNDP توسع الطاقة الشمسية لخدمات المياه في اليمن. [3][24]</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r>
        <w:br w:type="page"/>
      </w:r>
    </w:p>
    <w:p>
      <w:pPr>
        <w:pStyle w:val="Heading1"/>
        <w:bidi w:val="1"/>
      </w:pPr>
      <w:r>
        <w:t>11. نموذج التقارير والتحليل ودعم القرار</w:t>
      </w:r>
    </w:p>
    <w:p>
      <w:pPr>
        <w:bidi w:val="1"/>
      </w:pPr>
      <w:r>
        <w:rPr>
          <w:b/>
        </w:rPr>
        <w:t xml:space="preserve">هدف الخطوة: </w:t>
      </w:r>
      <w:r>
        <w:t>تحويل البيانات إلى معرفة قابلة للاستخدام بدل زيادة عدد لوحات المؤشرات.</w:t>
      </w:r>
    </w:p>
    <w:p>
      <w:pPr>
        <w:pStyle w:val="Heading2"/>
        <w:bidi w:val="1"/>
      </w:pPr>
      <w:r>
        <w:t>أنواع المخرجات</w:t>
      </w:r>
    </w:p>
    <w:p>
      <w:pPr>
        <w:pStyle w:val="ListBullet"/>
        <w:bidi w:val="1"/>
      </w:pPr>
      <w:r>
        <w:t>الحالة الحالية؛ نتيجة فترة تشغيلية؛ اتجاه تاريخي؛ مقارنة؛ تحليل سبب/أثر؛ حالة تحتاج إجراء؛ تقرير رسمي؛ معلومات مجمعة على مستوى أعلى.</w:t>
      </w:r>
    </w:p>
    <w:p>
      <w:pPr>
        <w:pStyle w:val="Heading2"/>
        <w:bidi w:val="1"/>
      </w:pPr>
      <w:r>
        <w:t>قاعدة كل رقم</w:t>
      </w:r>
    </w:p>
    <w:p>
      <w:pPr>
        <w:pStyle w:val="ListBullet"/>
        <w:bidi w:val="1"/>
      </w:pPr>
      <w:r>
        <w:t>كل رقم مهم يجب أن يكون له تعريف، فترة، سياق، مصدر، منهج حساب، وحالة جودة.</w:t>
      </w:r>
    </w:p>
    <w:p>
      <w:pPr>
        <w:pStyle w:val="Heading2"/>
        <w:bidi w:val="1"/>
      </w:pPr>
      <w:r>
        <w:t>الحاضر مقابل التاريخ</w:t>
      </w:r>
    </w:p>
    <w:p>
      <w:pPr>
        <w:pStyle w:val="ListBullet"/>
        <w:bidi w:val="1"/>
      </w:pPr>
      <w:r>
        <w:t>لا يجوز أن يتغير تقرير فترة مغلقة لمجرد أن الحالة الحالية تغيرت.</w:t>
      </w:r>
    </w:p>
    <w:p>
      <w:pPr>
        <w:pStyle w:val="Heading2"/>
        <w:bidi w:val="1"/>
      </w:pPr>
      <w:r>
        <w:t>التدرج</w:t>
      </w:r>
    </w:p>
    <w:p>
      <w:pPr>
        <w:pStyle w:val="ListBullet"/>
        <w:bidi w:val="1"/>
      </w:pPr>
      <w:r>
        <w:t>الصورة المجمعة → المشروع → الحدث/المصدر عند الحاجة والصلاحية.</w:t>
      </w:r>
    </w:p>
    <w:p>
      <w:pPr>
        <w:pStyle w:val="Heading2"/>
        <w:bidi w:val="1"/>
      </w:pPr>
      <w:r>
        <w:t>دعم القرار</w:t>
      </w:r>
    </w:p>
    <w:p>
      <w:pPr>
        <w:pStyle w:val="ListBullet"/>
        <w:bidi w:val="1"/>
      </w:pPr>
      <w:r>
        <w:t>كل مؤشر أو تحليل يجب أن يكون له استخدام واضح: ماذا يساعد المستخدم على فهمه أو قراره أو متابعته؟</w:t>
      </w:r>
    </w:p>
    <w:p>
      <w:pPr>
        <w:pStyle w:val="Heading2"/>
        <w:bidi w:val="1"/>
      </w:pPr>
      <w:r>
        <w:t>المعيار المائي</w:t>
      </w:r>
    </w:p>
    <w:p>
      <w:pPr>
        <w:pStyle w:val="ListBullet"/>
        <w:bidi w:val="1"/>
      </w:pPr>
      <w:r>
        <w:t>ISO/TR 24514:2018 يعطي أمثلة لاستخدام مؤشرات الأداء عبر مرافق مياه مختلفة، ومنها مرافق صغيرة وكبيرة وفي دول متقدمة ونامية، وهو مرجع مفيد لبناء مؤشرات مفهومة وقابلة للمقارنة مع مراعاة السياق. [25]</w:t>
      </w:r>
    </w:p>
    <w:p>
      <w:pPr>
        <w:pStyle w:val="Heading2"/>
        <w:bidi w:val="1"/>
      </w:pPr>
      <w:r>
        <w:t>التقارير الدورية</w:t>
      </w:r>
    </w:p>
    <w:p>
      <w:pPr>
        <w:pStyle w:val="ListBullet"/>
        <w:bidi w:val="1"/>
      </w:pPr>
      <w:r>
        <w:t>يجب أن يستطيع النظام إنتاج نتائج الفترة، التشغيل، الأصول، الصيانة، التحصيل، والاستدامة حسب ما هو داخل نطاق المشروع، دون تكرار نفس الرقم بصيغ متعارضة.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12. المبادئ الحاكمة لـ MIZAN</w:t>
      </w:r>
    </w:p>
    <w:p>
      <w:pPr>
        <w:bidi w:val="1"/>
      </w:pPr>
      <w:r>
        <w:rPr>
          <w:b/>
        </w:rPr>
        <w:t xml:space="preserve">هدف الخطوة: </w:t>
      </w:r>
      <w:r>
        <w:t>إنشاء حواجز تمنع انحراف المنتج أثناء البناء والتوسع.</w:t>
      </w:r>
    </w:p>
    <w:p>
      <w:pPr>
        <w:pStyle w:val="Heading2"/>
        <w:bidi w:val="1"/>
      </w:pPr>
      <w:r>
        <w:t>مبادئ غير قابلة للتفاوض</w:t>
      </w:r>
    </w:p>
    <w:p>
      <w:pPr>
        <w:pStyle w:val="ListBullet"/>
        <w:bidi w:val="1"/>
      </w:pPr>
      <w:r>
        <w:t>المشكلة قبل الميزة.</w:t>
      </w:r>
    </w:p>
    <w:p>
      <w:pPr>
        <w:pStyle w:val="ListBullet"/>
        <w:bidi w:val="1"/>
      </w:pPr>
      <w:r>
        <w:t>النتيجة قبل الشاشة.</w:t>
      </w:r>
    </w:p>
    <w:p>
      <w:pPr>
        <w:pStyle w:val="ListBullet"/>
        <w:bidi w:val="1"/>
      </w:pPr>
      <w:r>
        <w:t>العمل قبل التقرير.</w:t>
      </w:r>
    </w:p>
    <w:p>
      <w:pPr>
        <w:pStyle w:val="ListBullet"/>
        <w:bidi w:val="1"/>
      </w:pPr>
      <w:r>
        <w:t>الحدث قبل السجل.</w:t>
      </w:r>
    </w:p>
    <w:p>
      <w:pPr>
        <w:pStyle w:val="ListBullet"/>
        <w:bidi w:val="1"/>
      </w:pPr>
      <w:r>
        <w:t>الدليل قبل الادعاء.</w:t>
      </w:r>
    </w:p>
    <w:p>
      <w:pPr>
        <w:pStyle w:val="ListBullet"/>
        <w:bidi w:val="1"/>
      </w:pPr>
      <w:r>
        <w:t>الحقيقة تدخل مرة وتُستخدم حيث يلزم.</w:t>
      </w:r>
    </w:p>
    <w:p>
      <w:pPr>
        <w:pStyle w:val="ListBullet"/>
        <w:bidi w:val="1"/>
      </w:pPr>
      <w:r>
        <w:t>الحالة الحالية منفصلة عن التاريخ.</w:t>
      </w:r>
    </w:p>
    <w:p>
      <w:pPr>
        <w:pStyle w:val="ListBullet"/>
        <w:bidi w:val="1"/>
      </w:pPr>
      <w:r>
        <w:t>الفترة التشغيلية ليست بوابة تمنع التحديث.</w:t>
      </w:r>
    </w:p>
    <w:p>
      <w:pPr>
        <w:pStyle w:val="ListBullet"/>
        <w:bidi w:val="1"/>
      </w:pPr>
      <w:r>
        <w:t>لا AI بلا دليل ومراجعة مناسبة.</w:t>
      </w:r>
    </w:p>
    <w:p>
      <w:pPr>
        <w:pStyle w:val="ListBullet"/>
        <w:bidi w:val="1"/>
      </w:pPr>
      <w:r>
        <w:t>الأتمتة حيث القاعدة واضحة والأثر آمن.</w:t>
      </w:r>
    </w:p>
    <w:p>
      <w:pPr>
        <w:pStyle w:val="ListBullet"/>
        <w:bidi w:val="1"/>
      </w:pPr>
      <w:r>
        <w:t>القرار البشري للحالات التي تحتاج حكمًا.</w:t>
      </w:r>
    </w:p>
    <w:p>
      <w:pPr>
        <w:pStyle w:val="ListBullet"/>
        <w:bidi w:val="1"/>
      </w:pPr>
      <w:r>
        <w:t>الأقل صلاحية هو الأصل.</w:t>
      </w:r>
    </w:p>
    <w:p>
      <w:pPr>
        <w:pStyle w:val="ListBullet"/>
        <w:bidi w:val="1"/>
      </w:pPr>
      <w:r>
        <w:t>العزل يبدأ من البيانات لا من الواجهة.</w:t>
      </w:r>
    </w:p>
    <w:p>
      <w:pPr>
        <w:pStyle w:val="ListBullet"/>
        <w:bidi w:val="1"/>
      </w:pPr>
      <w:r>
        <w:t>لا تقرير بلا تعريف ومصدر وزمن.</w:t>
      </w:r>
    </w:p>
    <w:p>
      <w:pPr>
        <w:pStyle w:val="ListBullet"/>
        <w:bidi w:val="1"/>
      </w:pPr>
      <w:r>
        <w:t>لا مؤشر بلا غرض تشغيلي أو إداري.</w:t>
      </w:r>
    </w:p>
    <w:p>
      <w:pPr>
        <w:pStyle w:val="ListBullet"/>
        <w:bidi w:val="1"/>
      </w:pPr>
      <w:r>
        <w:t>لا تنبيه بلا تفسير وإجراء متوقع.</w:t>
      </w:r>
    </w:p>
    <w:p>
      <w:pPr>
        <w:pStyle w:val="ListBullet"/>
        <w:bidi w:val="1"/>
      </w:pPr>
      <w:r>
        <w:t>لا عملية ميدانية حرجة بلا مسار عمل دون اتصال عند الحاجة.</w:t>
      </w:r>
    </w:p>
    <w:p>
      <w:pPr>
        <w:pStyle w:val="ListBullet"/>
        <w:bidi w:val="1"/>
      </w:pPr>
      <w:r>
        <w:t>الفشل يجب أن يحافظ على البيانات والسياق.</w:t>
      </w:r>
    </w:p>
    <w:p>
      <w:pPr>
        <w:pStyle w:val="ListBullet"/>
        <w:bidi w:val="1"/>
      </w:pPr>
      <w:r>
        <w:t>لا تغيير حساس بلا ترحيل آمن وقابل للرجوع.</w:t>
      </w:r>
    </w:p>
    <w:p>
      <w:pPr>
        <w:pStyle w:val="ListBullet"/>
        <w:bidi w:val="1"/>
      </w:pPr>
      <w:r>
        <w:t>لا ميزة جديدة لأنها ممكنة تقنيًا.</w:t>
      </w:r>
    </w:p>
    <w:p>
      <w:pPr>
        <w:pStyle w:val="ListBullet"/>
        <w:bidi w:val="1"/>
      </w:pPr>
      <w:r>
        <w:t>المرجع يصف السلوك، والتنفيذ يكتشف الواقع الحالي.</w:t>
      </w:r>
    </w:p>
    <w:p>
      <w:pPr>
        <w:pStyle w:val="ListBullet"/>
        <w:bidi w:val="1"/>
      </w:pPr>
      <w:r>
        <w:t>اختبار السلسلة أهم من اختبار الخطوة المنفردة.</w:t>
      </w:r>
    </w:p>
    <w:p>
      <w:pPr>
        <w:pStyle w:val="ListBullet"/>
        <w:bidi w:val="1"/>
      </w:pPr>
      <w:r>
        <w:t>الزمن جزء من الحقيقة.</w:t>
      </w:r>
    </w:p>
    <w:p>
      <w:pPr>
        <w:pStyle w:val="ListBullet"/>
        <w:bidi w:val="1"/>
      </w:pPr>
      <w:r>
        <w:t>الأثر بعد الإجراء جزء من القياس.</w:t>
      </w:r>
    </w:p>
    <w:p>
      <w:pPr>
        <w:pStyle w:val="ListBullet"/>
        <w:bidi w:val="1"/>
      </w:pPr>
      <w:r>
        <w:t>الاستدامة جزء من تعريف النجاح وليست مرحلة لاحقة.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13. خريطة القدرات المرجعية</w:t>
      </w:r>
    </w:p>
    <w:p>
      <w:pPr>
        <w:bidi w:val="1"/>
      </w:pPr>
      <w:r>
        <w:rPr>
          <w:b/>
        </w:rPr>
        <w:t xml:space="preserve">هدف الخطوة: </w:t>
      </w:r>
      <w:r>
        <w:t>تحديد ما يجب أن تستطيع MIZAN فعله دون تحويل القدرات إلى وحدات برمجية مسبقة.</w:t>
      </w:r>
    </w:p>
    <w:p>
      <w:pPr>
        <w:pStyle w:val="Heading2"/>
        <w:bidi w:val="1"/>
      </w:pPr>
      <w:r>
        <w:t>القدرات</w:t>
      </w:r>
    </w:p>
    <w:p>
      <w:pPr>
        <w:pStyle w:val="ListBullet"/>
        <w:bidi w:val="1"/>
      </w:pPr>
      <w:r>
        <w:t>إدارة دورة حياة المشروع: من الاحتياج إلى التشغيل والاستدامة.</w:t>
      </w:r>
    </w:p>
    <w:p>
      <w:pPr>
        <w:pStyle w:val="ListBullet"/>
        <w:bidi w:val="1"/>
      </w:pPr>
      <w:r>
        <w:t>فهم الواقع الميداني والتقاط الأحداث والأدلة.</w:t>
      </w:r>
    </w:p>
    <w:p>
      <w:pPr>
        <w:pStyle w:val="ListBullet"/>
        <w:bidi w:val="1"/>
      </w:pPr>
      <w:r>
        <w:t>إدارة المعلومات والبيانات وجودتها وتاريخها.</w:t>
      </w:r>
    </w:p>
    <w:p>
      <w:pPr>
        <w:pStyle w:val="ListBullet"/>
        <w:bidi w:val="1"/>
      </w:pPr>
      <w:r>
        <w:t>فهم الإنتاج والتخزين والتوزيع والاستخدام والخدمة.</w:t>
      </w:r>
    </w:p>
    <w:p>
      <w:pPr>
        <w:pStyle w:val="ListBullet"/>
        <w:bidi w:val="1"/>
      </w:pPr>
      <w:r>
        <w:t>إدارة المستفيدين والقياس والاستحقاق والتحصيل.</w:t>
      </w:r>
    </w:p>
    <w:p>
      <w:pPr>
        <w:pStyle w:val="ListBullet"/>
        <w:bidi w:val="1"/>
      </w:pPr>
      <w:r>
        <w:t>إدارة الأصول والحالة والتشغيل والصيانة.</w:t>
      </w:r>
    </w:p>
    <w:p>
      <w:pPr>
        <w:pStyle w:val="ListBullet"/>
        <w:bidi w:val="1"/>
      </w:pPr>
      <w:r>
        <w:t>اكتشاف الأحداث والحالات غير الطبيعية وإدارتها.</w:t>
      </w:r>
    </w:p>
    <w:p>
      <w:pPr>
        <w:pStyle w:val="ListBullet"/>
        <w:bidi w:val="1"/>
      </w:pPr>
      <w:r>
        <w:t>الذكاء والتحليل والأتمتة والمساعدة في القرار.</w:t>
      </w:r>
    </w:p>
    <w:p>
      <w:pPr>
        <w:pStyle w:val="ListBullet"/>
        <w:bidi w:val="1"/>
      </w:pPr>
      <w:r>
        <w:t>الحوكمة والصلاحيات والمساءلة والأمن.</w:t>
      </w:r>
    </w:p>
    <w:p>
      <w:pPr>
        <w:pStyle w:val="ListBullet"/>
        <w:bidi w:val="1"/>
      </w:pPr>
      <w:r>
        <w:t>التحليل متعدد المشاريع وعلى المستوى الأعلى.</w:t>
      </w:r>
    </w:p>
    <w:p>
      <w:pPr>
        <w:pStyle w:val="ListBullet"/>
        <w:bidi w:val="1"/>
      </w:pPr>
      <w:r>
        <w:t>التقارير والمؤشرات والاتصال بالمستفيدين/الجهات وفق الحاجة.</w:t>
      </w:r>
    </w:p>
    <w:p>
      <w:pPr>
        <w:pStyle w:val="ListBullet"/>
        <w:bidi w:val="1"/>
      </w:pPr>
      <w:r>
        <w:t>الاستمرارية والعمل دون اتصال والمزامنة والتعافي.</w:t>
      </w:r>
    </w:p>
    <w:p>
      <w:pPr>
        <w:pStyle w:val="Heading2"/>
        <w:bidi w:val="1"/>
      </w:pPr>
      <w:r>
        <w:t>قاعدة الخريطة</w:t>
      </w:r>
    </w:p>
    <w:p>
      <w:pPr>
        <w:pStyle w:val="ListBullet"/>
        <w:bidi w:val="1"/>
      </w:pPr>
      <w:r>
        <w:t>هذه قدرات أعمال. يمكن تنفيذ القدرة الواحدة عبر أكثر من جزء تقني، ويمكن أن تُدمج عدة قدرات في تجربة واحدة. لا يجوز أن تُفرض الخريطة كهيكل ملفات أو جداول أو شاشات.</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14. المتطلبات المرجعية القابلة للتحقق</w:t>
      </w:r>
    </w:p>
    <w:p>
      <w:pPr>
        <w:bidi w:val="1"/>
      </w:pPr>
      <w:r>
        <w:rPr>
          <w:b/>
        </w:rPr>
        <w:t xml:space="preserve">هدف الخطوة: </w:t>
      </w:r>
      <w:r>
        <w:t>تحويل الفلسفة إلى متطلبات تستطيع فرق البناء والاختبار والحوكمة إثباتها.</w:t>
      </w:r>
    </w:p>
    <w:p>
      <w:pPr>
        <w:pStyle w:val="Heading2"/>
        <w:bidi w:val="1"/>
      </w:pPr>
      <w:r>
        <w:t>صيغة المتطلب</w:t>
      </w:r>
    </w:p>
    <w:p>
      <w:pPr>
        <w:pStyle w:val="ListBullet"/>
        <w:bidi w:val="1"/>
      </w:pPr>
      <w:r>
        <w:t>يُكتب كهدف أو سلوك يمكن التحقق منه، ويحتوي عند الحاجة على: السياق، الفاعل المصرح، المدخل، السلوك، النتيجة، أثر الحالة، دليل الإثبات، والاستثناءات.</w:t>
      </w:r>
    </w:p>
    <w:p>
      <w:pPr>
        <w:pStyle w:val="Heading2"/>
        <w:bidi w:val="1"/>
      </w:pPr>
      <w:r>
        <w:t>الأولوية</w:t>
      </w:r>
    </w:p>
    <w:p>
      <w:pPr>
        <w:pStyle w:val="ListBullet"/>
        <w:bidi w:val="1"/>
      </w:pPr>
      <w:r>
        <w:t>P0: ضروري لسلامة الدورة أو سلامة البيانات أو العزل أو الوظيفة الأساسية؛ P1: مهم للتشغيل المنتظم والكفاءة؛ P2: توسعة ذات قيمة بعد استقرار الأساس.</w:t>
      </w:r>
    </w:p>
    <w:p>
      <w:pPr>
        <w:pStyle w:val="Heading2"/>
        <w:bidi w:val="1"/>
      </w:pPr>
      <w:r>
        <w:t>فئات المتطلبات</w:t>
      </w:r>
    </w:p>
    <w:p>
      <w:pPr>
        <w:pStyle w:val="ListBullet"/>
        <w:bidi w:val="1"/>
      </w:pPr>
      <w:r>
        <w:t>وظيفية؛ بيانات؛ جودة؛ أمن وصلاحيات؛ وصولية؛ دون اتصال؛ أداء؛ مراقبة وتشغيل؛ AI؛ تقارير؛ استمرارية؛ إدارة التغيير؛ قابلية الصيانة.</w:t>
      </w:r>
    </w:p>
    <w:p>
      <w:pPr>
        <w:pStyle w:val="Heading2"/>
        <w:bidi w:val="1"/>
      </w:pPr>
      <w:r>
        <w:t>اختبار القبول</w:t>
      </w:r>
    </w:p>
    <w:p>
      <w:pPr>
        <w:pStyle w:val="ListBullet"/>
        <w:bidi w:val="1"/>
      </w:pPr>
      <w:r>
        <w:t>اختبار إيجابي؛ اختبار سلبي؛ صلاحيات؛ حالة دون اتصال عند الحاجة؛ تكرار؛ تعارض؛ مزامنة؛ أثر تاريخي؛ انتقال للفترة التالية؛ مصدر/دليل؛ قابلية التتبع.</w:t>
      </w:r>
    </w:p>
    <w:p>
      <w:pPr>
        <w:pStyle w:val="Heading2"/>
        <w:bidi w:val="1"/>
      </w:pPr>
      <w:r>
        <w:t>تعريف عدم المطابقة</w:t>
      </w:r>
    </w:p>
    <w:p>
      <w:pPr>
        <w:pStyle w:val="ListBullet"/>
        <w:bidi w:val="1"/>
      </w:pPr>
      <w:r>
        <w:t>أي حالة تحقق نجاحًا تقنيًا لكن تنتج حالة عمل خاطئة، أو تتجاوز الصلاحية، أو تفقد الدليل، أو تُغيّر الماضي، أو تقطع الأثر اللاحق، تعتبر فشلًا وظيفيًا لا مجرد مشكلة اختبار.</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pPr>
        <w:pStyle w:val="Heading1"/>
        <w:bidi w:val="1"/>
      </w:pPr>
      <w:r>
        <w:t>15. المواصفة النهائية للمنتج وحزمة بدء العمل</w:t>
      </w:r>
    </w:p>
    <w:p>
      <w:pPr>
        <w:bidi w:val="1"/>
      </w:pPr>
      <w:r>
        <w:rPr>
          <w:b/>
        </w:rPr>
        <w:t xml:space="preserve">هدف الخطوة: </w:t>
      </w:r>
      <w:r>
        <w:t>تقديم مرجع مكتمل يستطيع وكيل البناء الاعتماد عليه، مع اكتشاف النظام الحالي وتنفيذ الإصلاحات والتحسينات بصورة آمنة ومثبتة.</w:t>
      </w:r>
    </w:p>
    <w:p>
      <w:pPr>
        <w:pStyle w:val="Heading2"/>
        <w:bidi w:val="1"/>
      </w:pPr>
      <w:r>
        <w:t>تعريف المنتج النهائي</w:t>
      </w:r>
    </w:p>
    <w:p>
      <w:pPr>
        <w:pStyle w:val="ListBullet"/>
        <w:bidi w:val="1"/>
      </w:pPr>
      <w:r>
        <w:t>MIZAN منصة ذكاء وتشغيل مائية تُمكّن الجهة من فهم واقع مشاريع المياه، تحديث الحالة أثناء التشغيل، ربط الأدلة بالبيانات والنتائج، دعم التشغيل والصيانة والخدمة والتحصيل، اكتشاف الحالات المهمة، إنتاج تحليل وتقارير، ودعم القرار مع حوكمة وعزل وتتبّع كاملين.</w:t>
      </w:r>
    </w:p>
    <w:p>
      <w:pPr>
        <w:pStyle w:val="Heading2"/>
        <w:bidi w:val="1"/>
      </w:pPr>
      <w:r>
        <w:t>ما يلتزم به المرجع</w:t>
      </w:r>
    </w:p>
    <w:p>
      <w:pPr>
        <w:pStyle w:val="ListBullet"/>
        <w:bidi w:val="1"/>
      </w:pPr>
      <w:r>
        <w:t>وصف السلوك والنتيجة والمخاطر ومعايير القبول. لا يفرض أسماء تقنية أو جداول أو صفحات أو دوال أو مكدسًا برمجيًا.</w:t>
      </w:r>
    </w:p>
    <w:p>
      <w:pPr>
        <w:pStyle w:val="Heading2"/>
        <w:bidi w:val="1"/>
      </w:pPr>
      <w:r>
        <w:t>ما يفعله وكيل البناء</w:t>
      </w:r>
    </w:p>
    <w:p>
      <w:pPr>
        <w:pStyle w:val="ListBullet"/>
        <w:bidi w:val="1"/>
      </w:pPr>
      <w:r>
        <w:t>يبدأ بجرد الواقع الحالي في المستودع وقاعدة البيانات وبيئة النشر، ثم يقارنه بهذا المرجع، ويحدد الفجوات، ويختار أقل تغيير آمن يحقق المتطلب، ثم يبني ويختبر ويراجع أثر التغيير على الدورة الكاملة.</w:t>
      </w:r>
    </w:p>
    <w:p>
      <w:pPr>
        <w:pStyle w:val="Heading2"/>
        <w:bidi w:val="1"/>
      </w:pPr>
      <w:r>
        <w:t>منهج التنفيذ</w:t>
      </w:r>
    </w:p>
    <w:p>
      <w:pPr>
        <w:pStyle w:val="ListBullet"/>
        <w:bidi w:val="1"/>
      </w:pPr>
      <w:r>
        <w:t>0 — اكتشاف: تصوير الحالة الحالية والأمن والبيانات والواجهات والاختبارات والنشر دون تعديل.</w:t>
      </w:r>
    </w:p>
    <w:p>
      <w:pPr>
        <w:pStyle w:val="ListBullet"/>
        <w:bidi w:val="1"/>
      </w:pPr>
      <w:r>
        <w:t>1 — مواءمة: ربط الواقع الحالي بكل متطلب مرجعي مع تصنيف: مطابق / جزئي / مفقود / متعارض / غير قابل للإثبات.</w:t>
      </w:r>
    </w:p>
    <w:p>
      <w:pPr>
        <w:pStyle w:val="ListBullet"/>
        <w:bidi w:val="1"/>
      </w:pPr>
      <w:r>
        <w:t>2 — إصلاح P0: معالجة ما يمنع سلامة الدورة أو العزل أو البيانات أو التشغيل الأساسي.</w:t>
      </w:r>
    </w:p>
    <w:p>
      <w:pPr>
        <w:pStyle w:val="ListBullet"/>
        <w:bidi w:val="1"/>
      </w:pPr>
      <w:r>
        <w:t>3 — تثبيت سلسلة الدورة: إثبات الأحداث والقياسات والنتائج والحالة والإغلاق والانتقال.</w:t>
      </w:r>
    </w:p>
    <w:p>
      <w:pPr>
        <w:pStyle w:val="ListBullet"/>
        <w:bidi w:val="1"/>
      </w:pPr>
      <w:r>
        <w:t>4 — الأمن والحوكمة: العزل، الصلاحيات، التدقيق، إدارة الأسرار، النسخ الاحتياطي، الاستجابة للحوادث.</w:t>
      </w:r>
    </w:p>
    <w:p>
      <w:pPr>
        <w:pStyle w:val="ListBullet"/>
        <w:bidi w:val="1"/>
      </w:pPr>
      <w:r>
        <w:t>5 — الميدان: العمل دون اتصال، الالتقاط، الأدلة، المزامنة، التعارض، تجربة المستخدم العربية.</w:t>
      </w:r>
    </w:p>
    <w:p>
      <w:pPr>
        <w:pStyle w:val="ListBullet"/>
        <w:bidi w:val="1"/>
      </w:pPr>
      <w:r>
        <w:t>6 — الذكاء: تقييم استخدام AI، جودة الاستخراج، التتبع، السلامة، التكلفة، وإدارة المخاطر.</w:t>
      </w:r>
    </w:p>
    <w:p>
      <w:pPr>
        <w:pStyle w:val="ListBullet"/>
        <w:bidi w:val="1"/>
      </w:pPr>
      <w:r>
        <w:t>7 — الأداء والاستدامة: القياس، SLO/SLA عند الحاجة، التكلفة، المراقبة، التعافي، وقابلية التوسع.</w:t>
      </w:r>
    </w:p>
    <w:p>
      <w:pPr>
        <w:pStyle w:val="ListBullet"/>
        <w:bidi w:val="1"/>
      </w:pPr>
      <w:r>
        <w:t>8 — الإطلاق: مراجعة مستقلة، اختبارات شاملة، فحص قاعدة البيانات، فحص الأمن، فحص UX، ثم دليل إطلاق واضح.</w:t>
      </w:r>
    </w:p>
    <w:p>
      <w:pPr>
        <w:pStyle w:val="Heading2"/>
        <w:bidi w:val="1"/>
      </w:pPr>
      <w:r>
        <w:t>بوابة الإنجاز 100%</w:t>
      </w:r>
    </w:p>
    <w:p>
      <w:pPr>
        <w:pStyle w:val="ListBullet"/>
        <w:bidi w:val="1"/>
      </w:pPr>
      <w:r>
        <w:t>لا يُقال إن المنتج جاهز حتى يكون لكل P0 دليل اختبار أو إثبات مقبول، ولا توجد نتائج حرجة غير قابلة للتتبع، ولا توجد فجوة أمنية أو عزل غير معالجة في المسارات التي يغطيها المنتج، وتكون دورة التشغيل الكاملة مثبتة من الحالة الافتتاحية إلى الإغلاق والترحيل والاستمرار.</w:t>
      </w:r>
    </w:p>
    <w:p>
      <w:pPr>
        <w:pStyle w:val="Heading2"/>
        <w:bidi w:val="1"/>
      </w:pPr>
      <w:r>
        <w:t>قاعدة عدم الاختراع</w:t>
      </w:r>
    </w:p>
    <w:p>
      <w:pPr>
        <w:pStyle w:val="ListBullet"/>
        <w:bidi w:val="1"/>
      </w:pPr>
      <w:r>
        <w:t>عند مواجهة فجوة، لا يُخترع مكون أو اسم أو مسار مسبقًا. يُكتشف موضع التنفيذ الحالي، ويُعاد تقييم أفضل نقطة لإصلاحه. إذا كانت الفجوة تتطلب قرارًا منتجيًا غير موجود في المرجع، يجب صياغة المشكلة والبدائل والأثر قبل البناء بدل اختراع ميزة.</w:t>
      </w:r>
    </w:p>
    <w:p>
      <w:pPr>
        <w:pStyle w:val="Heading2"/>
        <w:bidi w:val="1"/>
      </w:pPr>
      <w:r>
        <w:t>قاعدة عدم التوقف عند أول نجاح</w:t>
      </w:r>
    </w:p>
    <w:p>
      <w:pPr>
        <w:pStyle w:val="ListBullet"/>
        <w:bidi w:val="1"/>
      </w:pPr>
      <w:r>
        <w:t>بعد نجاح المسار المحلي، يجب تتبع الأثر إلى الحالة والتقارير والصلاحيات والفترة التالية، لأن قيمة MIZAN في ترابط السلسلة لا في نجاح خطوة منفردة.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1F2"/>
            <w:vAlign w:val="center"/>
          </w:tcPr>
          <w:p>
            <w:pPr>
              <w:bidi w:val="1"/>
              <w:jc w:val="right"/>
            </w:pPr>
            <w:r>
              <w:t>اختبار الإنجاز</w:t>
            </w:r>
          </w:p>
        </w:tc>
        <w:tc>
          <w:tcPr>
            <w:tcW w:type="dxa" w:w="5112"/>
            <w:shd w:fill="D9E1F2"/>
            <w:vAlign w:val="center"/>
          </w:tcPr>
          <w:p>
            <w:pPr>
              <w:bidi w:val="1"/>
              <w:jc w:val="right"/>
            </w:pPr>
            <w:r>
              <w:t>القاعدة</w:t>
            </w:r>
          </w:p>
        </w:tc>
      </w:tr>
      <w:tr>
        <w:tc>
          <w:tcPr>
            <w:tcW w:type="dxa" w:w="5112"/>
          </w:tcPr>
          <w:p>
            <w:pPr>
              <w:bidi w:val="1"/>
              <w:jc w:val="right"/>
            </w:pPr>
            <w:r>
              <w:t>الدليل</w:t>
            </w:r>
          </w:p>
        </w:tc>
        <w:tc>
          <w:tcPr>
            <w:tcW w:type="dxa" w:w="5112"/>
          </w:tcPr>
          <w:p>
            <w:pPr>
              <w:bidi w:val="1"/>
              <w:jc w:val="right"/>
            </w:pPr>
            <w:r>
              <w:t>يجب أن يكون للسلوك إثبات يمكن الرجوع إليه، لا مجرد وصف أنه "يعمل".</w:t>
            </w:r>
          </w:p>
        </w:tc>
      </w:tr>
    </w:tbl>
    <w:p/>
    <w:p>
      <w:r>
        <w:br w:type="page"/>
      </w:r>
    </w:p>
    <w:p>
      <w:pPr>
        <w:pStyle w:val="Heading1"/>
        <w:bidi w:val="1"/>
      </w:pPr>
      <w:r>
        <w:t>المرجعية العالمية والسياق اليمني</w:t>
      </w:r>
    </w:p>
    <w:p>
      <w:pPr>
        <w:bidi w:val="1"/>
      </w:pPr>
      <w:r>
        <w:rPr>
          <w:b/>
        </w:rPr>
        <w:t xml:space="preserve">لماذا هذه المراجع؟ </w:t>
      </w:r>
      <w:r>
        <w:t>لأن MIZAN تجمع بين خدمة مياه صغيرة/ريفية، تشغيل ميداني، بيانات تشغيلية ومالية، ذكاء اصطناعي، وصلاحيات متعددة المستويات. لذلك لا يوجد معيار واحد يكفي؛ تم استخدام مجموعة مراجع متكاملة.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1F2"/>
          </w:tcPr>
          <w:p>
            <w:pPr>
              <w:bidi w:val="1"/>
              <w:jc w:val="right"/>
            </w:pPr>
            <w:r>
              <w:t>المجال</w:t>
            </w:r>
          </w:p>
        </w:tc>
        <w:tc>
          <w:tcPr>
            <w:tcW w:type="dxa" w:w="2556"/>
            <w:shd w:fill="D9E1F2"/>
          </w:tcPr>
          <w:p>
            <w:pPr>
              <w:bidi w:val="1"/>
              <w:jc w:val="right"/>
            </w:pPr>
            <w:r>
              <w:t>المرجع</w:t>
            </w:r>
          </w:p>
        </w:tc>
        <w:tc>
          <w:tcPr>
            <w:tcW w:type="dxa" w:w="2556"/>
            <w:shd w:fill="D9E1F2"/>
          </w:tcPr>
          <w:p>
            <w:pPr>
              <w:bidi w:val="1"/>
              <w:jc w:val="right"/>
            </w:pPr>
            <w:r>
              <w:t>ما نأخذه منه</w:t>
            </w:r>
          </w:p>
        </w:tc>
        <w:tc>
          <w:tcPr>
            <w:tcW w:type="dxa" w:w="2556"/>
            <w:shd w:fill="D9E1F2"/>
          </w:tcPr>
          <w:p>
            <w:pPr>
              <w:bidi w:val="1"/>
              <w:jc w:val="right"/>
            </w:pPr>
            <w:r>
              <w:t>التطبيق في MIZAN</w:t>
            </w:r>
          </w:p>
        </w:tc>
      </w:tr>
      <w:tr>
        <w:tc>
          <w:tcPr>
            <w:tcW w:type="dxa" w:w="2556"/>
          </w:tcPr>
          <w:p>
            <w:pPr>
              <w:bidi w:val="1"/>
              <w:jc w:val="right"/>
            </w:pPr>
            <w:r>
              <w:t>المياه والخدمة</w:t>
            </w:r>
          </w:p>
        </w:tc>
        <w:tc>
          <w:tcPr>
            <w:tcW w:type="dxa" w:w="2556"/>
          </w:tcPr>
          <w:p>
            <w:pPr>
              <w:bidi w:val="1"/>
              <w:jc w:val="right"/>
            </w:pPr>
            <w:r>
              <w:t>ISO 24512:2024 / ISO 24510:2024</w:t>
            </w:r>
          </w:p>
        </w:tc>
        <w:tc>
          <w:tcPr>
            <w:tcW w:type="dxa" w:w="2556"/>
          </w:tcPr>
          <w:p>
            <w:pPr>
              <w:bidi w:val="1"/>
              <w:jc w:val="right"/>
            </w:pPr>
            <w:r>
              <w:t>إدارة الخدمة، تقييمها، احتياجات المستخدم، مؤشرات الأداء</w:t>
            </w:r>
          </w:p>
        </w:tc>
        <w:tc>
          <w:tcPr>
            <w:tcW w:type="dxa" w:w="2556"/>
          </w:tcPr>
          <w:p>
            <w:pPr>
              <w:bidi w:val="1"/>
              <w:jc w:val="right"/>
            </w:pPr>
            <w:r>
              <w:t>تعريف النتائج والخدمة والمؤشرات دون نسخ معيارية غير لازمة</w:t>
            </w:r>
          </w:p>
        </w:tc>
      </w:tr>
      <w:tr>
        <w:tc>
          <w:tcPr>
            <w:tcW w:type="dxa" w:w="2556"/>
          </w:tcPr>
          <w:p>
            <w:pPr>
              <w:bidi w:val="1"/>
              <w:jc w:val="right"/>
            </w:pPr>
            <w:r>
              <w:t>الإمدادات الصغيرة والسلامة</w:t>
            </w:r>
          </w:p>
        </w:tc>
        <w:tc>
          <w:tcPr>
            <w:tcW w:type="dxa" w:w="2556"/>
          </w:tcPr>
          <w:p>
            <w:pPr>
              <w:bidi w:val="1"/>
              <w:jc w:val="right"/>
            </w:pPr>
            <w:r>
              <w:t>WHO 2024 + Water Safety Planning</w:t>
            </w:r>
          </w:p>
        </w:tc>
        <w:tc>
          <w:tcPr>
            <w:tcW w:type="dxa" w:w="2556"/>
          </w:tcPr>
          <w:p>
            <w:pPr>
              <w:bidi w:val="1"/>
              <w:jc w:val="right"/>
            </w:pPr>
            <w:r>
              <w:t>الإدارة القائمة على المخاطر، المراقبة، التحسين التدريجي</w:t>
            </w:r>
          </w:p>
        </w:tc>
        <w:tc>
          <w:tcPr>
            <w:tcW w:type="dxa" w:w="2556"/>
          </w:tcPr>
          <w:p>
            <w:pPr>
              <w:bidi w:val="1"/>
              <w:jc w:val="right"/>
            </w:pPr>
            <w:r>
              <w:t>إدراج المخاطر والسلامة عندما تكون ضمن نطاق المشروع</w:t>
            </w:r>
          </w:p>
        </w:tc>
      </w:tr>
      <w:tr>
        <w:tc>
          <w:tcPr>
            <w:tcW w:type="dxa" w:w="2556"/>
          </w:tcPr>
          <w:p>
            <w:pPr>
              <w:bidi w:val="1"/>
              <w:jc w:val="right"/>
            </w:pPr>
            <w:r>
              <w:t>اكتشاف الأحداث</w:t>
            </w:r>
          </w:p>
        </w:tc>
        <w:tc>
          <w:tcPr>
            <w:tcW w:type="dxa" w:w="2556"/>
          </w:tcPr>
          <w:p>
            <w:pPr>
              <w:bidi w:val="1"/>
              <w:jc w:val="right"/>
            </w:pPr>
            <w:r>
              <w:t>ISO/TS 24522:2019</w:t>
            </w:r>
          </w:p>
        </w:tc>
        <w:tc>
          <w:tcPr>
            <w:tcW w:type="dxa" w:w="2556"/>
          </w:tcPr>
          <w:p>
            <w:pPr>
              <w:bidi w:val="1"/>
              <w:jc w:val="right"/>
            </w:pPr>
            <w:r>
              <w:t>اكتشاف وتصنيف التغيرات غير الطبيعية</w:t>
            </w:r>
          </w:p>
        </w:tc>
        <w:tc>
          <w:tcPr>
            <w:tcW w:type="dxa" w:w="2556"/>
          </w:tcPr>
          <w:p>
            <w:pPr>
              <w:bidi w:val="1"/>
              <w:jc w:val="right"/>
            </w:pPr>
            <w:r>
              <w:t>تنبيهات قائمة على سياق وسبب وأثر</w:t>
            </w:r>
          </w:p>
        </w:tc>
      </w:tr>
      <w:tr>
        <w:tc>
          <w:tcPr>
            <w:tcW w:type="dxa" w:w="2556"/>
          </w:tcPr>
          <w:p>
            <w:pPr>
              <w:bidi w:val="1"/>
              <w:jc w:val="right"/>
            </w:pPr>
            <w:r>
              <w:t>الأصول</w:t>
            </w:r>
          </w:p>
        </w:tc>
        <w:tc>
          <w:tcPr>
            <w:tcW w:type="dxa" w:w="2556"/>
          </w:tcPr>
          <w:p>
            <w:pPr>
              <w:bidi w:val="1"/>
              <w:jc w:val="right"/>
            </w:pPr>
            <w:r>
              <w:t>ISO 55001:2024</w:t>
            </w:r>
          </w:p>
        </w:tc>
        <w:tc>
          <w:tcPr>
            <w:tcW w:type="dxa" w:w="2556"/>
          </w:tcPr>
          <w:p>
            <w:pPr>
              <w:bidi w:val="1"/>
              <w:jc w:val="right"/>
            </w:pPr>
            <w:r>
              <w:t>إدارة دورة حياة الأصل</w:t>
            </w:r>
          </w:p>
        </w:tc>
        <w:tc>
          <w:tcPr>
            <w:tcW w:type="dxa" w:w="2556"/>
          </w:tcPr>
          <w:p>
            <w:pPr>
              <w:bidi w:val="1"/>
              <w:jc w:val="right"/>
            </w:pPr>
            <w:r>
              <w:t>ربط الحالة والتشغيل والصيانة والتاريخ</w:t>
            </w:r>
          </w:p>
        </w:tc>
      </w:tr>
      <w:tr>
        <w:tc>
          <w:tcPr>
            <w:tcW w:type="dxa" w:w="2556"/>
          </w:tcPr>
          <w:p>
            <w:pPr>
              <w:bidi w:val="1"/>
              <w:jc w:val="right"/>
            </w:pPr>
            <w:r>
              <w:t>الذكاء الاصطناعي</w:t>
            </w:r>
          </w:p>
        </w:tc>
        <w:tc>
          <w:tcPr>
            <w:tcW w:type="dxa" w:w="2556"/>
          </w:tcPr>
          <w:p>
            <w:pPr>
              <w:bidi w:val="1"/>
              <w:jc w:val="right"/>
            </w:pPr>
            <w:r>
              <w:t>NIST AI RMF + GenAI Profile + ISO/IEC 42001/23894</w:t>
            </w:r>
          </w:p>
        </w:tc>
        <w:tc>
          <w:tcPr>
            <w:tcW w:type="dxa" w:w="2556"/>
          </w:tcPr>
          <w:p>
            <w:pPr>
              <w:bidi w:val="1"/>
              <w:jc w:val="right"/>
            </w:pPr>
            <w:r>
              <w:t>إدارة المخاطر، التقييم، الحوكمة، التتبع</w:t>
            </w:r>
          </w:p>
        </w:tc>
        <w:tc>
          <w:tcPr>
            <w:tcW w:type="dxa" w:w="2556"/>
          </w:tcPr>
          <w:p>
            <w:pPr>
              <w:bidi w:val="1"/>
              <w:jc w:val="right"/>
            </w:pPr>
            <w:r>
              <w:t>AI مساعد/متحقق وليس مصدر حقيقة تلقائي</w:t>
            </w:r>
          </w:p>
        </w:tc>
      </w:tr>
      <w:tr>
        <w:tc>
          <w:tcPr>
            <w:tcW w:type="dxa" w:w="2556"/>
          </w:tcPr>
          <w:p>
            <w:pPr>
              <w:bidi w:val="1"/>
              <w:jc w:val="right"/>
            </w:pPr>
            <w:r>
              <w:t>أمن التطبيق والواجهة البرمجية</w:t>
            </w:r>
          </w:p>
        </w:tc>
        <w:tc>
          <w:tcPr>
            <w:tcW w:type="dxa" w:w="2556"/>
          </w:tcPr>
          <w:p>
            <w:pPr>
              <w:bidi w:val="1"/>
              <w:jc w:val="right"/>
            </w:pPr>
            <w:r>
              <w:t>OWASP ASVS 5.0.0 + API Top 10 2023</w:t>
            </w:r>
          </w:p>
        </w:tc>
        <w:tc>
          <w:tcPr>
            <w:tcW w:type="dxa" w:w="2556"/>
          </w:tcPr>
          <w:p>
            <w:pPr>
              <w:bidi w:val="1"/>
              <w:jc w:val="right"/>
            </w:pPr>
            <w:r>
              <w:t>التحقق من الأمن، العزل، التفويض، الإدخال، الأصول</w:t>
            </w:r>
          </w:p>
        </w:tc>
        <w:tc>
          <w:tcPr>
            <w:tcW w:type="dxa" w:w="2556"/>
          </w:tcPr>
          <w:p>
            <w:pPr>
              <w:bidi w:val="1"/>
              <w:jc w:val="right"/>
            </w:pPr>
            <w:r>
              <w:t>اختبارات سلبية وصلاحيات على مستوى البيانات/الخدمة</w:t>
            </w:r>
          </w:p>
        </w:tc>
      </w:tr>
      <w:tr>
        <w:tc>
          <w:tcPr>
            <w:tcW w:type="dxa" w:w="2556"/>
          </w:tcPr>
          <w:p>
            <w:pPr>
              <w:bidi w:val="1"/>
              <w:jc w:val="right"/>
            </w:pPr>
            <w:r>
              <w:t>الأمن المؤسسي</w:t>
            </w:r>
          </w:p>
        </w:tc>
        <w:tc>
          <w:tcPr>
            <w:tcW w:type="dxa" w:w="2556"/>
          </w:tcPr>
          <w:p>
            <w:pPr>
              <w:bidi w:val="1"/>
              <w:jc w:val="right"/>
            </w:pPr>
            <w:r>
              <w:t>NIST CSF 2.0 + SP 800-61r3 + ISO/IEC 27001:2022</w:t>
            </w:r>
          </w:p>
        </w:tc>
        <w:tc>
          <w:tcPr>
            <w:tcW w:type="dxa" w:w="2556"/>
          </w:tcPr>
          <w:p>
            <w:pPr>
              <w:bidi w:val="1"/>
              <w:jc w:val="right"/>
            </w:pPr>
            <w:r>
              <w:t>الحوكمة والحماية والكشف والاستجابة والتعافي</w:t>
            </w:r>
          </w:p>
        </w:tc>
        <w:tc>
          <w:tcPr>
            <w:tcW w:type="dxa" w:w="2556"/>
          </w:tcPr>
          <w:p>
            <w:pPr>
              <w:bidi w:val="1"/>
              <w:jc w:val="right"/>
            </w:pPr>
            <w:r>
              <w:t>أمن دورة حياة وليس فحصًا نهائيًا</w:t>
            </w:r>
          </w:p>
        </w:tc>
      </w:tr>
      <w:tr>
        <w:tc>
          <w:tcPr>
            <w:tcW w:type="dxa" w:w="2556"/>
          </w:tcPr>
          <w:p>
            <w:pPr>
              <w:bidi w:val="1"/>
              <w:jc w:val="right"/>
            </w:pPr>
            <w:r>
              <w:t>الوصولية والويب</w:t>
            </w:r>
          </w:p>
        </w:tc>
        <w:tc>
          <w:tcPr>
            <w:tcW w:type="dxa" w:w="2556"/>
          </w:tcPr>
          <w:p>
            <w:pPr>
              <w:bidi w:val="1"/>
              <w:jc w:val="right"/>
            </w:pPr>
            <w:r>
              <w:t>WCAG 2.2 / ISO/IEC 40500:2025 + PWA/Web standards</w:t>
            </w:r>
          </w:p>
        </w:tc>
        <w:tc>
          <w:tcPr>
            <w:tcW w:type="dxa" w:w="2556"/>
          </w:tcPr>
          <w:p>
            <w:pPr>
              <w:bidi w:val="1"/>
              <w:jc w:val="right"/>
            </w:pPr>
            <w:r>
              <w:t>إتاحة الاستخدام، الويب القابل للتثبيت، offline primitives</w:t>
            </w:r>
          </w:p>
        </w:tc>
        <w:tc>
          <w:tcPr>
            <w:tcW w:type="dxa" w:w="2556"/>
          </w:tcPr>
          <w:p>
            <w:pPr>
              <w:bidi w:val="1"/>
              <w:jc w:val="right"/>
            </w:pPr>
            <w:r>
              <w:t>واجهة عربية وميدانية على الهاتف</w:t>
            </w:r>
          </w:p>
        </w:tc>
      </w:tr>
      <w:tr>
        <w:tc>
          <w:tcPr>
            <w:tcW w:type="dxa" w:w="2556"/>
          </w:tcPr>
          <w:p>
            <w:pPr>
              <w:bidi w:val="1"/>
              <w:jc w:val="right"/>
            </w:pPr>
            <w:r>
              <w:t>السياق اليمني</w:t>
            </w:r>
          </w:p>
        </w:tc>
        <w:tc>
          <w:tcPr>
            <w:tcW w:type="dxa" w:w="2556"/>
          </w:tcPr>
          <w:p>
            <w:pPr>
              <w:bidi w:val="1"/>
              <w:jc w:val="right"/>
            </w:pPr>
            <w:r>
              <w:t>UNDP/UNICEF Yemen</w:t>
            </w:r>
          </w:p>
        </w:tc>
        <w:tc>
          <w:tcPr>
            <w:tcW w:type="dxa" w:w="2556"/>
          </w:tcPr>
          <w:p>
            <w:pPr>
              <w:bidi w:val="1"/>
              <w:jc w:val="right"/>
            </w:pPr>
            <w:r>
              <w:t>قيود الكهرباء والوقود والريف والطاقة الشمسية والحاجة للخدمات المستدامة</w:t>
            </w:r>
          </w:p>
        </w:tc>
        <w:tc>
          <w:tcPr>
            <w:tcW w:type="dxa" w:w="2556"/>
          </w:tcPr>
          <w:p>
            <w:pPr>
              <w:bidi w:val="1"/>
              <w:jc w:val="right"/>
            </w:pPr>
            <w:r>
              <w:t>offline-first، طاقة/اتصال غير موثوقين، تشغيل محلي</w:t>
            </w:r>
          </w:p>
        </w:tc>
      </w:tr>
    </w:tbl>
    <w:p/>
    <w:p>
      <w:pPr>
        <w:pStyle w:val="Heading1"/>
        <w:bidi w:val="1"/>
      </w:pPr>
      <w:r>
        <w:t>المصادر</w:t>
      </w:r>
    </w:p>
    <w:p>
      <w:pPr>
        <w:bidi w:val="1"/>
      </w:pPr>
      <w:r>
        <w:t xml:space="preserve">1. World Bank — Digital Water: About us — </w:t>
      </w:r>
      <w:hyperlink r:id="rId9">
        <w:r>
          <w:rPr>
            <w:color w:val="0563C1"/>
            <w:u w:val="single"/>
          </w:rPr>
          <w:t>https://www.worldbank.org/en/programs/digital-water/about-us</w:t>
        </w:r>
      </w:hyperlink>
    </w:p>
    <w:p>
      <w:pPr>
        <w:bidi w:val="1"/>
      </w:pPr>
      <w:r>
        <w:t xml:space="preserve">2. World Bank — Water digitalization — </w:t>
      </w:r>
      <w:hyperlink r:id="rId10">
        <w:r>
          <w:rPr>
            <w:color w:val="0563C1"/>
            <w:u w:val="single"/>
          </w:rPr>
          <w:t>https://www.worldbank.org/en/programs/digital-water/water-digitalization</w:t>
        </w:r>
      </w:hyperlink>
    </w:p>
    <w:p>
      <w:pPr>
        <w:bidi w:val="1"/>
      </w:pPr>
      <w:r>
        <w:t xml:space="preserve">3. UNDP Yemen — Solar power brings clean, reliable water to Al-Akahel, Yemen (19 Mar 2025) — </w:t>
      </w:r>
      <w:hyperlink r:id="rId11">
        <w:r>
          <w:rPr>
            <w:color w:val="0563C1"/>
            <w:u w:val="single"/>
          </w:rPr>
          <w:t>https://www.undp.org/yemen/stories/solar-power-brings-clean-reliable-water-al-akahel-yemen</w:t>
        </w:r>
      </w:hyperlink>
    </w:p>
    <w:p>
      <w:pPr>
        <w:bidi w:val="1"/>
      </w:pPr>
      <w:r>
        <w:t xml:space="preserve">4. UNDP Yemen — Harnessing solar for development in Yemen: a review and future outlook (1 Apr 2026) — </w:t>
      </w:r>
      <w:hyperlink r:id="rId12">
        <w:r>
          <w:rPr>
            <w:color w:val="0563C1"/>
            <w:u w:val="single"/>
          </w:rPr>
          <w:t>https://www.undp.org/yemen/publications/harnessing-solar-development-yemen-review-and-future-outlook</w:t>
        </w:r>
      </w:hyperlink>
    </w:p>
    <w:p>
      <w:pPr>
        <w:bidi w:val="1"/>
      </w:pPr>
      <w:r>
        <w:t xml:space="preserve">5. UNICEF Yemen — Water Has Changed Everything: solar-powered water project in Taiz (25 Jan 2026) — </w:t>
      </w:r>
      <w:hyperlink r:id="rId13">
        <w:r>
          <w:rPr>
            <w:color w:val="0563C1"/>
            <w:u w:val="single"/>
          </w:rPr>
          <w:t>https://www.unicef.org/yemen/stories/water-has-changed-everything</w:t>
        </w:r>
      </w:hyperlink>
    </w:p>
    <w:p>
      <w:pPr>
        <w:bidi w:val="1"/>
      </w:pPr>
      <w:r>
        <w:t xml:space="preserve">6. WHO — Guidelines for drinking-water quality: small water supplies (15 Feb 2024) — </w:t>
      </w:r>
      <w:hyperlink r:id="rId14">
        <w:r>
          <w:rPr>
            <w:color w:val="0563C1"/>
            <w:u w:val="single"/>
          </w:rPr>
          <w:t>https://www.who.int/publications-detail-redirect/9789240088740</w:t>
        </w:r>
      </w:hyperlink>
    </w:p>
    <w:p>
      <w:pPr>
        <w:bidi w:val="1"/>
      </w:pPr>
      <w:r>
        <w:t xml:space="preserve">7. WHO — Water Safety Planning — </w:t>
      </w:r>
      <w:hyperlink r:id="rId15">
        <w:r>
          <w:rPr>
            <w:color w:val="0563C1"/>
            <w:u w:val="single"/>
          </w:rPr>
          <w:t>https://www.who.int/teams/environment-climate-change-and-health/water-sanitation-and-health/water-safety-and-quality/water-safety-planning</w:t>
        </w:r>
      </w:hyperlink>
    </w:p>
    <w:p>
      <w:pPr>
        <w:bidi w:val="1"/>
      </w:pPr>
      <w:r>
        <w:t xml:space="preserve">8. ISO/TS 24522:2019 — Event detection process: Guidelines for water and wastewater utilities — </w:t>
      </w:r>
      <w:hyperlink r:id="rId16">
        <w:r>
          <w:rPr>
            <w:color w:val="0563C1"/>
            <w:u w:val="single"/>
          </w:rPr>
          <w:t>https://www.iso.org/standard/59813.html</w:t>
        </w:r>
      </w:hyperlink>
    </w:p>
    <w:p>
      <w:pPr>
        <w:bidi w:val="1"/>
      </w:pPr>
      <w:r>
        <w:t xml:space="preserve">9. NIST — AI Risk Management Framework — </w:t>
      </w:r>
      <w:hyperlink r:id="rId17">
        <w:r>
          <w:rPr>
            <w:color w:val="0563C1"/>
            <w:u w:val="single"/>
          </w:rPr>
          <w:t>https://www.nist.gov/itl/ai-risk-management-framework</w:t>
        </w:r>
      </w:hyperlink>
    </w:p>
    <w:p>
      <w:pPr>
        <w:bidi w:val="1"/>
      </w:pPr>
      <w:r>
        <w:t xml:space="preserve">10. NIST — AI Risk Management Framework: Generative Artificial Intelligence Profile (updated 8 Apr 2026) — </w:t>
      </w:r>
      <w:hyperlink r:id="rId18">
        <w:r>
          <w:rPr>
            <w:color w:val="0563C1"/>
            <w:u w:val="single"/>
          </w:rPr>
          <w:t>https://www.nist.gov/publications/artificial-intelligence-risk-management-framework-generative-artificial-intelligence</w:t>
        </w:r>
      </w:hyperlink>
    </w:p>
    <w:p>
      <w:pPr>
        <w:bidi w:val="1"/>
      </w:pPr>
      <w:r>
        <w:t xml:space="preserve">11. OWASP GenAI Security Project — 2026 Top 10 and Agent Control Standard announcement (Sep 2026) — </w:t>
      </w:r>
      <w:hyperlink r:id="rId19">
        <w:r>
          <w:rPr>
            <w:color w:val="0563C1"/>
            <w:u w:val="single"/>
          </w:rPr>
          <w:t>https://genai.owasp.org/2026/09/01/owasp-genai-security-project-unveils-2026-top-10-for-llm-applications-new-agent-control-standard-and-sponsors-as-community-tops-30000-members/</w:t>
        </w:r>
      </w:hyperlink>
    </w:p>
    <w:p>
      <w:pPr>
        <w:bidi w:val="1"/>
      </w:pPr>
      <w:r>
        <w:t xml:space="preserve">12. OWASP — API Security Top 10 (2023) — </w:t>
      </w:r>
      <w:hyperlink r:id="rId20">
        <w:r>
          <w:rPr>
            <w:color w:val="0563C1"/>
            <w:u w:val="single"/>
          </w:rPr>
          <w:t>https://api-security.owasp.org/editions/2023/en/0x11-t10/</w:t>
        </w:r>
      </w:hyperlink>
    </w:p>
    <w:p>
      <w:pPr>
        <w:bidi w:val="1"/>
      </w:pPr>
      <w:r>
        <w:t xml:space="preserve">13. ISO/IEC 42001:2023 — Artificial intelligence — Management system — </w:t>
      </w:r>
      <w:hyperlink r:id="rId21">
        <w:r>
          <w:rPr>
            <w:color w:val="0563C1"/>
            <w:u w:val="single"/>
          </w:rPr>
          <w:t>https://www.iso.org/standard/42001</w:t>
        </w:r>
      </w:hyperlink>
    </w:p>
    <w:p>
      <w:pPr>
        <w:bidi w:val="1"/>
      </w:pPr>
      <w:r>
        <w:t xml:space="preserve">14. ISO/IEC 23894:2023 — AI — Guidance on risk management — </w:t>
      </w:r>
      <w:hyperlink r:id="rId22">
        <w:r>
          <w:rPr>
            <w:color w:val="0563C1"/>
            <w:u w:val="single"/>
          </w:rPr>
          <w:t>https://www.iso.org/standard/77304.html</w:t>
        </w:r>
      </w:hyperlink>
    </w:p>
    <w:p>
      <w:pPr>
        <w:bidi w:val="1"/>
      </w:pPr>
      <w:r>
        <w:t xml:space="preserve">15. NIST — Cybersecurity Framework 2.0 overview — </w:t>
      </w:r>
      <w:hyperlink r:id="rId23">
        <w:r>
          <w:rPr>
            <w:color w:val="0563C1"/>
            <w:u w:val="single"/>
          </w:rPr>
          <w:t>https://nvlpubs.nist.gov/nistpubs/SpecialPublications/NIST.SP.1299.pdf</w:t>
        </w:r>
      </w:hyperlink>
    </w:p>
    <w:p>
      <w:pPr>
        <w:bidi w:val="1"/>
      </w:pPr>
      <w:r>
        <w:t xml:space="preserve">16. MDN — Using IndexedDB — </w:t>
      </w:r>
      <w:hyperlink r:id="rId24">
        <w:r>
          <w:rPr>
            <w:color w:val="0563C1"/>
            <w:u w:val="single"/>
          </w:rPr>
          <w:t>https://developer.mozilla.org/en-US/docs/Web/API/IndexedDB_API/Using_IndexedDB</w:t>
        </w:r>
      </w:hyperlink>
    </w:p>
    <w:p>
      <w:pPr>
        <w:bidi w:val="1"/>
      </w:pPr>
      <w:r>
        <w:t xml:space="preserve">17. W3C — Service Workers Working Group / offline web applications — </w:t>
      </w:r>
      <w:hyperlink r:id="rId25">
        <w:r>
          <w:rPr>
            <w:color w:val="0563C1"/>
            <w:u w:val="single"/>
          </w:rPr>
          <w:t>https://www.w3.org/groups/wg/service-workers/</w:t>
        </w:r>
      </w:hyperlink>
    </w:p>
    <w:p>
      <w:pPr>
        <w:bidi w:val="1"/>
      </w:pPr>
      <w:r>
        <w:t xml:space="preserve">18. W3C — WCAG 2.2 — </w:t>
      </w:r>
      <w:hyperlink r:id="rId26">
        <w:r>
          <w:rPr>
            <w:color w:val="0563C1"/>
            <w:u w:val="single"/>
          </w:rPr>
          <w:t>https://www.w3.org/TR/WCAG22/</w:t>
        </w:r>
      </w:hyperlink>
    </w:p>
    <w:p>
      <w:pPr>
        <w:bidi w:val="1"/>
      </w:pPr>
      <w:r>
        <w:t xml:space="preserve">19. W3C — WCAG 2.2 approved as ISO/IEC 40500:2025 (21 Oct 2025) — </w:t>
      </w:r>
      <w:hyperlink r:id="rId27">
        <w:r>
          <w:rPr>
            <w:color w:val="0563C1"/>
            <w:u w:val="single"/>
          </w:rPr>
          <w:t>https://www.w3.org/press-releases/2025/wcag22-iso-pas/</w:t>
        </w:r>
      </w:hyperlink>
    </w:p>
    <w:p>
      <w:pPr>
        <w:bidi w:val="1"/>
      </w:pPr>
      <w:r>
        <w:t xml:space="preserve">20. W3C — Web Application Manifest (13 Aug 2026 Working Draft) — </w:t>
      </w:r>
      <w:hyperlink r:id="rId28">
        <w:r>
          <w:rPr>
            <w:color w:val="0563C1"/>
            <w:u w:val="single"/>
          </w:rPr>
          <w:t>https://www.w3.org/TR/appmanifest/</w:t>
        </w:r>
      </w:hyperlink>
    </w:p>
    <w:p>
      <w:pPr>
        <w:bidi w:val="1"/>
      </w:pPr>
      <w:r>
        <w:t xml:space="preserve">21. ISO 24512:2024 — Management of drinking water utilities and assessment of services — </w:t>
      </w:r>
      <w:hyperlink r:id="rId29">
        <w:r>
          <w:rPr>
            <w:color w:val="0563C1"/>
            <w:u w:val="single"/>
          </w:rPr>
          <w:t>https://www.iso.org/standard/82490.html</w:t>
        </w:r>
      </w:hyperlink>
    </w:p>
    <w:p>
      <w:pPr>
        <w:bidi w:val="1"/>
      </w:pPr>
      <w:r>
        <w:t xml:space="preserve">22. ISO 24510:2024 — Assessment and improvement of service to users — </w:t>
      </w:r>
      <w:hyperlink r:id="rId30">
        <w:r>
          <w:rPr>
            <w:color w:val="0563C1"/>
            <w:u w:val="single"/>
          </w:rPr>
          <w:t>https://www.iso.org/standard/81484.html</w:t>
        </w:r>
      </w:hyperlink>
    </w:p>
    <w:p>
      <w:pPr>
        <w:bidi w:val="1"/>
      </w:pPr>
      <w:r>
        <w:t xml:space="preserve">23. ISO 55001:2024 — Asset management system — Requirements — </w:t>
      </w:r>
      <w:hyperlink r:id="rId31">
        <w:r>
          <w:rPr>
            <w:color w:val="0563C1"/>
            <w:u w:val="single"/>
          </w:rPr>
          <w:t>https://www.iso.org/standard/83054.html</w:t>
        </w:r>
      </w:hyperlink>
    </w:p>
    <w:p>
      <w:pPr>
        <w:bidi w:val="1"/>
      </w:pPr>
      <w:r>
        <w:t xml:space="preserve">24. WHO — Compendium of drinking-water systems and technologies (2025) — </w:t>
      </w:r>
      <w:hyperlink r:id="rId32">
        <w:r>
          <w:rPr>
            <w:color w:val="0563C1"/>
            <w:u w:val="single"/>
          </w:rPr>
          <w:t>https://www.who.int/publications/i/item/9789240113992</w:t>
        </w:r>
      </w:hyperlink>
    </w:p>
    <w:p>
      <w:pPr>
        <w:bidi w:val="1"/>
      </w:pPr>
      <w:r>
        <w:t xml:space="preserve">25. ISO/TR 24514:2018 — Examples of performance indicators — </w:t>
      </w:r>
      <w:hyperlink r:id="rId33">
        <w:r>
          <w:rPr>
            <w:color w:val="0563C1"/>
            <w:u w:val="single"/>
          </w:rPr>
          <w:t>https://www.iso.org/standard/64115.html</w:t>
        </w:r>
      </w:hyperlink>
    </w:p>
    <w:p>
      <w:pPr>
        <w:bidi w:val="1"/>
      </w:pPr>
      <w:r>
        <w:t xml:space="preserve">26. NIST — SP 800-61 Rev. 3 Incident Response (Apr 2025) — </w:t>
      </w:r>
      <w:hyperlink r:id="rId34">
        <w:r>
          <w:rPr>
            <w:color w:val="0563C1"/>
            <w:u w:val="single"/>
          </w:rPr>
          <w:t>https://csrc.nist.gov/pubs/sp/800/61/r3/final</w:t>
        </w:r>
      </w:hyperlink>
    </w:p>
    <w:p>
      <w:pPr>
        <w:bidi w:val="1"/>
      </w:pPr>
      <w:r>
        <w:t xml:space="preserve">27. NIST — SP 800-218 SSDF 1.1 — </w:t>
      </w:r>
      <w:hyperlink r:id="rId35">
        <w:r>
          <w:rPr>
            <w:color w:val="0563C1"/>
            <w:u w:val="single"/>
          </w:rPr>
          <w:t>https://csrc.nist.gov/pubs/sp/800/218/final</w:t>
        </w:r>
      </w:hyperlink>
    </w:p>
    <w:p>
      <w:pPr>
        <w:bidi w:val="1"/>
      </w:pPr>
      <w:r>
        <w:t xml:space="preserve">28. OWASP — Application Security Verification Standard 5.0.0 (May 2025) — </w:t>
      </w:r>
      <w:hyperlink r:id="rId36">
        <w:r>
          <w:rPr>
            <w:color w:val="0563C1"/>
            <w:u w:val="single"/>
          </w:rPr>
          <w:t>https://owasp.org/projects/asvs</w:t>
        </w:r>
      </w:hyperlink>
    </w:p>
    <w:p>
      <w:pPr>
        <w:bidi w:val="1"/>
      </w:pPr>
      <w:r>
        <w:t xml:space="preserve">29. ISO/IEC 27001:2022 — Information security management systems — </w:t>
      </w:r>
      <w:hyperlink r:id="rId37">
        <w:r>
          <w:rPr>
            <w:color w:val="0563C1"/>
            <w:u w:val="single"/>
          </w:rPr>
          <w:t>https://www.iso.org/standard/27001?archive=all</w:t>
        </w:r>
      </w:hyperlink>
    </w:p>
    <w:p>
      <w:pPr>
        <w:bidi w:val="1"/>
      </w:pPr>
      <w:r>
        <w:rPr>
          <w:b/>
        </w:rPr>
        <w:t xml:space="preserve">ملاحظة تنفيذية نهائية: </w:t>
      </w:r>
      <w:r>
        <w:t>المرجع يحدد السلوك المطلوب. وكيل البناء هو المسؤول عن اكتشاف التنفيذ الحالي، اختيار طريقة التنفيذ الآمنة، إجراء التغييرات، واختبار السلسلة الكاملة. لا يجوز تحويل هذا المرجع مباشرة إلى قائمة شاشات أو جداول أو دوال.</w:t>
      </w:r>
    </w:p>
    <w:p>
      <w:pPr>
        <w:pStyle w:val="Heading1"/>
        <w:jc w:val="right"/>
        <w:bidi w:val="1"/>
      </w:pPr>
      <w:r>
        <w:t>16. مكتبة مواصفات سير العمل</w:t>
      </w:r>
    </w:p>
    <w:p>
      <w:pPr>
        <w:jc w:val="right"/>
        <w:bidi w:val="1"/>
      </w:pPr>
      <w:r>
        <w:rPr>
          <w:b/>
        </w:rPr>
        <w:t xml:space="preserve">هدف الخطوة: </w:t>
      </w:r>
      <w:r>
        <w:t>تحويل السيناريوهات إلى سلوك قابل للبناء والاختبار دون فرض مسار تقني.</w:t>
      </w:r>
    </w:p>
    <w:p>
      <w:pPr>
        <w:pStyle w:val="Heading2"/>
        <w:jc w:val="right"/>
        <w:bidi w:val="1"/>
      </w:pPr>
      <w:r>
        <w:t>1. دخول مشروع قائم</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تثبيت الواقع الحالي دون افتراض اكتمال التاريخ</w:t>
            </w:r>
          </w:p>
        </w:tc>
        <w:tc>
          <w:tcPr>
            <w:tcW w:type="dxa" w:w="1704"/>
            <w:vAlign w:val="center"/>
          </w:tcPr>
          <w:p>
            <w:pPr>
              <w:jc w:val="right"/>
              <w:bidi w:val="1"/>
            </w:pPr>
            <w:r>
              <w:t>بدء إدخال المشروع</w:t>
            </w:r>
          </w:p>
        </w:tc>
        <w:tc>
          <w:tcPr>
            <w:tcW w:type="dxa" w:w="1704"/>
            <w:vAlign w:val="center"/>
          </w:tcPr>
          <w:p>
            <w:pPr>
              <w:jc w:val="right"/>
              <w:bidi w:val="1"/>
            </w:pPr>
            <w:r>
              <w:t>السياق، الحالة، الأصول، الخدمة، القياسات المتاحة</w:t>
            </w:r>
          </w:p>
        </w:tc>
        <w:tc>
          <w:tcPr>
            <w:tcW w:type="dxa" w:w="1704"/>
            <w:vAlign w:val="center"/>
          </w:tcPr>
          <w:p>
            <w:pPr>
              <w:jc w:val="right"/>
              <w:bidi w:val="1"/>
            </w:pPr>
            <w:r>
              <w:t>إنشاء خط أساس موثق، تمييز المعروف وغير المعروف، بدء المتابعة الحية</w:t>
            </w:r>
          </w:p>
        </w:tc>
        <w:tc>
          <w:tcPr>
            <w:tcW w:type="dxa" w:w="1704"/>
            <w:vAlign w:val="center"/>
          </w:tcPr>
          <w:p>
            <w:pPr>
              <w:jc w:val="right"/>
              <w:bidi w:val="1"/>
            </w:pPr>
            <w:r>
              <w:t>خط أساس + حالة حالية + أدلة</w:t>
            </w:r>
          </w:p>
        </w:tc>
        <w:tc>
          <w:tcPr>
            <w:tcW w:type="dxa" w:w="1704"/>
            <w:vAlign w:val="center"/>
          </w:tcPr>
          <w:p>
            <w:pPr>
              <w:jc w:val="right"/>
              <w:bidi w:val="1"/>
            </w:pPr>
            <w:r>
              <w:t>خط الأساس يجب أن يكون قابلًا لتفسير مصدر كل قيمة مهمة.</w:t>
            </w:r>
          </w:p>
        </w:tc>
      </w:tr>
    </w:tbl>
    <w:p/>
    <w:p>
      <w:pPr>
        <w:pStyle w:val="Heading2"/>
        <w:jc w:val="right"/>
        <w:bidi w:val="1"/>
      </w:pPr>
      <w:r>
        <w:t>2. المشروع الجديد</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تتبع المشروع من الاحتياج إلى الجاهزية ثم التشغيل</w:t>
            </w:r>
          </w:p>
        </w:tc>
        <w:tc>
          <w:tcPr>
            <w:tcW w:type="dxa" w:w="1704"/>
            <w:vAlign w:val="center"/>
          </w:tcPr>
          <w:p>
            <w:pPr>
              <w:jc w:val="right"/>
              <w:bidi w:val="1"/>
            </w:pPr>
            <w:r>
              <w:t>إنشاء مشروع جديد</w:t>
            </w:r>
          </w:p>
        </w:tc>
        <w:tc>
          <w:tcPr>
            <w:tcW w:type="dxa" w:w="1704"/>
            <w:vAlign w:val="center"/>
          </w:tcPr>
          <w:p>
            <w:pPr>
              <w:jc w:val="right"/>
              <w:bidi w:val="1"/>
            </w:pPr>
            <w:r>
              <w:t>الاحتياج، التصميم، القدرة التصميمية، التخطيط، الجاهزية</w:t>
            </w:r>
          </w:p>
        </w:tc>
        <w:tc>
          <w:tcPr>
            <w:tcW w:type="dxa" w:w="1704"/>
            <w:vAlign w:val="center"/>
          </w:tcPr>
          <w:p>
            <w:pPr>
              <w:jc w:val="right"/>
              <w:bidi w:val="1"/>
            </w:pPr>
            <w:r>
              <w:t>ربط مراحل التطور مع الحالة الفعلية ومنع الخلط بين المخطط والمنفذ والتشغيلي</w:t>
            </w:r>
          </w:p>
        </w:tc>
        <w:tc>
          <w:tcPr>
            <w:tcW w:type="dxa" w:w="1704"/>
            <w:vAlign w:val="center"/>
          </w:tcPr>
          <w:p>
            <w:pPr>
              <w:jc w:val="right"/>
              <w:bidi w:val="1"/>
            </w:pPr>
            <w:r>
              <w:t>حالة مرحلة + معلومات مرجعية</w:t>
            </w:r>
          </w:p>
        </w:tc>
        <w:tc>
          <w:tcPr>
            <w:tcW w:type="dxa" w:w="1704"/>
            <w:vAlign w:val="center"/>
          </w:tcPr>
          <w:p>
            <w:pPr>
              <w:jc w:val="right"/>
              <w:bidi w:val="1"/>
            </w:pPr>
            <w:r>
              <w:t>لا تُعتبر مرحلة مكتملة دون دليل مناسب.</w:t>
            </w:r>
          </w:p>
        </w:tc>
      </w:tr>
    </w:tbl>
    <w:p/>
    <w:p>
      <w:pPr>
        <w:pStyle w:val="Heading2"/>
        <w:jc w:val="right"/>
        <w:bidi w:val="1"/>
      </w:pPr>
      <w:r>
        <w:t>3. حدث إنتاج المياه</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إدخال الإنتاج إلى الحالة التشغيلية دون انتظار الإغلاق</w:t>
            </w:r>
          </w:p>
        </w:tc>
        <w:tc>
          <w:tcPr>
            <w:tcW w:type="dxa" w:w="1704"/>
            <w:vAlign w:val="center"/>
          </w:tcPr>
          <w:p>
            <w:pPr>
              <w:jc w:val="right"/>
              <w:bidi w:val="1"/>
            </w:pPr>
            <w:r>
              <w:t>حدوث إنتاج/قياس معتمد</w:t>
            </w:r>
          </w:p>
        </w:tc>
        <w:tc>
          <w:tcPr>
            <w:tcW w:type="dxa" w:w="1704"/>
            <w:vAlign w:val="center"/>
          </w:tcPr>
          <w:p>
            <w:pPr>
              <w:jc w:val="right"/>
              <w:bidi w:val="1"/>
            </w:pPr>
            <w:r>
              <w:t>قياس، وقت، مصدر، دليل، سياق المشروع</w:t>
            </w:r>
          </w:p>
        </w:tc>
        <w:tc>
          <w:tcPr>
            <w:tcW w:type="dxa" w:w="1704"/>
            <w:vAlign w:val="center"/>
          </w:tcPr>
          <w:p>
            <w:pPr>
              <w:jc w:val="right"/>
              <w:bidi w:val="1"/>
            </w:pPr>
            <w:r>
              <w:t>تحقق ثم تحديث الكمية والحالة والنتائج التي تعتمد عليها</w:t>
            </w:r>
          </w:p>
        </w:tc>
        <w:tc>
          <w:tcPr>
            <w:tcW w:type="dxa" w:w="1704"/>
            <w:vAlign w:val="center"/>
          </w:tcPr>
          <w:p>
            <w:pPr>
              <w:jc w:val="right"/>
              <w:bidi w:val="1"/>
            </w:pPr>
            <w:r>
              <w:t>إنتاج معتمد + تحديث الحالة</w:t>
            </w:r>
          </w:p>
        </w:tc>
        <w:tc>
          <w:tcPr>
            <w:tcW w:type="dxa" w:w="1704"/>
            <w:vAlign w:val="center"/>
          </w:tcPr>
          <w:p>
            <w:pPr>
              <w:jc w:val="right"/>
              <w:bidi w:val="1"/>
            </w:pPr>
            <w:r>
              <w:t>اختبار انتقال الإنتاج إلى العمليات التابعة.</w:t>
            </w:r>
          </w:p>
        </w:tc>
      </w:tr>
    </w:tbl>
    <w:p/>
    <w:p>
      <w:pPr>
        <w:pStyle w:val="Heading2"/>
        <w:jc w:val="right"/>
        <w:bidi w:val="1"/>
      </w:pPr>
      <w:r>
        <w:t>4. حالة التخزين/المياه المتاحة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الحفاظ على استمرارية رصيد المياه أثناء التشغيل والفترات</w:t>
            </w:r>
          </w:p>
        </w:tc>
        <w:tc>
          <w:tcPr>
            <w:tcW w:type="dxa" w:w="1704"/>
            <w:vAlign w:val="center"/>
          </w:tcPr>
          <w:p>
            <w:pPr>
              <w:jc w:val="right"/>
              <w:bidi w:val="1"/>
            </w:pPr>
            <w:r>
              <w:t>تغير في المياه المخزنة/المتاحة</w:t>
            </w:r>
          </w:p>
        </w:tc>
        <w:tc>
          <w:tcPr>
            <w:tcW w:type="dxa" w:w="1704"/>
            <w:vAlign w:val="center"/>
          </w:tcPr>
          <w:p>
            <w:pPr>
              <w:jc w:val="right"/>
              <w:bidi w:val="1"/>
            </w:pPr>
            <w:r>
              <w:t>الحالة السابقة + الحدث الجديد + السياق الزمني</w:t>
            </w:r>
          </w:p>
        </w:tc>
        <w:tc>
          <w:tcPr>
            <w:tcW w:type="dxa" w:w="1704"/>
            <w:vAlign w:val="center"/>
          </w:tcPr>
          <w:p>
            <w:pPr>
              <w:jc w:val="right"/>
              <w:bidi w:val="1"/>
            </w:pPr>
            <w:r>
              <w:t>حساب الحالة الجديدة والتحقق من الاتساق</w:t>
            </w:r>
          </w:p>
        </w:tc>
        <w:tc>
          <w:tcPr>
            <w:tcW w:type="dxa" w:w="1704"/>
            <w:vAlign w:val="center"/>
          </w:tcPr>
          <w:p>
            <w:pPr>
              <w:jc w:val="right"/>
              <w:bidi w:val="1"/>
            </w:pPr>
            <w:r>
              <w:t>رصيد حالي + أثر تاريخي</w:t>
            </w:r>
          </w:p>
        </w:tc>
        <w:tc>
          <w:tcPr>
            <w:tcW w:type="dxa" w:w="1704"/>
            <w:vAlign w:val="center"/>
          </w:tcPr>
          <w:p>
            <w:pPr>
              <w:jc w:val="right"/>
              <w:bidi w:val="1"/>
            </w:pPr>
            <w:r>
              <w:t>لا يجوز أن يتعارض الرصيد الحالي مع أحداثه المعتمدة.</w:t>
            </w:r>
          </w:p>
        </w:tc>
      </w:tr>
    </w:tbl>
    <w:p/>
    <w:p>
      <w:pPr>
        <w:pStyle w:val="Heading2"/>
        <w:jc w:val="right"/>
        <w:bidi w:val="1"/>
      </w:pPr>
      <w:r>
        <w:t>5. التقاط قراءة عداد ميدانية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تحويل صورة/قراءة ميدانية إلى قياس موثوق</w:t>
            </w:r>
          </w:p>
        </w:tc>
        <w:tc>
          <w:tcPr>
            <w:tcW w:type="dxa" w:w="1704"/>
            <w:vAlign w:val="center"/>
          </w:tcPr>
          <w:p>
            <w:pPr>
              <w:jc w:val="right"/>
              <w:bidi w:val="1"/>
            </w:pPr>
            <w:r>
              <w:t>الوصول إلى أداة القياس</w:t>
            </w:r>
          </w:p>
        </w:tc>
        <w:tc>
          <w:tcPr>
            <w:tcW w:type="dxa" w:w="1704"/>
            <w:vAlign w:val="center"/>
          </w:tcPr>
          <w:p>
            <w:pPr>
              <w:jc w:val="right"/>
              <w:bidi w:val="1"/>
            </w:pPr>
            <w:r>
              <w:t>صورة، هوية الأداة، قراءة، وقت، موقع، مستخدم</w:t>
            </w:r>
          </w:p>
        </w:tc>
        <w:tc>
          <w:tcPr>
            <w:tcW w:type="dxa" w:w="1704"/>
            <w:vAlign w:val="center"/>
          </w:tcPr>
          <w:p>
            <w:pPr>
              <w:jc w:val="right"/>
              <w:bidi w:val="1"/>
            </w:pPr>
            <w:r>
              <w:t>التحقق من الهوية أولًا عند تأثيرها على النتيجة ثم استخراج/إدخال القراءة والتحقق</w:t>
            </w:r>
          </w:p>
        </w:tc>
        <w:tc>
          <w:tcPr>
            <w:tcW w:type="dxa" w:w="1704"/>
            <w:vAlign w:val="center"/>
          </w:tcPr>
          <w:p>
            <w:pPr>
              <w:jc w:val="right"/>
              <w:bidi w:val="1"/>
            </w:pPr>
            <w:r>
              <w:t>قراءة موثوقة أو حالة مراجعة</w:t>
            </w:r>
          </w:p>
        </w:tc>
        <w:tc>
          <w:tcPr>
            <w:tcW w:type="dxa" w:w="1704"/>
            <w:vAlign w:val="center"/>
          </w:tcPr>
          <w:p>
            <w:pPr>
              <w:jc w:val="right"/>
              <w:bidi w:val="1"/>
            </w:pPr>
            <w:r>
              <w:t>يجب بقاء الصورة والمعلومة المستخرجة والقرار.</w:t>
            </w:r>
          </w:p>
        </w:tc>
      </w:tr>
    </w:tbl>
    <w:p/>
    <w:p>
      <w:pPr>
        <w:pStyle w:val="Heading2"/>
        <w:jc w:val="right"/>
        <w:bidi w:val="1"/>
      </w:pPr>
      <w:r>
        <w:t>6. الاستهلاك والاستحقاق</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تحويل القراءة المعتمدة إلى استهلاك واستحقاق وفق القواعد</w:t>
            </w:r>
          </w:p>
        </w:tc>
        <w:tc>
          <w:tcPr>
            <w:tcW w:type="dxa" w:w="1704"/>
            <w:vAlign w:val="center"/>
          </w:tcPr>
          <w:p>
            <w:pPr>
              <w:jc w:val="right"/>
              <w:bidi w:val="1"/>
            </w:pPr>
            <w:r>
              <w:t>اعتماد قراءة</w:t>
            </w:r>
          </w:p>
        </w:tc>
        <w:tc>
          <w:tcPr>
            <w:tcW w:type="dxa" w:w="1704"/>
            <w:vAlign w:val="center"/>
          </w:tcPr>
          <w:p>
            <w:pPr>
              <w:jc w:val="right"/>
              <w:bidi w:val="1"/>
            </w:pPr>
            <w:r>
              <w:t>قراءات سابقة/حالية، سياسة الخدمة، التعرفة</w:t>
            </w:r>
          </w:p>
        </w:tc>
        <w:tc>
          <w:tcPr>
            <w:tcW w:type="dxa" w:w="1704"/>
            <w:vAlign w:val="center"/>
          </w:tcPr>
          <w:p>
            <w:pPr>
              <w:jc w:val="right"/>
              <w:bidi w:val="1"/>
            </w:pPr>
            <w:r>
              <w:t>حساب الاستهلاك ثم الاستحقاق مع حفظ مصدر الحساب</w:t>
            </w:r>
          </w:p>
        </w:tc>
        <w:tc>
          <w:tcPr>
            <w:tcW w:type="dxa" w:w="1704"/>
            <w:vAlign w:val="center"/>
          </w:tcPr>
          <w:p>
            <w:pPr>
              <w:jc w:val="right"/>
              <w:bidi w:val="1"/>
            </w:pPr>
            <w:r>
              <w:t>استهلاك + استحقاق</w:t>
            </w:r>
          </w:p>
        </w:tc>
        <w:tc>
          <w:tcPr>
            <w:tcW w:type="dxa" w:w="1704"/>
            <w:vAlign w:val="center"/>
          </w:tcPr>
          <w:p>
            <w:pPr>
              <w:jc w:val="right"/>
              <w:bidi w:val="1"/>
            </w:pPr>
            <w:r>
              <w:t>اختبار القيم غير المنطقية والحالات الاستثنائية.</w:t>
            </w:r>
          </w:p>
        </w:tc>
      </w:tr>
    </w:tbl>
    <w:p/>
    <w:p>
      <w:pPr>
        <w:pStyle w:val="Heading2"/>
        <w:jc w:val="right"/>
        <w:bidi w:val="1"/>
      </w:pPr>
      <w:r>
        <w:t>7. السداد والتحصيل</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تحديث الوضع المالي للخدمة مع الحفاظ على الفصل عن التشغيل</w:t>
            </w:r>
          </w:p>
        </w:tc>
        <w:tc>
          <w:tcPr>
            <w:tcW w:type="dxa" w:w="1704"/>
            <w:vAlign w:val="center"/>
          </w:tcPr>
          <w:p>
            <w:pPr>
              <w:jc w:val="right"/>
              <w:bidi w:val="1"/>
            </w:pPr>
            <w:r>
              <w:t>حدوث سداد</w:t>
            </w:r>
          </w:p>
        </w:tc>
        <w:tc>
          <w:tcPr>
            <w:tcW w:type="dxa" w:w="1704"/>
            <w:vAlign w:val="center"/>
          </w:tcPr>
          <w:p>
            <w:pPr>
              <w:jc w:val="right"/>
              <w:bidi w:val="1"/>
            </w:pPr>
            <w:r>
              <w:t>الاستحقاق، المبلغ، طريقة السداد، السياق</w:t>
            </w:r>
          </w:p>
        </w:tc>
        <w:tc>
          <w:tcPr>
            <w:tcW w:type="dxa" w:w="1704"/>
            <w:vAlign w:val="center"/>
          </w:tcPr>
          <w:p>
            <w:pPr>
              <w:jc w:val="right"/>
              <w:bidi w:val="1"/>
            </w:pPr>
            <w:r>
              <w:t>تسجيل السداد وتحديث الرصيد وحالة الاعتماد وفق الصلاحيات</w:t>
            </w:r>
          </w:p>
        </w:tc>
        <w:tc>
          <w:tcPr>
            <w:tcW w:type="dxa" w:w="1704"/>
            <w:vAlign w:val="center"/>
          </w:tcPr>
          <w:p>
            <w:pPr>
              <w:jc w:val="right"/>
              <w:bidi w:val="1"/>
            </w:pPr>
            <w:r>
              <w:t>حالة مالية محدثة</w:t>
            </w:r>
          </w:p>
        </w:tc>
        <w:tc>
          <w:tcPr>
            <w:tcW w:type="dxa" w:w="1704"/>
            <w:vAlign w:val="center"/>
          </w:tcPr>
          <w:p>
            <w:pPr>
              <w:jc w:val="right"/>
              <w:bidi w:val="1"/>
            </w:pPr>
            <w:r>
              <w:t>اختبار التكرار والسداد الجزئي/غير المكتمل عندما ينطبق.</w:t>
            </w:r>
          </w:p>
        </w:tc>
      </w:tr>
    </w:tbl>
    <w:p/>
    <w:p>
      <w:pPr>
        <w:pStyle w:val="Heading2"/>
        <w:jc w:val="right"/>
        <w:bidi w:val="1"/>
      </w:pPr>
      <w:r>
        <w:t>8. عطل وصيانة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ربط المشكلة بالإجراء ثم قياس النتيجة</w:t>
            </w:r>
          </w:p>
        </w:tc>
        <w:tc>
          <w:tcPr>
            <w:tcW w:type="dxa" w:w="1704"/>
            <w:vAlign w:val="center"/>
          </w:tcPr>
          <w:p>
            <w:pPr>
              <w:jc w:val="right"/>
              <w:bidi w:val="1"/>
            </w:pPr>
            <w:r>
              <w:t>ظهور حالة فنية</w:t>
            </w:r>
          </w:p>
        </w:tc>
        <w:tc>
          <w:tcPr>
            <w:tcW w:type="dxa" w:w="1704"/>
            <w:vAlign w:val="center"/>
          </w:tcPr>
          <w:p>
            <w:pPr>
              <w:jc w:val="right"/>
              <w:bidi w:val="1"/>
            </w:pPr>
            <w:r>
              <w:t>الأصل، الحالة، الأدلة، التاريخ، الإجراء</w:t>
            </w:r>
          </w:p>
        </w:tc>
        <w:tc>
          <w:tcPr>
            <w:tcW w:type="dxa" w:w="1704"/>
            <w:vAlign w:val="center"/>
          </w:tcPr>
          <w:p>
            <w:pPr>
              <w:jc w:val="right"/>
              <w:bidi w:val="1"/>
            </w:pPr>
            <w:r>
              <w:t>تصنيف، متابعة، إجراء، إغلاق/استمرار، تحديث حالة الأصل</w:t>
            </w:r>
          </w:p>
        </w:tc>
        <w:tc>
          <w:tcPr>
            <w:tcW w:type="dxa" w:w="1704"/>
            <w:vAlign w:val="center"/>
          </w:tcPr>
          <w:p>
            <w:pPr>
              <w:jc w:val="right"/>
              <w:bidi w:val="1"/>
            </w:pPr>
            <w:r>
              <w:t>حالة أصل + تاريخ صيانة + نتيجة</w:t>
            </w:r>
          </w:p>
        </w:tc>
        <w:tc>
          <w:tcPr>
            <w:tcW w:type="dxa" w:w="1704"/>
            <w:vAlign w:val="center"/>
          </w:tcPr>
          <w:p>
            <w:pPr>
              <w:jc w:val="right"/>
              <w:bidi w:val="1"/>
            </w:pPr>
            <w:r>
              <w:t>نجاح التسجيل وحده لا يثبت نجاح المعالجة.</w:t>
            </w:r>
          </w:p>
        </w:tc>
      </w:tr>
    </w:tbl>
    <w:p/>
    <w:p>
      <w:pPr>
        <w:pStyle w:val="Heading2"/>
        <w:jc w:val="right"/>
        <w:bidi w:val="1"/>
      </w:pPr>
      <w:r>
        <w:t>9. انقطاع وعودة الخدمة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إظهار أثر انقطاع الخدمة حتى عودتها</w:t>
            </w:r>
          </w:p>
        </w:tc>
        <w:tc>
          <w:tcPr>
            <w:tcW w:type="dxa" w:w="1704"/>
            <w:vAlign w:val="center"/>
          </w:tcPr>
          <w:p>
            <w:pPr>
              <w:jc w:val="right"/>
              <w:bidi w:val="1"/>
            </w:pPr>
            <w:r>
              <w:t>حدث يؤثر في الخدمة</w:t>
            </w:r>
          </w:p>
        </w:tc>
        <w:tc>
          <w:tcPr>
            <w:tcW w:type="dxa" w:w="1704"/>
            <w:vAlign w:val="center"/>
          </w:tcPr>
          <w:p>
            <w:pPr>
              <w:jc w:val="right"/>
              <w:bidi w:val="1"/>
            </w:pPr>
            <w:r>
              <w:t>وقت البداية، السبب/الحالة، النطاق، وقت العودة</w:t>
            </w:r>
          </w:p>
        </w:tc>
        <w:tc>
          <w:tcPr>
            <w:tcW w:type="dxa" w:w="1704"/>
            <w:vAlign w:val="center"/>
          </w:tcPr>
          <w:p>
            <w:pPr>
              <w:jc w:val="right"/>
              <w:bidi w:val="1"/>
            </w:pPr>
            <w:r>
              <w:t>تسجيل الحالة الحية والتاريخ والمدة والنتيجة بعد العودة</w:t>
            </w:r>
          </w:p>
        </w:tc>
        <w:tc>
          <w:tcPr>
            <w:tcW w:type="dxa" w:w="1704"/>
            <w:vAlign w:val="center"/>
          </w:tcPr>
          <w:p>
            <w:pPr>
              <w:jc w:val="right"/>
              <w:bidi w:val="1"/>
            </w:pPr>
            <w:r>
              <w:t>حالة خدمة + تاريخ انقطاع</w:t>
            </w:r>
          </w:p>
        </w:tc>
        <w:tc>
          <w:tcPr>
            <w:tcW w:type="dxa" w:w="1704"/>
            <w:vAlign w:val="center"/>
          </w:tcPr>
          <w:p>
            <w:pPr>
              <w:jc w:val="right"/>
              <w:bidi w:val="1"/>
            </w:pPr>
            <w:r>
              <w:t>يجب عدم إسقاط الانقطاع إذا تأخر تسجيله.</w:t>
            </w:r>
          </w:p>
        </w:tc>
      </w:tr>
    </w:tbl>
    <w:p/>
    <w:p>
      <w:pPr>
        <w:pStyle w:val="Heading2"/>
        <w:jc w:val="right"/>
        <w:bidi w:val="1"/>
      </w:pPr>
      <w:r>
        <w:t>10. اكتشاف حالة غير طبيعية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تمييز الحدث الطبيعي عن الحالة التي تحتاج انتباهًا</w:t>
            </w:r>
          </w:p>
        </w:tc>
        <w:tc>
          <w:tcPr>
            <w:tcW w:type="dxa" w:w="1704"/>
            <w:vAlign w:val="center"/>
          </w:tcPr>
          <w:p>
            <w:pPr>
              <w:jc w:val="right"/>
              <w:bidi w:val="1"/>
            </w:pPr>
            <w:r>
              <w:t>تغير أو نمط قابل للاكتشاف</w:t>
            </w:r>
          </w:p>
        </w:tc>
        <w:tc>
          <w:tcPr>
            <w:tcW w:type="dxa" w:w="1704"/>
            <w:vAlign w:val="center"/>
          </w:tcPr>
          <w:p>
            <w:pPr>
              <w:jc w:val="right"/>
              <w:bidi w:val="1"/>
            </w:pPr>
            <w:r>
              <w:t>الحاضر، التاريخ، القواعد/التحليل</w:t>
            </w:r>
          </w:p>
        </w:tc>
        <w:tc>
          <w:tcPr>
            <w:tcW w:type="dxa" w:w="1704"/>
            <w:vAlign w:val="center"/>
          </w:tcPr>
          <w:p>
            <w:pPr>
              <w:jc w:val="right"/>
              <w:bidi w:val="1"/>
            </w:pPr>
            <w:r>
              <w:t>تقييم الشذوذ وربطه بالسياق وتصنيف أهميته</w:t>
            </w:r>
          </w:p>
        </w:tc>
        <w:tc>
          <w:tcPr>
            <w:tcW w:type="dxa" w:w="1704"/>
            <w:vAlign w:val="center"/>
          </w:tcPr>
          <w:p>
            <w:pPr>
              <w:jc w:val="right"/>
              <w:bidi w:val="1"/>
            </w:pPr>
            <w:r>
              <w:t>حالة طبيعية/مراجعة/تصعيد</w:t>
            </w:r>
          </w:p>
        </w:tc>
        <w:tc>
          <w:tcPr>
            <w:tcW w:type="dxa" w:w="1704"/>
            <w:vAlign w:val="center"/>
          </w:tcPr>
          <w:p>
            <w:pPr>
              <w:jc w:val="right"/>
              <w:bidi w:val="1"/>
            </w:pPr>
            <w:r>
              <w:t>التنبيه لا يُنتج دون تفسير كافٍ.</w:t>
            </w:r>
          </w:p>
        </w:tc>
      </w:tr>
    </w:tbl>
    <w:p/>
    <w:p>
      <w:pPr>
        <w:pStyle w:val="Heading2"/>
        <w:jc w:val="right"/>
        <w:bidi w:val="1"/>
      </w:pPr>
      <w:r>
        <w:t>11. تنبيه ذكي</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تحويل الاكتشاف إلى متابعة مفهومة</w:t>
            </w:r>
          </w:p>
        </w:tc>
        <w:tc>
          <w:tcPr>
            <w:tcW w:type="dxa" w:w="1704"/>
            <w:vAlign w:val="center"/>
          </w:tcPr>
          <w:p>
            <w:pPr>
              <w:jc w:val="right"/>
              <w:bidi w:val="1"/>
            </w:pPr>
            <w:r>
              <w:t>حالة تستوفي شرط التنبيه</w:t>
            </w:r>
          </w:p>
        </w:tc>
        <w:tc>
          <w:tcPr>
            <w:tcW w:type="dxa" w:w="1704"/>
            <w:vAlign w:val="center"/>
          </w:tcPr>
          <w:p>
            <w:pPr>
              <w:jc w:val="right"/>
              <w:bidi w:val="1"/>
            </w:pPr>
            <w:r>
              <w:t>الدليل، سبب الأهمية، الصلاحية، الجهة المستهدفة</w:t>
            </w:r>
          </w:p>
        </w:tc>
        <w:tc>
          <w:tcPr>
            <w:tcW w:type="dxa" w:w="1704"/>
            <w:vAlign w:val="center"/>
          </w:tcPr>
          <w:p>
            <w:pPr>
              <w:jc w:val="right"/>
              <w:bidi w:val="1"/>
            </w:pPr>
            <w:r>
              <w:t>تحديد ما حدث ولماذا يهم وما العمل المطلوب ثم المتابعة</w:t>
            </w:r>
          </w:p>
        </w:tc>
        <w:tc>
          <w:tcPr>
            <w:tcW w:type="dxa" w:w="1704"/>
            <w:vAlign w:val="center"/>
          </w:tcPr>
          <w:p>
            <w:pPr>
              <w:jc w:val="right"/>
              <w:bidi w:val="1"/>
            </w:pPr>
            <w:r>
              <w:t>تنبيه قابل للإجراء</w:t>
            </w:r>
          </w:p>
        </w:tc>
        <w:tc>
          <w:tcPr>
            <w:tcW w:type="dxa" w:w="1704"/>
            <w:vAlign w:val="center"/>
          </w:tcPr>
          <w:p>
            <w:pPr>
              <w:jc w:val="right"/>
              <w:bidi w:val="1"/>
            </w:pPr>
            <w:r>
              <w:t>اختبار عدم إنتاج تنبيهات مكررة بلا قيمة.</w:t>
            </w:r>
          </w:p>
        </w:tc>
      </w:tr>
    </w:tbl>
    <w:p/>
    <w:p>
      <w:pPr>
        <w:pStyle w:val="Heading2"/>
        <w:jc w:val="right"/>
        <w:bidi w:val="1"/>
      </w:pPr>
      <w:r>
        <w:t>12. العمل دون اتصال</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استمرار العمل الميداني دون فقد البيانات</w:t>
            </w:r>
          </w:p>
        </w:tc>
        <w:tc>
          <w:tcPr>
            <w:tcW w:type="dxa" w:w="1704"/>
            <w:vAlign w:val="center"/>
          </w:tcPr>
          <w:p>
            <w:pPr>
              <w:jc w:val="right"/>
              <w:bidi w:val="1"/>
            </w:pPr>
            <w:r>
              <w:t>فقد الاتصال أثناء عملية مسموحة</w:t>
            </w:r>
          </w:p>
        </w:tc>
        <w:tc>
          <w:tcPr>
            <w:tcW w:type="dxa" w:w="1704"/>
            <w:vAlign w:val="center"/>
          </w:tcPr>
          <w:p>
            <w:pPr>
              <w:jc w:val="right"/>
              <w:bidi w:val="1"/>
            </w:pPr>
            <w:r>
              <w:t>بيانات محلية، دليل، زمن محلي</w:t>
            </w:r>
          </w:p>
        </w:tc>
        <w:tc>
          <w:tcPr>
            <w:tcW w:type="dxa" w:w="1704"/>
            <w:vAlign w:val="center"/>
          </w:tcPr>
          <w:p>
            <w:pPr>
              <w:jc w:val="right"/>
              <w:bidi w:val="1"/>
            </w:pPr>
            <w:r>
              <w:t>حفظ آمن محليًا، حالة واضحة للمزامنة، إرسال لاحق</w:t>
            </w:r>
          </w:p>
        </w:tc>
        <w:tc>
          <w:tcPr>
            <w:tcW w:type="dxa" w:w="1704"/>
            <w:vAlign w:val="center"/>
          </w:tcPr>
          <w:p>
            <w:pPr>
              <w:jc w:val="right"/>
              <w:bidi w:val="1"/>
            </w:pPr>
            <w:r>
              <w:t>بيانات محفوظة ومزامنة</w:t>
            </w:r>
          </w:p>
        </w:tc>
        <w:tc>
          <w:tcPr>
            <w:tcW w:type="dxa" w:w="1704"/>
            <w:vAlign w:val="center"/>
          </w:tcPr>
          <w:p>
            <w:pPr>
              <w:jc w:val="right"/>
              <w:bidi w:val="1"/>
            </w:pPr>
            <w:r>
              <w:t>فحص فقد البيانات وإعادة المحاولة وإعادة التشغيل.</w:t>
            </w:r>
          </w:p>
        </w:tc>
      </w:tr>
    </w:tbl>
    <w:p/>
    <w:p>
      <w:pPr>
        <w:pStyle w:val="Heading2"/>
        <w:jc w:val="right"/>
        <w:bidi w:val="1"/>
      </w:pPr>
      <w:r>
        <w:t>13. التعارض والمزامنة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منع تعارضات المزامنة من إفساد الحقيقة</w:t>
            </w:r>
          </w:p>
        </w:tc>
        <w:tc>
          <w:tcPr>
            <w:tcW w:type="dxa" w:w="1704"/>
            <w:vAlign w:val="center"/>
          </w:tcPr>
          <w:p>
            <w:pPr>
              <w:jc w:val="right"/>
              <w:bidi w:val="1"/>
            </w:pPr>
            <w:r>
              <w:t>عودة الاتصال مع اختلافات</w:t>
            </w:r>
          </w:p>
        </w:tc>
        <w:tc>
          <w:tcPr>
            <w:tcW w:type="dxa" w:w="1704"/>
            <w:vAlign w:val="center"/>
          </w:tcPr>
          <w:p>
            <w:pPr>
              <w:jc w:val="right"/>
              <w:bidi w:val="1"/>
            </w:pPr>
            <w:r>
              <w:t>نسخة محلية + نسخة خادمية + توقيتات/إصدارات</w:t>
            </w:r>
          </w:p>
        </w:tc>
        <w:tc>
          <w:tcPr>
            <w:tcW w:type="dxa" w:w="1704"/>
            <w:vAlign w:val="center"/>
          </w:tcPr>
          <w:p>
            <w:pPr>
              <w:jc w:val="right"/>
              <w:bidi w:val="1"/>
            </w:pPr>
            <w:r>
              <w:t>اكتشاف التعارض، تطبيق سياسة آمنة، طلب مراجعة عند الحاجة</w:t>
            </w:r>
          </w:p>
        </w:tc>
        <w:tc>
          <w:tcPr>
            <w:tcW w:type="dxa" w:w="1704"/>
            <w:vAlign w:val="center"/>
          </w:tcPr>
          <w:p>
            <w:pPr>
              <w:jc w:val="right"/>
              <w:bidi w:val="1"/>
            </w:pPr>
            <w:r>
              <w:t>نتيجة مزامنة قابلة للتتبع</w:t>
            </w:r>
          </w:p>
        </w:tc>
        <w:tc>
          <w:tcPr>
            <w:tcW w:type="dxa" w:w="1704"/>
            <w:vAlign w:val="center"/>
          </w:tcPr>
          <w:p>
            <w:pPr>
              <w:jc w:val="right"/>
              <w:bidi w:val="1"/>
            </w:pPr>
            <w:r>
              <w:t>لا تُكتب نسخة فوق أخرى بصمت في حالة مهمة.</w:t>
            </w:r>
          </w:p>
        </w:tc>
      </w:tr>
    </w:tbl>
    <w:p/>
    <w:p>
      <w:pPr>
        <w:pStyle w:val="Heading2"/>
        <w:jc w:val="right"/>
        <w:bidi w:val="1"/>
      </w:pPr>
      <w:r>
        <w:t>14. اختلاف AI والإنسان</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تحويل الخلاف إلى تعلم وضبط بدل إخفائه</w:t>
            </w:r>
          </w:p>
        </w:tc>
        <w:tc>
          <w:tcPr>
            <w:tcW w:type="dxa" w:w="1704"/>
            <w:vAlign w:val="center"/>
          </w:tcPr>
          <w:p>
            <w:pPr>
              <w:jc w:val="right"/>
              <w:bidi w:val="1"/>
            </w:pPr>
            <w:r>
              <w:t>مخرجات AI غير متوافقة مع المراجعة</w:t>
            </w:r>
          </w:p>
        </w:tc>
        <w:tc>
          <w:tcPr>
            <w:tcW w:type="dxa" w:w="1704"/>
            <w:vAlign w:val="center"/>
          </w:tcPr>
          <w:p>
            <w:pPr>
              <w:jc w:val="right"/>
              <w:bidi w:val="1"/>
            </w:pPr>
            <w:r>
              <w:t>الناتج الآلي، الدليل، قرار المراجع</w:t>
            </w:r>
          </w:p>
        </w:tc>
        <w:tc>
          <w:tcPr>
            <w:tcW w:type="dxa" w:w="1704"/>
            <w:vAlign w:val="center"/>
          </w:tcPr>
          <w:p>
            <w:pPr>
              <w:jc w:val="right"/>
              <w:bidi w:val="1"/>
            </w:pPr>
            <w:r>
              <w:t>حفظ القرار البشري وسببه ونتيجته لاحقًا</w:t>
            </w:r>
          </w:p>
        </w:tc>
        <w:tc>
          <w:tcPr>
            <w:tcW w:type="dxa" w:w="1704"/>
            <w:vAlign w:val="center"/>
          </w:tcPr>
          <w:p>
            <w:pPr>
              <w:jc w:val="right"/>
              <w:bidi w:val="1"/>
            </w:pPr>
            <w:r>
              <w:t>قرار موثق + نتيجة لاحقة</w:t>
            </w:r>
          </w:p>
        </w:tc>
        <w:tc>
          <w:tcPr>
            <w:tcW w:type="dxa" w:w="1704"/>
            <w:vAlign w:val="center"/>
          </w:tcPr>
          <w:p>
            <w:pPr>
              <w:jc w:val="right"/>
              <w:bidi w:val="1"/>
            </w:pPr>
            <w:r>
              <w:t>تُستخدم حالات الاختلاف كمادة تقييم.</w:t>
            </w:r>
          </w:p>
        </w:tc>
      </w:tr>
    </w:tbl>
    <w:p/>
    <w:p>
      <w:pPr>
        <w:pStyle w:val="Heading2"/>
        <w:jc w:val="right"/>
        <w:bidi w:val="1"/>
      </w:pPr>
      <w:r>
        <w:t>15. تقرير فترة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إنتاج نتيجة تاريخية لا تختلط بالحالة الحالية</w:t>
            </w:r>
          </w:p>
        </w:tc>
        <w:tc>
          <w:tcPr>
            <w:tcW w:type="dxa" w:w="1704"/>
            <w:vAlign w:val="center"/>
          </w:tcPr>
          <w:p>
            <w:pPr>
              <w:jc w:val="right"/>
              <w:bidi w:val="1"/>
            </w:pPr>
            <w:r>
              <w:t>طلب نتيجة فترة/اكتمال شروطها</w:t>
            </w:r>
          </w:p>
        </w:tc>
        <w:tc>
          <w:tcPr>
            <w:tcW w:type="dxa" w:w="1704"/>
            <w:vAlign w:val="center"/>
          </w:tcPr>
          <w:p>
            <w:pPr>
              <w:jc w:val="right"/>
              <w:bidi w:val="1"/>
            </w:pPr>
            <w:r>
              <w:t>أحداث الفترة، النتائج، الجودة، السياق</w:t>
            </w:r>
          </w:p>
        </w:tc>
        <w:tc>
          <w:tcPr>
            <w:tcW w:type="dxa" w:w="1704"/>
            <w:vAlign w:val="center"/>
          </w:tcPr>
          <w:p>
            <w:pPr>
              <w:jc w:val="right"/>
              <w:bidi w:val="1"/>
            </w:pPr>
            <w:r>
              <w:t>تجميع وحساب وعرض تعريفات ومصادر</w:t>
            </w:r>
          </w:p>
        </w:tc>
        <w:tc>
          <w:tcPr>
            <w:tcW w:type="dxa" w:w="1704"/>
            <w:vAlign w:val="center"/>
          </w:tcPr>
          <w:p>
            <w:pPr>
              <w:jc w:val="right"/>
              <w:bidi w:val="1"/>
            </w:pPr>
            <w:r>
              <w:t>تقرير قابل للتتبع</w:t>
            </w:r>
          </w:p>
        </w:tc>
        <w:tc>
          <w:tcPr>
            <w:tcW w:type="dxa" w:w="1704"/>
            <w:vAlign w:val="center"/>
          </w:tcPr>
          <w:p>
            <w:pPr>
              <w:jc w:val="right"/>
              <w:bidi w:val="1"/>
            </w:pPr>
            <w:r>
              <w:t>لا يتغير الماضي لمجرد تغير الحالة الحالية.</w:t>
            </w:r>
          </w:p>
        </w:tc>
      </w:tr>
    </w:tbl>
    <w:p/>
    <w:p>
      <w:pPr>
        <w:pStyle w:val="Heading2"/>
        <w:jc w:val="right"/>
        <w:bidi w:val="1"/>
      </w:pPr>
      <w:r>
        <w:t>16. إغلاق الفترة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تثبيت نتيجة الفترة وتحديد ما يستمر</w:t>
            </w:r>
          </w:p>
        </w:tc>
        <w:tc>
          <w:tcPr>
            <w:tcW w:type="dxa" w:w="1704"/>
            <w:vAlign w:val="center"/>
          </w:tcPr>
          <w:p>
            <w:pPr>
              <w:jc w:val="right"/>
              <w:bidi w:val="1"/>
            </w:pPr>
            <w:r>
              <w:t>استيفاء شروط الإغلاق</w:t>
            </w:r>
          </w:p>
        </w:tc>
        <w:tc>
          <w:tcPr>
            <w:tcW w:type="dxa" w:w="1704"/>
            <w:vAlign w:val="center"/>
          </w:tcPr>
          <w:p>
            <w:pPr>
              <w:jc w:val="right"/>
              <w:bidi w:val="1"/>
            </w:pPr>
            <w:r>
              <w:t>نتائج الفترة، الحالات المفتوحة، الأرصدة المستمرة</w:t>
            </w:r>
          </w:p>
        </w:tc>
        <w:tc>
          <w:tcPr>
            <w:tcW w:type="dxa" w:w="1704"/>
            <w:vAlign w:val="center"/>
          </w:tcPr>
          <w:p>
            <w:pPr>
              <w:jc w:val="right"/>
              <w:bidi w:val="1"/>
            </w:pPr>
            <w:r>
              <w:t>تثبيت، تصنيف ما ينتهي وما يستمر وما يحتاج متابعة</w:t>
            </w:r>
          </w:p>
        </w:tc>
        <w:tc>
          <w:tcPr>
            <w:tcW w:type="dxa" w:w="1704"/>
            <w:vAlign w:val="center"/>
          </w:tcPr>
          <w:p>
            <w:pPr>
              <w:jc w:val="right"/>
              <w:bidi w:val="1"/>
            </w:pPr>
            <w:r>
              <w:t>نتيجة فترة مغلقة + حالة ترحيل</w:t>
            </w:r>
          </w:p>
        </w:tc>
        <w:tc>
          <w:tcPr>
            <w:tcW w:type="dxa" w:w="1704"/>
            <w:vAlign w:val="center"/>
          </w:tcPr>
          <w:p>
            <w:pPr>
              <w:jc w:val="right"/>
              <w:bidi w:val="1"/>
            </w:pPr>
            <w:r>
              <w:t>الإغلاق ليس إيقافًا للتشغيل.</w:t>
            </w:r>
          </w:p>
        </w:tc>
      </w:tr>
    </w:tbl>
    <w:p/>
    <w:p>
      <w:pPr>
        <w:pStyle w:val="Heading2"/>
        <w:jc w:val="right"/>
        <w:bidi w:val="1"/>
      </w:pPr>
      <w:r>
        <w:t>17. بداية الفترة التالية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تكوين افتتاحية صحيحة من النتائج المستمرة</w:t>
            </w:r>
          </w:p>
        </w:tc>
        <w:tc>
          <w:tcPr>
            <w:tcW w:type="dxa" w:w="1704"/>
            <w:vAlign w:val="center"/>
          </w:tcPr>
          <w:p>
            <w:pPr>
              <w:jc w:val="right"/>
              <w:bidi w:val="1"/>
            </w:pPr>
            <w:r>
              <w:t>بدء فترة جديدة</w:t>
            </w:r>
          </w:p>
        </w:tc>
        <w:tc>
          <w:tcPr>
            <w:tcW w:type="dxa" w:w="1704"/>
            <w:vAlign w:val="center"/>
          </w:tcPr>
          <w:p>
            <w:pPr>
              <w:jc w:val="right"/>
              <w:bidi w:val="1"/>
            </w:pPr>
            <w:r>
              <w:t>نتيجة الإغلاق السابق + الحالات المستمرة</w:t>
            </w:r>
          </w:p>
        </w:tc>
        <w:tc>
          <w:tcPr>
            <w:tcW w:type="dxa" w:w="1704"/>
            <w:vAlign w:val="center"/>
          </w:tcPr>
          <w:p>
            <w:pPr>
              <w:jc w:val="right"/>
              <w:bidi w:val="1"/>
            </w:pPr>
            <w:r>
              <w:t>إنشاء الحالة الافتتاحية والتحقق من الاتساق ومصدر القيم</w:t>
            </w:r>
          </w:p>
        </w:tc>
        <w:tc>
          <w:tcPr>
            <w:tcW w:type="dxa" w:w="1704"/>
            <w:vAlign w:val="center"/>
          </w:tcPr>
          <w:p>
            <w:pPr>
              <w:jc w:val="right"/>
              <w:bidi w:val="1"/>
            </w:pPr>
            <w:r>
              <w:t>حالة افتتاحية قابلة للتتبع</w:t>
            </w:r>
          </w:p>
        </w:tc>
        <w:tc>
          <w:tcPr>
            <w:tcW w:type="dxa" w:w="1704"/>
            <w:vAlign w:val="center"/>
          </w:tcPr>
          <w:p>
            <w:pPr>
              <w:jc w:val="right"/>
              <w:bidi w:val="1"/>
            </w:pPr>
            <w:r>
              <w:t>كل قيمة مستمرة يجب ربطها بالنتيجة السابقة.</w:t>
            </w:r>
          </w:p>
        </w:tc>
      </w:tr>
    </w:tbl>
    <w:p/>
    <w:p>
      <w:pPr>
        <w:pStyle w:val="Heading2"/>
        <w:jc w:val="right"/>
        <w:bidi w:val="1"/>
      </w:pPr>
      <w:r>
        <w:t>18. الرؤية متعددة المستويات</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تقديم صورة مجمعة مع حفظ المصدر</w:t>
            </w:r>
          </w:p>
        </w:tc>
        <w:tc>
          <w:tcPr>
            <w:tcW w:type="dxa" w:w="1704"/>
            <w:vAlign w:val="center"/>
          </w:tcPr>
          <w:p>
            <w:pPr>
              <w:jc w:val="right"/>
              <w:bidi w:val="1"/>
            </w:pPr>
            <w:r>
              <w:t>طلب مستخدم مخول لصورة أوسع</w:t>
            </w:r>
          </w:p>
        </w:tc>
        <w:tc>
          <w:tcPr>
            <w:tcW w:type="dxa" w:w="1704"/>
            <w:vAlign w:val="center"/>
          </w:tcPr>
          <w:p>
            <w:pPr>
              <w:jc w:val="right"/>
              <w:bidi w:val="1"/>
            </w:pPr>
            <w:r>
              <w:t>بيانات المشاريع، الصلاحيات، تعريفات المؤشرات</w:t>
            </w:r>
          </w:p>
        </w:tc>
        <w:tc>
          <w:tcPr>
            <w:tcW w:type="dxa" w:w="1704"/>
            <w:vAlign w:val="center"/>
          </w:tcPr>
          <w:p>
            <w:pPr>
              <w:jc w:val="right"/>
              <w:bidi w:val="1"/>
            </w:pPr>
            <w:r>
              <w:t>تجميع دون كسر سياق المصدر وإتاحة النزول عند الحاجة</w:t>
            </w:r>
          </w:p>
        </w:tc>
        <w:tc>
          <w:tcPr>
            <w:tcW w:type="dxa" w:w="1704"/>
            <w:vAlign w:val="center"/>
          </w:tcPr>
          <w:p>
            <w:pPr>
              <w:jc w:val="right"/>
              <w:bidi w:val="1"/>
            </w:pPr>
            <w:r>
              <w:t>صورة مجمعة + طريق إلى المصدر</w:t>
            </w:r>
          </w:p>
        </w:tc>
        <w:tc>
          <w:tcPr>
            <w:tcW w:type="dxa" w:w="1704"/>
            <w:vAlign w:val="center"/>
          </w:tcPr>
          <w:p>
            <w:pPr>
              <w:jc w:val="right"/>
              <w:bidi w:val="1"/>
            </w:pPr>
            <w:r>
              <w:t>اختبار عدم تسرب مشروع إلى جهة غير مخولة.</w:t>
            </w:r>
          </w:p>
        </w:tc>
      </w:tr>
    </w:tbl>
    <w:p/>
    <w:p>
      <w:pPr>
        <w:pStyle w:val="Heading2"/>
        <w:jc w:val="right"/>
        <w:bidi w:val="1"/>
      </w:pPr>
      <w:r>
        <w:t>19. القرار يعود إلى المشروع</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ربط قرار المستوى الأعلى بالفعل والنتيجة</w:t>
            </w:r>
          </w:p>
        </w:tc>
        <w:tc>
          <w:tcPr>
            <w:tcW w:type="dxa" w:w="1704"/>
            <w:vAlign w:val="center"/>
          </w:tcPr>
          <w:p>
            <w:pPr>
              <w:jc w:val="right"/>
              <w:bidi w:val="1"/>
            </w:pPr>
            <w:r>
              <w:t>قرار/توجيه يؤثر على مشروع</w:t>
            </w:r>
          </w:p>
        </w:tc>
        <w:tc>
          <w:tcPr>
            <w:tcW w:type="dxa" w:w="1704"/>
            <w:vAlign w:val="center"/>
          </w:tcPr>
          <w:p>
            <w:pPr>
              <w:jc w:val="right"/>
              <w:bidi w:val="1"/>
            </w:pPr>
            <w:r>
              <w:t>القرار، السياق، الجهة، الإجراء المطلوب</w:t>
            </w:r>
          </w:p>
        </w:tc>
        <w:tc>
          <w:tcPr>
            <w:tcW w:type="dxa" w:w="1704"/>
            <w:vAlign w:val="center"/>
          </w:tcPr>
          <w:p>
            <w:pPr>
              <w:jc w:val="right"/>
              <w:bidi w:val="1"/>
            </w:pPr>
            <w:r>
              <w:t>ربط القرار بالإجراء والنتيجة وقياس الأثر</w:t>
            </w:r>
          </w:p>
        </w:tc>
        <w:tc>
          <w:tcPr>
            <w:tcW w:type="dxa" w:w="1704"/>
            <w:vAlign w:val="center"/>
          </w:tcPr>
          <w:p>
            <w:pPr>
              <w:jc w:val="right"/>
              <w:bidi w:val="1"/>
            </w:pPr>
            <w:r>
              <w:t>قرار + إجراء + أثر</w:t>
            </w:r>
          </w:p>
        </w:tc>
        <w:tc>
          <w:tcPr>
            <w:tcW w:type="dxa" w:w="1704"/>
            <w:vAlign w:val="center"/>
          </w:tcPr>
          <w:p>
            <w:pPr>
              <w:jc w:val="right"/>
              <w:bidi w:val="1"/>
            </w:pPr>
            <w:r>
              <w:t>يجب أن يبقى مسار المساءلة واضحًا.</w:t>
            </w:r>
          </w:p>
        </w:tc>
      </w:tr>
    </w:tbl>
    <w:p/>
    <w:p>
      <w:pPr>
        <w:pStyle w:val="Heading2"/>
        <w:jc w:val="right"/>
        <w:bidi w:val="1"/>
      </w:pPr>
      <w:r>
        <w:t>20. التتبع الكامل</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إثبات السلسلة من الواقع إلى الأثر</w:t>
            </w:r>
          </w:p>
        </w:tc>
        <w:tc>
          <w:tcPr>
            <w:tcW w:type="dxa" w:w="1704"/>
            <w:vAlign w:val="center"/>
          </w:tcPr>
          <w:p>
            <w:pPr>
              <w:jc w:val="right"/>
              <w:bidi w:val="1"/>
            </w:pPr>
            <w:r>
              <w:t>مراجعة حدث/نتيجة عالية الأثر</w:t>
            </w:r>
          </w:p>
        </w:tc>
        <w:tc>
          <w:tcPr>
            <w:tcW w:type="dxa" w:w="1704"/>
            <w:vAlign w:val="center"/>
          </w:tcPr>
          <w:p>
            <w:pPr>
              <w:jc w:val="right"/>
              <w:bidi w:val="1"/>
            </w:pPr>
            <w:r>
              <w:t>كل الروابط المتاحة</w:t>
            </w:r>
          </w:p>
        </w:tc>
        <w:tc>
          <w:tcPr>
            <w:tcW w:type="dxa" w:w="1704"/>
            <w:vAlign w:val="center"/>
          </w:tcPr>
          <w:p>
            <w:pPr>
              <w:jc w:val="right"/>
              <w:bidi w:val="1"/>
            </w:pPr>
            <w:r>
              <w:t>تتبع الحدث والدليل والنتيجة والحالة والقرار والإجراء والنتيجة اللاحقة</w:t>
            </w:r>
          </w:p>
        </w:tc>
        <w:tc>
          <w:tcPr>
            <w:tcW w:type="dxa" w:w="1704"/>
            <w:vAlign w:val="center"/>
          </w:tcPr>
          <w:p>
            <w:pPr>
              <w:jc w:val="right"/>
              <w:bidi w:val="1"/>
            </w:pPr>
            <w:r>
              <w:t>سلسلة تدقيق</w:t>
            </w:r>
          </w:p>
        </w:tc>
        <w:tc>
          <w:tcPr>
            <w:tcW w:type="dxa" w:w="1704"/>
            <w:vAlign w:val="center"/>
          </w:tcPr>
          <w:p>
            <w:pPr>
              <w:jc w:val="right"/>
              <w:bidi w:val="1"/>
            </w:pPr>
            <w:r>
              <w:t>يجب اكتشاف مكان انقطاع السلسلة دون بحث يدوي طويل.</w:t>
            </w:r>
          </w:p>
        </w:tc>
      </w:tr>
    </w:tbl>
    <w:p/>
    <w:p>
      <w:pPr>
        <w:pStyle w:val="Heading2"/>
        <w:jc w:val="right"/>
        <w:bidi w:val="1"/>
      </w:pPr>
      <w:r>
        <w:t>21. السلامة والمخاطر المائية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دمج إدارة مخاطر المياه عندما تكون داخل نطاق المشروع</w:t>
            </w:r>
          </w:p>
        </w:tc>
        <w:tc>
          <w:tcPr>
            <w:tcW w:type="dxa" w:w="1704"/>
            <w:vAlign w:val="center"/>
          </w:tcPr>
          <w:p>
            <w:pPr>
              <w:jc w:val="right"/>
              <w:bidi w:val="1"/>
            </w:pPr>
            <w:r>
              <w:t>نتيجة فحص/مراقبة أو تغير خطر</w:t>
            </w:r>
          </w:p>
        </w:tc>
        <w:tc>
          <w:tcPr>
            <w:tcW w:type="dxa" w:w="1704"/>
            <w:vAlign w:val="center"/>
          </w:tcPr>
          <w:p>
            <w:pPr>
              <w:jc w:val="right"/>
              <w:bidi w:val="1"/>
            </w:pPr>
            <w:r>
              <w:t>نتائج جودة/تفتيش، السياق، المخاطر</w:t>
            </w:r>
          </w:p>
        </w:tc>
        <w:tc>
          <w:tcPr>
            <w:tcW w:type="dxa" w:w="1704"/>
            <w:vAlign w:val="center"/>
          </w:tcPr>
          <w:p>
            <w:pPr>
              <w:jc w:val="right"/>
              <w:bidi w:val="1"/>
            </w:pPr>
            <w:r>
              <w:t>تقييم المخاطر وربط الإجراء والمتابعة والتحسين التدريجي</w:t>
            </w:r>
          </w:p>
        </w:tc>
        <w:tc>
          <w:tcPr>
            <w:tcW w:type="dxa" w:w="1704"/>
            <w:vAlign w:val="center"/>
          </w:tcPr>
          <w:p>
            <w:pPr>
              <w:jc w:val="right"/>
              <w:bidi w:val="1"/>
            </w:pPr>
            <w:r>
              <w:t>حالة خطر + إجراء</w:t>
            </w:r>
          </w:p>
        </w:tc>
        <w:tc>
          <w:tcPr>
            <w:tcW w:type="dxa" w:w="1704"/>
            <w:vAlign w:val="center"/>
          </w:tcPr>
          <w:p>
            <w:pPr>
              <w:jc w:val="right"/>
              <w:bidi w:val="1"/>
            </w:pPr>
            <w:r>
              <w:t>لا تُحوّل مؤشرات غير كافية إلى ضمان صحي.</w:t>
            </w:r>
          </w:p>
        </w:tc>
      </w:tr>
    </w:tbl>
    <w:p/>
    <w:p>
      <w:pPr>
        <w:pStyle w:val="Heading2"/>
        <w:jc w:val="right"/>
        <w:bidi w:val="1"/>
      </w:pPr>
      <w:r>
        <w:t>22. الطاقة المؤثرة على المياه</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1F2"/>
          </w:tcPr>
          <w:p>
            <w:pPr>
              <w:jc w:val="right"/>
              <w:bidi w:val="1"/>
            </w:pPr>
            <w:r>
              <w:t>الغرض</w:t>
            </w:r>
          </w:p>
        </w:tc>
        <w:tc>
          <w:tcPr>
            <w:tcW w:type="dxa" w:w="1704"/>
            <w:shd w:fill="D9E1F2"/>
          </w:tcPr>
          <w:p>
            <w:pPr>
              <w:jc w:val="right"/>
              <w:bidi w:val="1"/>
            </w:pPr>
            <w:r>
              <w:t>البداية</w:t>
            </w:r>
          </w:p>
        </w:tc>
        <w:tc>
          <w:tcPr>
            <w:tcW w:type="dxa" w:w="1704"/>
            <w:shd w:fill="D9E1F2"/>
          </w:tcPr>
          <w:p>
            <w:pPr>
              <w:jc w:val="right"/>
              <w:bidi w:val="1"/>
            </w:pPr>
            <w:r>
              <w:t>المدخلات</w:t>
            </w:r>
          </w:p>
        </w:tc>
        <w:tc>
          <w:tcPr>
            <w:tcW w:type="dxa" w:w="1704"/>
            <w:shd w:fill="D9E1F2"/>
          </w:tcPr>
          <w:p>
            <w:pPr>
              <w:jc w:val="right"/>
              <w:bidi w:val="1"/>
            </w:pPr>
            <w:r>
              <w:t>السلوك المطلوب</w:t>
            </w:r>
          </w:p>
        </w:tc>
        <w:tc>
          <w:tcPr>
            <w:tcW w:type="dxa" w:w="1704"/>
            <w:shd w:fill="D9E1F2"/>
          </w:tcPr>
          <w:p>
            <w:pPr>
              <w:jc w:val="right"/>
              <w:bidi w:val="1"/>
            </w:pPr>
            <w:r>
              <w:t>المخرجات</w:t>
            </w:r>
          </w:p>
        </w:tc>
        <w:tc>
          <w:tcPr>
            <w:tcW w:type="dxa" w:w="1704"/>
            <w:shd w:fill="D9E1F2"/>
          </w:tcPr>
          <w:p>
            <w:pPr>
              <w:jc w:val="right"/>
              <w:bidi w:val="1"/>
            </w:pPr>
            <w:r>
              <w:t>معيار القبول</w:t>
            </w:r>
          </w:p>
        </w:tc>
      </w:tr>
      <w:tr>
        <w:tc>
          <w:tcPr>
            <w:tcW w:type="dxa" w:w="1704"/>
            <w:vAlign w:val="center"/>
          </w:tcPr>
          <w:p>
            <w:pPr>
              <w:jc w:val="right"/>
              <w:bidi w:val="1"/>
            </w:pPr>
            <w:r>
              <w:t>ربط حالة الطاقة/الضخ باستمرارية الخدمة عند الحاجة</w:t>
            </w:r>
          </w:p>
        </w:tc>
        <w:tc>
          <w:tcPr>
            <w:tcW w:type="dxa" w:w="1704"/>
            <w:vAlign w:val="center"/>
          </w:tcPr>
          <w:p>
            <w:pPr>
              <w:jc w:val="right"/>
              <w:bidi w:val="1"/>
            </w:pPr>
            <w:r>
              <w:t>تغير في مصدر الطاقة أو تشغيل المضخة</w:t>
            </w:r>
          </w:p>
        </w:tc>
        <w:tc>
          <w:tcPr>
            <w:tcW w:type="dxa" w:w="1704"/>
            <w:vAlign w:val="center"/>
          </w:tcPr>
          <w:p>
            <w:pPr>
              <w:jc w:val="right"/>
              <w:bidi w:val="1"/>
            </w:pPr>
            <w:r>
              <w:t>حالة الطاقة، التشغيل، الزمن، الأصل</w:t>
            </w:r>
          </w:p>
        </w:tc>
        <w:tc>
          <w:tcPr>
            <w:tcW w:type="dxa" w:w="1704"/>
            <w:vAlign w:val="center"/>
          </w:tcPr>
          <w:p>
            <w:pPr>
              <w:jc w:val="right"/>
              <w:bidi w:val="1"/>
            </w:pPr>
            <w:r>
              <w:t>فهم أثر الطاقة على الإنتاج والخدمة والتكلفة والمتابعة</w:t>
            </w:r>
          </w:p>
        </w:tc>
        <w:tc>
          <w:tcPr>
            <w:tcW w:type="dxa" w:w="1704"/>
            <w:vAlign w:val="center"/>
          </w:tcPr>
          <w:p>
            <w:pPr>
              <w:jc w:val="right"/>
              <w:bidi w:val="1"/>
            </w:pPr>
            <w:r>
              <w:t>حالة تشغيلية مترابطة</w:t>
            </w:r>
          </w:p>
        </w:tc>
        <w:tc>
          <w:tcPr>
            <w:tcW w:type="dxa" w:w="1704"/>
            <w:vAlign w:val="center"/>
          </w:tcPr>
          <w:p>
            <w:pPr>
              <w:jc w:val="right"/>
              <w:bidi w:val="1"/>
            </w:pPr>
            <w:r>
              <w:t>يجب ألا تفقد العلاقة بين الطاقة وتشغيل المياه.</w:t>
            </w:r>
          </w:p>
        </w:tc>
      </w:tr>
    </w:tbl>
    <w:p/>
    <w:p>
      <w:pPr>
        <w:pStyle w:val="Heading1"/>
        <w:jc w:val="right"/>
        <w:bidi w:val="1"/>
      </w:pPr>
      <w:r>
        <w:t>17. قاموس المتطلبات المرجعية</w:t>
      </w:r>
    </w:p>
    <w:p>
      <w:pPr>
        <w:jc w:val="right"/>
        <w:bidi w:val="1"/>
      </w:pPr>
      <w:r>
        <w:rPr>
          <w:b/>
        </w:rPr>
        <w:t xml:space="preserve">هدف الخطوة: </w:t>
      </w:r>
      <w:r>
        <w:t>إعطاء الفريق قائمة أولويات قابلة للتحقق قبل العمل على أي توسعة.</w:t>
      </w:r>
    </w:p>
    <w:p>
      <w:pPr>
        <w:pStyle w:val="Heading2"/>
        <w:jc w:val="right"/>
        <w:bidi w:val="1"/>
      </w:pPr>
      <w:r>
        <w:t>متطلبات P0</w:t>
      </w:r>
    </w:p>
    <w:p>
      <w:pPr>
        <w:pStyle w:val="ListBullet"/>
        <w:jc w:val="right"/>
        <w:bidi w:val="1"/>
      </w:pPr>
      <w:r>
        <w:t>P0-01: عزل بيانات كل سياق تشغيلي وفق علاقة التفويض الحالية.</w:t>
      </w:r>
    </w:p>
    <w:p>
      <w:pPr>
        <w:pStyle w:val="ListBullet"/>
        <w:jc w:val="right"/>
        <w:bidi w:val="1"/>
      </w:pPr>
      <w:r>
        <w:t>P0-02: منع القراءة/التعديل غير المصرح به على مستوى البيانات والخدمات، لا الواجهة فقط.</w:t>
      </w:r>
    </w:p>
    <w:p>
      <w:pPr>
        <w:pStyle w:val="ListBullet"/>
        <w:jc w:val="right"/>
        <w:bidi w:val="1"/>
      </w:pPr>
      <w:r>
        <w:t>P0-03: وجود سياق صحيح للمشروع/الموقع/الوقت قبل اعتماد عملية مؤثرة.</w:t>
      </w:r>
    </w:p>
    <w:p>
      <w:pPr>
        <w:pStyle w:val="ListBullet"/>
        <w:jc w:val="right"/>
        <w:bidi w:val="1"/>
      </w:pPr>
      <w:r>
        <w:t>P0-04: حفظ الدليل وربطه بالمعلومة عندما يكون الدليل مطلوبًا.</w:t>
      </w:r>
    </w:p>
    <w:p>
      <w:pPr>
        <w:pStyle w:val="ListBullet"/>
        <w:jc w:val="right"/>
        <w:bidi w:val="1"/>
      </w:pPr>
      <w:r>
        <w:t>P0-05: فصل المصدر/القراءة/النتيجة المشتقة وعدم اعتبار AI مصدر حقيقة تلقائيًا.</w:t>
      </w:r>
    </w:p>
    <w:p>
      <w:pPr>
        <w:pStyle w:val="ListBullet"/>
        <w:jc w:val="right"/>
        <w:bidi w:val="1"/>
      </w:pPr>
      <w:r>
        <w:t>P0-06: تحقق مناسب قبل اعتماد القياس أو النتيجة المهمة.</w:t>
      </w:r>
    </w:p>
    <w:p>
      <w:pPr>
        <w:pStyle w:val="ListBullet"/>
        <w:jc w:val="right"/>
        <w:bidi w:val="1"/>
      </w:pPr>
      <w:r>
        <w:t>P0-07: تحديث الحالة الحالية عند توفر المعلومة الموثوقة، دون انتظار إغلاق الفترة.</w:t>
      </w:r>
    </w:p>
    <w:p>
      <w:pPr>
        <w:pStyle w:val="ListBullet"/>
        <w:jc w:val="right"/>
        <w:bidi w:val="1"/>
      </w:pPr>
      <w:r>
        <w:t>P0-08: عدم إعادة كتابة النتائج التاريخية المثبتة بسبب تغير الحالة الحالية.</w:t>
      </w:r>
    </w:p>
    <w:p>
      <w:pPr>
        <w:pStyle w:val="ListBullet"/>
        <w:jc w:val="right"/>
        <w:bidi w:val="1"/>
      </w:pPr>
      <w:r>
        <w:t>P0-09: إغلاق الفترة مع تثبيت نتائجها وتحديد الحالات المستمرة.</w:t>
      </w:r>
    </w:p>
    <w:p>
      <w:pPr>
        <w:pStyle w:val="ListBullet"/>
        <w:jc w:val="right"/>
        <w:bidi w:val="1"/>
      </w:pPr>
      <w:r>
        <w:t>P0-10: بناء افتتاحية الفترة التالية من النتائج المستمرة مع مصدر قابل للتتبع.</w:t>
      </w:r>
    </w:p>
    <w:p>
      <w:pPr>
        <w:pStyle w:val="ListBullet"/>
        <w:jc w:val="right"/>
        <w:bidi w:val="1"/>
      </w:pPr>
      <w:r>
        <w:t>P0-11: منع فقد بيانات العمل الميداني عند انقطاع الاتصال.</w:t>
      </w:r>
    </w:p>
    <w:p>
      <w:pPr>
        <w:pStyle w:val="ListBullet"/>
        <w:jc w:val="right"/>
        <w:bidi w:val="1"/>
      </w:pPr>
      <w:r>
        <w:t>P0-12: مزامنة آمنة ومعالجة واضحة للتكرار والتعارض.</w:t>
      </w:r>
    </w:p>
    <w:p>
      <w:pPr>
        <w:pStyle w:val="ListBullet"/>
        <w:jc w:val="right"/>
        <w:bidi w:val="1"/>
      </w:pPr>
      <w:r>
        <w:t>P0-13: صحة الاستحقاق والتحصيل والرصيد عند ارتباطها بالعملية التشغيلية.</w:t>
      </w:r>
    </w:p>
    <w:p>
      <w:pPr>
        <w:pStyle w:val="ListBullet"/>
        <w:jc w:val="right"/>
        <w:bidi w:val="1"/>
      </w:pPr>
      <w:r>
        <w:t>P0-14: تتبع كافٍ للتغييرات ذات الأثر العالي.</w:t>
      </w:r>
    </w:p>
    <w:p>
      <w:pPr>
        <w:pStyle w:val="ListBullet"/>
        <w:jc w:val="right"/>
        <w:bidi w:val="1"/>
      </w:pPr>
      <w:r>
        <w:t>P0-15: عدم كشف أسرار أو بيانات حساسة عبر الواجهة أو سجلات التشغيل غير المناسبة.</w:t>
      </w:r>
    </w:p>
    <w:p>
      <w:pPr>
        <w:pStyle w:val="ListBullet"/>
        <w:jc w:val="right"/>
        <w:bidi w:val="1"/>
      </w:pPr>
      <w:r>
        <w:t>P0-16: ترحيلات قاعدة البيانات آمنة، قابلة للتحقق، ولا تفسد معنى البيانات الحالية.</w:t>
      </w:r>
    </w:p>
    <w:p>
      <w:pPr>
        <w:pStyle w:val="ListBullet"/>
        <w:jc w:val="right"/>
        <w:bidi w:val="1"/>
      </w:pPr>
      <w:r>
        <w:t>P0-17: النسخ الاحتياطي والاستعادة قابلة للإثبات قبل الاعتماد الإنتاجي.</w:t>
      </w:r>
    </w:p>
    <w:p>
      <w:pPr>
        <w:pStyle w:val="ListBullet"/>
        <w:jc w:val="right"/>
        <w:bidi w:val="1"/>
      </w:pPr>
      <w:r>
        <w:t>P0-18: حالات الفشل لا تُنتج نجاحًا كاذبًا ولا تفقد السياق.</w:t>
      </w:r>
    </w:p>
    <w:p>
      <w:pPr>
        <w:pStyle w:val="ListBullet"/>
        <w:jc w:val="right"/>
        <w:bidi w:val="1"/>
      </w:pPr>
      <w:r>
        <w:t>P0-19: اختبارات سلبية للصلاحيات والهوية وعزل المشاريع.</w:t>
      </w:r>
    </w:p>
    <w:p>
      <w:pPr>
        <w:pStyle w:val="ListBullet"/>
        <w:jc w:val="right"/>
        <w:bidi w:val="1"/>
      </w:pPr>
      <w:r>
        <w:t>P0-20: اختبار نهاية-إلى-نهاية للدورة من الافتتاح إلى الإغلاق والفترة التالية.</w:t>
      </w:r>
    </w:p>
    <w:p>
      <w:pPr>
        <w:pStyle w:val="ListBullet"/>
        <w:jc w:val="right"/>
        <w:bidi w:val="1"/>
      </w:pPr>
      <w:r>
        <w:t>P0-21: كل AI ذي أثر مهم لديه نقطة مراجعة بشرية أو ضابط بديل مناسب.</w:t>
      </w:r>
    </w:p>
    <w:p>
      <w:pPr>
        <w:pStyle w:val="ListBullet"/>
        <w:jc w:val="right"/>
        <w:bidi w:val="1"/>
      </w:pPr>
      <w:r>
        <w:t>P0-22: كل نتيجة حرجة قابلة للتتبع إلى مصدرها ومدخلاتها الأساسية.</w:t>
      </w:r>
    </w:p>
    <w:p>
      <w:pPr>
        <w:pStyle w:val="Heading2"/>
        <w:jc w:val="right"/>
        <w:bidi w:val="1"/>
      </w:pPr>
      <w:r>
        <w:t>متطلبات P1</w:t>
      </w:r>
    </w:p>
    <w:p>
      <w:pPr>
        <w:pStyle w:val="ListBullet"/>
        <w:jc w:val="right"/>
        <w:bidi w:val="1"/>
      </w:pPr>
      <w:r>
        <w:t>P1-01: خط أساس واضح للمشاريع القائمة ومتابعة تطور المشاريع الجديدة.</w:t>
      </w:r>
    </w:p>
    <w:p>
      <w:pPr>
        <w:pStyle w:val="ListBullet"/>
        <w:jc w:val="right"/>
        <w:bidi w:val="1"/>
      </w:pPr>
      <w:r>
        <w:t>P1-02: التمييز بين القدرة التصميمية والتشغيلية والفعلية عند توفرها.</w:t>
      </w:r>
    </w:p>
    <w:p>
      <w:pPr>
        <w:pStyle w:val="ListBullet"/>
        <w:jc w:val="right"/>
        <w:bidi w:val="1"/>
      </w:pPr>
      <w:r>
        <w:t>P1-03: مؤشرات تشغيلية ومالية وأصولية معرفة المصدر والفترة.</w:t>
      </w:r>
    </w:p>
    <w:p>
      <w:pPr>
        <w:pStyle w:val="ListBullet"/>
        <w:jc w:val="right"/>
        <w:bidi w:val="1"/>
      </w:pPr>
      <w:r>
        <w:t>P1-04: اكتشاف وتصنيف الحالات غير الطبيعية مع تفسير.</w:t>
      </w:r>
    </w:p>
    <w:p>
      <w:pPr>
        <w:pStyle w:val="ListBullet"/>
        <w:jc w:val="right"/>
        <w:bidi w:val="1"/>
      </w:pPr>
      <w:r>
        <w:t>P1-05: تقارير حالة وفترة وصيانة وتحصل حسب نطاق المشروع.</w:t>
      </w:r>
    </w:p>
    <w:p>
      <w:pPr>
        <w:pStyle w:val="ListBullet"/>
        <w:jc w:val="right"/>
        <w:bidi w:val="1"/>
      </w:pPr>
      <w:r>
        <w:t>P1-06: رؤية مجمعة متعددة المشاريع مع نزول للمصدر حسب الصلاحية.</w:t>
      </w:r>
    </w:p>
    <w:p>
      <w:pPr>
        <w:pStyle w:val="ListBullet"/>
        <w:jc w:val="right"/>
        <w:bidi w:val="1"/>
      </w:pPr>
      <w:r>
        <w:t>P1-07: تجربة عربية RTL ميدانية منخفضة الكتابة.</w:t>
      </w:r>
    </w:p>
    <w:p>
      <w:pPr>
        <w:pStyle w:val="ListBullet"/>
        <w:jc w:val="right"/>
        <w:bidi w:val="1"/>
      </w:pPr>
      <w:r>
        <w:t>P1-08: وصولية وفق WCAG 2.2 على المسارات الأساسية.</w:t>
      </w:r>
    </w:p>
    <w:p>
      <w:pPr>
        <w:pStyle w:val="ListBullet"/>
        <w:jc w:val="right"/>
        <w:bidi w:val="1"/>
      </w:pPr>
      <w:r>
        <w:t>P1-09: أداء مناسب للشبكات والأجهزة المحدودة.</w:t>
      </w:r>
    </w:p>
    <w:p>
      <w:pPr>
        <w:pStyle w:val="ListBullet"/>
        <w:jc w:val="right"/>
        <w:bidi w:val="1"/>
      </w:pPr>
      <w:r>
        <w:t>P1-10: مراقبة حداثة البيانات وأخطاء المزامنة والأداء والتكاليف.</w:t>
      </w:r>
    </w:p>
    <w:p>
      <w:pPr>
        <w:pStyle w:val="ListBullet"/>
        <w:jc w:val="right"/>
        <w:bidi w:val="1"/>
      </w:pPr>
      <w:r>
        <w:t>P1-11: مساعد AI مرتبط بالسياق والمصادر عندما يكون ضمن نطاق المنتج.</w:t>
      </w:r>
    </w:p>
    <w:p>
      <w:pPr>
        <w:pStyle w:val="ListBullet"/>
        <w:jc w:val="right"/>
        <w:bidi w:val="1"/>
      </w:pPr>
      <w:r>
        <w:t>P1-12: تقييم مستمر لجودة AI ومعدلات التصحيح البشري.</w:t>
      </w:r>
    </w:p>
    <w:p>
      <w:pPr>
        <w:pStyle w:val="ListBullet"/>
        <w:jc w:val="right"/>
        <w:bidi w:val="1"/>
      </w:pPr>
      <w:r>
        <w:t>P1-13: دليل استجابة للحوادث واستعادة الخدمة.</w:t>
      </w:r>
    </w:p>
    <w:p>
      <w:pPr>
        <w:pStyle w:val="ListBullet"/>
        <w:jc w:val="right"/>
        <w:bidi w:val="1"/>
      </w:pPr>
      <w:r>
        <w:t>P1-14: تصدير آمن للبيانات/التقارير المطلوبة واستمرارية عند تغيير المورد.</w:t>
      </w:r>
    </w:p>
    <w:p>
      <w:pPr>
        <w:pStyle w:val="ListBullet"/>
        <w:jc w:val="right"/>
        <w:bidi w:val="1"/>
      </w:pPr>
      <w:r>
        <w:t>P1-15: توثيق القرارات والتغييرات وإصدارات القواعد المهمة.</w:t>
      </w:r>
    </w:p>
    <w:p>
      <w:pPr>
        <w:pStyle w:val="Heading2"/>
        <w:jc w:val="right"/>
        <w:bidi w:val="1"/>
      </w:pPr>
      <w:r>
        <w:t>P2</w:t>
      </w:r>
    </w:p>
    <w:p>
      <w:pPr>
        <w:jc w:val="right"/>
        <w:bidi w:val="1"/>
      </w:pPr>
      <w:r>
        <w:t>القاعدة: لا تُملأ P2 بقائمة ميزات مخترعة. تُضاف فقط بعد استقرار P0/P1 وبقرار منتجي موثق يحدد المشكلة والنتيجة المطلوبة.</w:t>
      </w:r>
    </w:p>
    <w:p>
      <w:pPr>
        <w:pStyle w:val="Heading1"/>
        <w:jc w:val="right"/>
        <w:bidi w:val="1"/>
      </w:pPr>
      <w:r>
        <w:t>18. بوابات الجودة والإطلاق</w:t>
      </w:r>
    </w:p>
    <w:p>
      <w:pPr>
        <w:jc w:val="right"/>
        <w:bidi w:val="1"/>
      </w:pPr>
      <w:r>
        <w:rPr>
          <w:b/>
        </w:rPr>
        <w:t xml:space="preserve">هدف الخطوة: </w:t>
      </w:r>
      <w:r>
        <w:t>جعل الجاهزية قرارًا قائمًا على أدلة لا على الانطباع.</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1F2"/>
          </w:tcPr>
          <w:p>
            <w:pPr>
              <w:jc w:val="right"/>
              <w:bidi w:val="1"/>
            </w:pPr>
            <w:r>
              <w:t>البوابة</w:t>
            </w:r>
          </w:p>
        </w:tc>
        <w:tc>
          <w:tcPr>
            <w:tcW w:type="dxa" w:w="3408"/>
            <w:shd w:fill="D9E1F2"/>
          </w:tcPr>
          <w:p>
            <w:pPr>
              <w:jc w:val="right"/>
              <w:bidi w:val="1"/>
            </w:pPr>
            <w:r>
              <w:t>الهدف</w:t>
            </w:r>
          </w:p>
        </w:tc>
        <w:tc>
          <w:tcPr>
            <w:tcW w:type="dxa" w:w="3408"/>
            <w:shd w:fill="D9E1F2"/>
          </w:tcPr>
          <w:p>
            <w:pPr>
              <w:jc w:val="right"/>
              <w:bidi w:val="1"/>
            </w:pPr>
            <w:r>
              <w:t>شرط العبور</w:t>
            </w:r>
          </w:p>
        </w:tc>
      </w:tr>
      <w:tr>
        <w:tc>
          <w:tcPr>
            <w:tcW w:type="dxa" w:w="3408"/>
            <w:vAlign w:val="center"/>
          </w:tcPr>
          <w:p>
            <w:pPr>
              <w:jc w:val="right"/>
              <w:bidi w:val="1"/>
            </w:pPr>
            <w:r>
              <w:t>بوابة 0 — اكتشاف</w:t>
            </w:r>
          </w:p>
        </w:tc>
        <w:tc>
          <w:tcPr>
            <w:tcW w:type="dxa" w:w="3408"/>
            <w:vAlign w:val="center"/>
          </w:tcPr>
          <w:p>
            <w:pPr>
              <w:jc w:val="right"/>
              <w:bidi w:val="1"/>
            </w:pPr>
            <w:r>
              <w:t>الهدف: معرفة الحقيقة قبل التغيير.</w:t>
            </w:r>
          </w:p>
        </w:tc>
        <w:tc>
          <w:tcPr>
            <w:tcW w:type="dxa" w:w="3408"/>
            <w:vAlign w:val="center"/>
          </w:tcPr>
          <w:p>
            <w:pPr>
              <w:jc w:val="right"/>
              <w:bidi w:val="1"/>
            </w:pPr>
            <w:r>
              <w:t>لا تعديل سلوكي قبل جرد الكود/البيانات/النشر/الاختبارات.</w:t>
            </w:r>
          </w:p>
        </w:tc>
      </w:tr>
      <w:tr>
        <w:tc>
          <w:tcPr>
            <w:tcW w:type="dxa" w:w="3408"/>
            <w:vAlign w:val="center"/>
          </w:tcPr>
          <w:p>
            <w:pPr>
              <w:jc w:val="right"/>
              <w:bidi w:val="1"/>
            </w:pPr>
            <w:r>
              <w:t>بوابة 1 — سلامة البيانات</w:t>
            </w:r>
          </w:p>
        </w:tc>
        <w:tc>
          <w:tcPr>
            <w:tcW w:type="dxa" w:w="3408"/>
            <w:vAlign w:val="center"/>
          </w:tcPr>
          <w:p>
            <w:pPr>
              <w:jc w:val="right"/>
              <w:bidi w:val="1"/>
            </w:pPr>
            <w:r>
              <w:t>الهدف: حماية المعنى قبل إضافة الوظيفة.</w:t>
            </w:r>
          </w:p>
        </w:tc>
        <w:tc>
          <w:tcPr>
            <w:tcW w:type="dxa" w:w="3408"/>
            <w:vAlign w:val="center"/>
          </w:tcPr>
          <w:p>
            <w:pPr>
              <w:jc w:val="right"/>
              <w:bidi w:val="1"/>
            </w:pPr>
            <w:r>
              <w:t>أي تغيير في البيانات يمر بمراجعة الترحيل والتوافق والرجوع.</w:t>
            </w:r>
          </w:p>
        </w:tc>
      </w:tr>
      <w:tr>
        <w:tc>
          <w:tcPr>
            <w:tcW w:type="dxa" w:w="3408"/>
            <w:vAlign w:val="center"/>
          </w:tcPr>
          <w:p>
            <w:pPr>
              <w:jc w:val="right"/>
              <w:bidi w:val="1"/>
            </w:pPr>
            <w:r>
              <w:t>بوابة 2 — الأمن والعزل</w:t>
            </w:r>
          </w:p>
        </w:tc>
        <w:tc>
          <w:tcPr>
            <w:tcW w:type="dxa" w:w="3408"/>
            <w:vAlign w:val="center"/>
          </w:tcPr>
          <w:p>
            <w:pPr>
              <w:jc w:val="right"/>
              <w:bidi w:val="1"/>
            </w:pPr>
            <w:r>
              <w:t>الهدف: منع الوصول أو التعديل غير المصرح به.</w:t>
            </w:r>
          </w:p>
        </w:tc>
        <w:tc>
          <w:tcPr>
            <w:tcW w:type="dxa" w:w="3408"/>
            <w:vAlign w:val="center"/>
          </w:tcPr>
          <w:p>
            <w:pPr>
              <w:jc w:val="right"/>
              <w:bidi w:val="1"/>
            </w:pPr>
            <w:r>
              <w:t>اختبارات إيجابية وسلبية على السياقات والصلاحيات والخدمات.</w:t>
            </w:r>
          </w:p>
        </w:tc>
      </w:tr>
      <w:tr>
        <w:tc>
          <w:tcPr>
            <w:tcW w:type="dxa" w:w="3408"/>
            <w:vAlign w:val="center"/>
          </w:tcPr>
          <w:p>
            <w:pPr>
              <w:jc w:val="right"/>
              <w:bidi w:val="1"/>
            </w:pPr>
            <w:r>
              <w:t>بوابة 3 — الدورة الكاملة</w:t>
            </w:r>
          </w:p>
        </w:tc>
        <w:tc>
          <w:tcPr>
            <w:tcW w:type="dxa" w:w="3408"/>
            <w:vAlign w:val="center"/>
          </w:tcPr>
          <w:p>
            <w:pPr>
              <w:jc w:val="right"/>
              <w:bidi w:val="1"/>
            </w:pPr>
            <w:r>
              <w:t>الهدف: إثبات السلسلة الواقعية.</w:t>
            </w:r>
          </w:p>
        </w:tc>
        <w:tc>
          <w:tcPr>
            <w:tcW w:type="dxa" w:w="3408"/>
            <w:vAlign w:val="center"/>
          </w:tcPr>
          <w:p>
            <w:pPr>
              <w:jc w:val="right"/>
              <w:bidi w:val="1"/>
            </w:pPr>
            <w:r>
              <w:t>اختبار من الحالة الافتتاحية حتى إغلاق الفترة وبداية التالية.</w:t>
            </w:r>
          </w:p>
        </w:tc>
      </w:tr>
      <w:tr>
        <w:tc>
          <w:tcPr>
            <w:tcW w:type="dxa" w:w="3408"/>
            <w:vAlign w:val="center"/>
          </w:tcPr>
          <w:p>
            <w:pPr>
              <w:jc w:val="right"/>
              <w:bidi w:val="1"/>
            </w:pPr>
            <w:r>
              <w:t>بوابة 4 — الميدان والـoffline</w:t>
            </w:r>
          </w:p>
        </w:tc>
        <w:tc>
          <w:tcPr>
            <w:tcW w:type="dxa" w:w="3408"/>
            <w:vAlign w:val="center"/>
          </w:tcPr>
          <w:p>
            <w:pPr>
              <w:jc w:val="right"/>
              <w:bidi w:val="1"/>
            </w:pPr>
            <w:r>
              <w:t>الهدف: إثبات قابلية التشغيل في ظروف اليمن.</w:t>
            </w:r>
          </w:p>
        </w:tc>
        <w:tc>
          <w:tcPr>
            <w:tcW w:type="dxa" w:w="3408"/>
            <w:vAlign w:val="center"/>
          </w:tcPr>
          <w:p>
            <w:pPr>
              <w:jc w:val="right"/>
              <w:bidi w:val="1"/>
            </w:pPr>
            <w:r>
              <w:t>فقد اتصال، حفظ محلي، استعادة، مزامنة، تعارض، صور/أدلة.</w:t>
            </w:r>
          </w:p>
        </w:tc>
      </w:tr>
      <w:tr>
        <w:tc>
          <w:tcPr>
            <w:tcW w:type="dxa" w:w="3408"/>
            <w:vAlign w:val="center"/>
          </w:tcPr>
          <w:p>
            <w:pPr>
              <w:jc w:val="right"/>
              <w:bidi w:val="1"/>
            </w:pPr>
            <w:r>
              <w:t>بوابة 5 — الذكاء</w:t>
            </w:r>
          </w:p>
        </w:tc>
        <w:tc>
          <w:tcPr>
            <w:tcW w:type="dxa" w:w="3408"/>
            <w:vAlign w:val="center"/>
          </w:tcPr>
          <w:p>
            <w:pPr>
              <w:jc w:val="right"/>
              <w:bidi w:val="1"/>
            </w:pPr>
            <w:r>
              <w:t>الهدف: إثبات قيمة AI وسلامته.</w:t>
            </w:r>
          </w:p>
        </w:tc>
        <w:tc>
          <w:tcPr>
            <w:tcW w:type="dxa" w:w="3408"/>
            <w:vAlign w:val="center"/>
          </w:tcPr>
          <w:p>
            <w:pPr>
              <w:jc w:val="right"/>
              <w:bidi w:val="1"/>
            </w:pPr>
            <w:r>
              <w:t>اختبارات دقة/خطأ/ثقة/مراجعة/مصدر/تكلفة، مع صلاحيات الأدوات.</w:t>
            </w:r>
          </w:p>
        </w:tc>
      </w:tr>
      <w:tr>
        <w:tc>
          <w:tcPr>
            <w:tcW w:type="dxa" w:w="3408"/>
            <w:vAlign w:val="center"/>
          </w:tcPr>
          <w:p>
            <w:pPr>
              <w:jc w:val="right"/>
              <w:bidi w:val="1"/>
            </w:pPr>
            <w:r>
              <w:t>بوابة 6 — الجودة والأداء</w:t>
            </w:r>
          </w:p>
        </w:tc>
        <w:tc>
          <w:tcPr>
            <w:tcW w:type="dxa" w:w="3408"/>
            <w:vAlign w:val="center"/>
          </w:tcPr>
          <w:p>
            <w:pPr>
              <w:jc w:val="right"/>
              <w:bidi w:val="1"/>
            </w:pPr>
            <w:r>
              <w:t>الهدف: منع إطلاق منتج يعمل نظريًا فقط.</w:t>
            </w:r>
          </w:p>
        </w:tc>
        <w:tc>
          <w:tcPr>
            <w:tcW w:type="dxa" w:w="3408"/>
            <w:vAlign w:val="center"/>
          </w:tcPr>
          <w:p>
            <w:pPr>
              <w:jc w:val="right"/>
              <w:bidi w:val="1"/>
            </w:pPr>
            <w:r>
              <w:t>قياس الأداء، الأخطاء، حداثة البيانات، الاستعادة، البناء والنشر.</w:t>
            </w:r>
          </w:p>
        </w:tc>
      </w:tr>
      <w:tr>
        <w:tc>
          <w:tcPr>
            <w:tcW w:type="dxa" w:w="3408"/>
            <w:vAlign w:val="center"/>
          </w:tcPr>
          <w:p>
            <w:pPr>
              <w:jc w:val="right"/>
              <w:bidi w:val="1"/>
            </w:pPr>
            <w:r>
              <w:t>بوابة 7 — الإطلاق</w:t>
            </w:r>
          </w:p>
        </w:tc>
        <w:tc>
          <w:tcPr>
            <w:tcW w:type="dxa" w:w="3408"/>
            <w:vAlign w:val="center"/>
          </w:tcPr>
          <w:p>
            <w:pPr>
              <w:jc w:val="right"/>
              <w:bidi w:val="1"/>
            </w:pPr>
            <w:r>
              <w:t>الهدف: إطلاق قابل للمراقبة والرجوع.</w:t>
            </w:r>
          </w:p>
        </w:tc>
        <w:tc>
          <w:tcPr>
            <w:tcW w:type="dxa" w:w="3408"/>
            <w:vAlign w:val="center"/>
          </w:tcPr>
          <w:p>
            <w:pPr>
              <w:jc w:val="right"/>
              <w:bidi w:val="1"/>
            </w:pPr>
            <w:r>
              <w:t>مراجعة مستقلة، evidence pack، خطة rollback واستمرار واضح.</w:t>
            </w:r>
          </w:p>
        </w:tc>
      </w:tr>
    </w:tbl>
    <w:p>
      <w:pPr>
        <w:pStyle w:val="Heading1"/>
        <w:jc w:val="right"/>
        <w:bidi w:val="1"/>
      </w:pPr>
      <w:r>
        <w:t>19. إدارة المرجع والتغيير</w:t>
      </w:r>
    </w:p>
    <w:p>
      <w:pPr>
        <w:jc w:val="right"/>
        <w:bidi w:val="1"/>
      </w:pPr>
      <w:r>
        <w:rPr>
          <w:b/>
        </w:rPr>
        <w:t xml:space="preserve">هدف الخطوة: </w:t>
      </w:r>
      <w:r>
        <w:t>منع تحوّل المرجع نفسه إلى مصدر فوضى أو تناقض أثناء التطوير.</w:t>
      </w:r>
    </w:p>
    <w:p>
      <w:pPr>
        <w:pStyle w:val="Heading2"/>
        <w:jc w:val="right"/>
        <w:bidi w:val="1"/>
      </w:pPr>
      <w:r>
        <w:t>مرجعية القرار</w:t>
      </w:r>
    </w:p>
    <w:p>
      <w:pPr>
        <w:pStyle w:val="ListBullet"/>
        <w:jc w:val="right"/>
        <w:bidi w:val="1"/>
      </w:pPr>
      <w:r>
        <w:t>هذا المرجع يصف السلوك والنتيجة. قرار منتج جديد يغيّر السلوك يجب توثيقه كقرار جديد قبل أن يصبح أساسًا للتنفيذ.</w:t>
      </w:r>
    </w:p>
    <w:p>
      <w:pPr>
        <w:pStyle w:val="ListBullet"/>
        <w:jc w:val="right"/>
        <w:bidi w:val="1"/>
      </w:pPr>
      <w:r>
        <w:t>التغييرات التقنية التي لا تغير السلوك المطلوب لا تحتاج إعادة كتابة المرجع، لكنها تحتاج توثيقًا هندسيًا مناسبًا.</w:t>
      </w:r>
    </w:p>
    <w:p>
      <w:pPr>
        <w:pStyle w:val="Heading2"/>
        <w:jc w:val="right"/>
        <w:bidi w:val="1"/>
      </w:pPr>
      <w:r>
        <w:t>إدارة الإصدارات</w:t>
      </w:r>
    </w:p>
    <w:p>
      <w:pPr>
        <w:pStyle w:val="ListBullet"/>
        <w:jc w:val="right"/>
        <w:bidi w:val="1"/>
      </w:pPr>
      <w:r>
        <w:t>كل إصدار مرجعي يحمل رقمًا وتاريخًا، ويجب أن يوضح ما تغير ولماذا.</w:t>
      </w:r>
    </w:p>
    <w:p>
      <w:pPr>
        <w:pStyle w:val="ListBullet"/>
        <w:jc w:val="right"/>
        <w:bidi w:val="1"/>
      </w:pPr>
      <w:r>
        <w:t>لا يُحذف قرار سابق؛ يُستبدل فقط بقرار أحدث صريح إذا تغيرت المتطلبات.</w:t>
      </w:r>
    </w:p>
    <w:p>
      <w:pPr>
        <w:pStyle w:val="Heading2"/>
        <w:jc w:val="right"/>
        <w:bidi w:val="1"/>
      </w:pPr>
      <w:r>
        <w:t>منع الانحراف</w:t>
      </w:r>
    </w:p>
    <w:p>
      <w:pPr>
        <w:pStyle w:val="ListBullet"/>
        <w:jc w:val="right"/>
        <w:bidi w:val="1"/>
      </w:pPr>
      <w:r>
        <w:t>أي ميزة جديدة يجب أن تربط بمشكلة ونتيجة ومتطلب أو قرار موثق.</w:t>
      </w:r>
    </w:p>
    <w:p>
      <w:pPr>
        <w:pStyle w:val="ListBullet"/>
        <w:jc w:val="right"/>
        <w:bidi w:val="1"/>
      </w:pPr>
      <w:r>
        <w:t>أي تغيير يضيف تعقيدًا للمستخدم أو التشغيل يجب أن يثبت فائدته ويقلل خطره، لا أن يبرر نفسه بإمكانية التنفيذ.</w:t>
      </w:r>
    </w:p>
    <w:p>
      <w:pPr>
        <w:pStyle w:val="Heading2"/>
        <w:jc w:val="right"/>
        <w:bidi w:val="1"/>
      </w:pPr>
      <w:r>
        <w:t>قاعدة الوكيل</w:t>
      </w:r>
    </w:p>
    <w:p>
      <w:pPr>
        <w:pStyle w:val="ListBullet"/>
        <w:jc w:val="right"/>
        <w:bidi w:val="1"/>
      </w:pPr>
      <w:r>
        <w:t>الوكيل مسؤول عن اكتشاف الواقع، التنفيذ، الاختبار، والمقارنة مع المرجع؛ وليس مخولًا بتغيير تعريف المنتج بصمت.</w:t>
      </w:r>
    </w:p>
    <w:p>
      <w:pPr>
        <w:pStyle w:val="ListBullet"/>
        <w:jc w:val="right"/>
        <w:bidi w:val="1"/>
      </w:pPr>
      <w:r>
        <w:t>عند وجود تعارض بين الواقع الحالي والمرجع، يعالج الوكيل التنفيذ إن كان السلوك معلومًا؛ أما القرار المنتجـي الجديد فيُعامل كقرار مستقل.</w:t>
      </w:r>
    </w:p>
    <w:p>
      <w:pPr>
        <w:pStyle w:val="Heading1"/>
        <w:jc w:val="right"/>
        <w:bidi w:val="1"/>
      </w:pPr>
      <w:r>
        <w:t>حالة الاكتمال</w:t>
      </w:r>
    </w:p>
    <w:p>
      <w:pPr>
        <w:jc w:val="right"/>
        <w:bidi w:val="1"/>
      </w:pPr>
      <w:r>
        <w:rPr>
          <w:b/>
        </w:rPr>
        <w:t xml:space="preserve">يُعتبر هذا المرجع مكتملًا من ناحية الأساس المنتجـي/التشغيلي عند اكتمال الأقسام 1–19. </w:t>
      </w:r>
      <w:r>
        <w:t>الاكتمال هنا يعني اكتمال تعريف السلوك والمتطلبات وبوابات الإثبات؛ ولا يعني أن النظام الحالي قد أصبح مكتملًا تقنيًا. الجاهزية التقنية لا تُعلن إلا بعد تنفيذ حزمة وكيل البناء ونجاح بواباتها.</w:t>
      </w:r>
    </w:p>
    <w:sectPr w:rsidR="00FC693F" w:rsidRPr="0006063C" w:rsidSect="00034616">
      <w:footerReference w:type="default" r:id="rId3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 xml:space="preserve">MIZAN AI — Master Product Reference v1.0 | صفحة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eastAsia="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eastAsia="Noto Naskh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eastAsia="Noto Naskh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eastAsia="Noto Naskh Arabi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eastAsia="Noto Naskh Arab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orldbank.org/en/programs/digital-water/about-us" TargetMode="External"/><Relationship Id="rId10" Type="http://schemas.openxmlformats.org/officeDocument/2006/relationships/hyperlink" Target="https://www.worldbank.org/en/programs/digital-water/water-digitalization" TargetMode="External"/><Relationship Id="rId11" Type="http://schemas.openxmlformats.org/officeDocument/2006/relationships/hyperlink" Target="https://www.undp.org/yemen/stories/solar-power-brings-clean-reliable-water-al-akahel-yemen" TargetMode="External"/><Relationship Id="rId12" Type="http://schemas.openxmlformats.org/officeDocument/2006/relationships/hyperlink" Target="https://www.undp.org/yemen/publications/harnessing-solar-development-yemen-review-and-future-outlook" TargetMode="External"/><Relationship Id="rId13" Type="http://schemas.openxmlformats.org/officeDocument/2006/relationships/hyperlink" Target="https://www.unicef.org/yemen/stories/water-has-changed-everything" TargetMode="External"/><Relationship Id="rId14" Type="http://schemas.openxmlformats.org/officeDocument/2006/relationships/hyperlink" Target="https://www.who.int/publications-detail-redirect/9789240088740" TargetMode="External"/><Relationship Id="rId15" Type="http://schemas.openxmlformats.org/officeDocument/2006/relationships/hyperlink" Target="https://www.who.int/teams/environment-climate-change-and-health/water-sanitation-and-health/water-safety-and-quality/water-safety-planning" TargetMode="External"/><Relationship Id="rId16" Type="http://schemas.openxmlformats.org/officeDocument/2006/relationships/hyperlink" Target="https://www.iso.org/standard/59813.html"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www.nist.gov/publications/artificial-intelligence-risk-management-framework-generative-artificial-intelligence" TargetMode="External"/><Relationship Id="rId19" Type="http://schemas.openxmlformats.org/officeDocument/2006/relationships/hyperlink" Target="https://genai.owasp.org/2026/09/01/owasp-genai-security-project-unveils-2026-top-10-for-llm-applications-new-agent-control-standard-and-sponsors-as-community-tops-30000-members/" TargetMode="External"/><Relationship Id="rId20" Type="http://schemas.openxmlformats.org/officeDocument/2006/relationships/hyperlink" Target="https://api-security.owasp.org/editions/2023/en/0x11-t10/" TargetMode="External"/><Relationship Id="rId21" Type="http://schemas.openxmlformats.org/officeDocument/2006/relationships/hyperlink" Target="https://www.iso.org/standard/42001" TargetMode="External"/><Relationship Id="rId22" Type="http://schemas.openxmlformats.org/officeDocument/2006/relationships/hyperlink" Target="https://www.iso.org/standard/77304.html" TargetMode="External"/><Relationship Id="rId23" Type="http://schemas.openxmlformats.org/officeDocument/2006/relationships/hyperlink" Target="https://nvlpubs.nist.gov/nistpubs/SpecialPublications/NIST.SP.1299.pdf" TargetMode="External"/><Relationship Id="rId24" Type="http://schemas.openxmlformats.org/officeDocument/2006/relationships/hyperlink" Target="https://developer.mozilla.org/en-US/docs/Web/API/IndexedDB_API/Using_IndexedDB" TargetMode="External"/><Relationship Id="rId25" Type="http://schemas.openxmlformats.org/officeDocument/2006/relationships/hyperlink" Target="https://www.w3.org/groups/wg/service-workers/" TargetMode="External"/><Relationship Id="rId26" Type="http://schemas.openxmlformats.org/officeDocument/2006/relationships/hyperlink" Target="https://www.w3.org/TR/WCAG22/" TargetMode="External"/><Relationship Id="rId27" Type="http://schemas.openxmlformats.org/officeDocument/2006/relationships/hyperlink" Target="https://www.w3.org/press-releases/2025/wcag22-iso-pas/" TargetMode="External"/><Relationship Id="rId28" Type="http://schemas.openxmlformats.org/officeDocument/2006/relationships/hyperlink" Target="https://www.w3.org/TR/appmanifest/" TargetMode="External"/><Relationship Id="rId29" Type="http://schemas.openxmlformats.org/officeDocument/2006/relationships/hyperlink" Target="https://www.iso.org/standard/82490.html" TargetMode="External"/><Relationship Id="rId30" Type="http://schemas.openxmlformats.org/officeDocument/2006/relationships/hyperlink" Target="https://www.iso.org/standard/81484.html" TargetMode="External"/><Relationship Id="rId31" Type="http://schemas.openxmlformats.org/officeDocument/2006/relationships/hyperlink" Target="https://www.iso.org/standard/83054.html" TargetMode="External"/><Relationship Id="rId32" Type="http://schemas.openxmlformats.org/officeDocument/2006/relationships/hyperlink" Target="https://www.who.int/publications/i/item/9789240113992" TargetMode="External"/><Relationship Id="rId33" Type="http://schemas.openxmlformats.org/officeDocument/2006/relationships/hyperlink" Target="https://www.iso.org/standard/64115.html" TargetMode="External"/><Relationship Id="rId34" Type="http://schemas.openxmlformats.org/officeDocument/2006/relationships/hyperlink" Target="https://csrc.nist.gov/pubs/sp/800/61/r3/final" TargetMode="External"/><Relationship Id="rId35" Type="http://schemas.openxmlformats.org/officeDocument/2006/relationships/hyperlink" Target="https://csrc.nist.gov/pubs/sp/800/218/final" TargetMode="External"/><Relationship Id="rId36" Type="http://schemas.openxmlformats.org/officeDocument/2006/relationships/hyperlink" Target="https://owasp.org/projects/asvs" TargetMode="External"/><Relationship Id="rId37" Type="http://schemas.openxmlformats.org/officeDocument/2006/relationships/hyperlink" Target="https://www.iso.org/standard/27001?archive=al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MIZAN AI — Master Product Reference v1.0</dc:title>
  <dc:subject>Product, operating, AI, governance, UX, performance and implementation reference</dc:subject>
  <dc:creator>MIZAN AI</dc:creator>
  <cp:keywords>MIZAN AI, water, WASH, Yemen, digital water, AI, governance, offline-first</cp:keywords>
  <dc:description>generated by python-docx</dc:description>
  <cp:lastModifiedBy/>
  <cp:revision>1</cp:revision>
  <dcterms:created xsi:type="dcterms:W3CDTF">2013-12-23T23:15:00Z</dcterms:created>
  <dcterms:modified xsi:type="dcterms:W3CDTF">2013-12-23T23:15:00Z</dcterms:modified>
  <cp:category/>
</cp:coreProperties>
</file>