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76" w:lineRule="auto"/>
        <w:jc w:val="left"/>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2">
      <w:pPr>
        <w:spacing w:after="200" w:before="200" w:line="276"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Universidad Nacional Mayor de San Marcos</w:t>
        <w:br w:type="textWrapping"/>
        <w:t xml:space="preserve">Facultad de Ingeniería de Sistemas e Informática</w:t>
        <w:br w:type="textWrapping"/>
        <w:t xml:space="preserve">E.P. de Ingeniería de Software</w:t>
      </w:r>
    </w:p>
    <w:p w:rsidR="00000000" w:rsidDel="00000000" w:rsidP="00000000" w:rsidRDefault="00000000" w:rsidRPr="00000000" w14:paraId="00000003">
      <w:pPr>
        <w:spacing w:after="200" w:before="200" w:line="276" w:lineRule="auto"/>
        <w:jc w:val="left"/>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4">
      <w:pPr>
        <w:spacing w:after="200" w:before="200" w:line="48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Pr>
        <w:drawing>
          <wp:inline distB="114300" distT="114300" distL="114300" distR="114300">
            <wp:extent cx="1968600" cy="24587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8600" cy="24587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mAI-</w:t>
      </w:r>
      <w:r w:rsidDel="00000000" w:rsidR="00000000" w:rsidRPr="00000000">
        <w:rPr>
          <w:rFonts w:ascii="IBM Plex Serif" w:cs="IBM Plex Serif" w:eastAsia="IBM Plex Serif" w:hAnsi="IBM Plex Serif"/>
          <w:b w:val="1"/>
          <w:sz w:val="24"/>
          <w:szCs w:val="24"/>
          <w:rtl w:val="0"/>
        </w:rPr>
        <w:t xml:space="preserve">HU</w:t>
      </w:r>
      <w:r w:rsidDel="00000000" w:rsidR="00000000" w:rsidRPr="00000000">
        <w:rPr>
          <w:rFonts w:ascii="IBM Plex Serif" w:cs="IBM Plex Serif" w:eastAsia="IBM Plex Serif" w:hAnsi="IBM Plex Serif"/>
          <w:b w:val="1"/>
          <w:sz w:val="24"/>
          <w:szCs w:val="24"/>
          <w:rtl w:val="0"/>
        </w:rPr>
        <w:t xml:space="preserve">1: Historia de Usuario 1</w:t>
      </w:r>
    </w:p>
    <w:p w:rsidR="00000000" w:rsidDel="00000000" w:rsidP="00000000" w:rsidRDefault="00000000" w:rsidRPr="00000000" w14:paraId="00000006">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07">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Integrantes</w:t>
        <w:br w:type="textWrapping"/>
      </w:r>
    </w:p>
    <w:p w:rsidR="00000000" w:rsidDel="00000000" w:rsidP="00000000" w:rsidRDefault="00000000" w:rsidRPr="00000000" w14:paraId="00000008">
      <w:pPr>
        <w:spacing w:after="200"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Alva Sáenz, Rodrigo José</w:t>
        <w:tab/>
        <w:tab/>
        <w:t xml:space="preserve"> </w:t>
        <w:tab/>
        <w:tab/>
        <w:t xml:space="preserve">22200232</w:t>
        <w:br w:type="textWrapping"/>
        <w:t xml:space="preserve">Del Carpio Martinez, Damaris Marian </w:t>
        <w:tab/>
        <w:t xml:space="preserve"> </w:t>
        <w:tab/>
        <w:t xml:space="preserve">22200082</w:t>
        <w:br w:type="textWrapping"/>
        <w:t xml:space="preserve">Diaz Ingol, Jesus Stevan </w:t>
        <w:tab/>
        <w:tab/>
        <w:tab/>
        <w:tab/>
        <w:t xml:space="preserve">22200083</w:t>
        <w:br w:type="textWrapping"/>
        <w:t xml:space="preserve">Maylle Colaca, Luis Fernando </w:t>
        <w:tab/>
        <w:tab/>
        <w:tab/>
        <w:t xml:space="preserve">21200221</w:t>
        <w:br w:type="textWrapping"/>
        <w:t xml:space="preserve">Monzon Argüelles, Oscar Sebastian </w:t>
        <w:tab/>
        <w:tab/>
        <w:t xml:space="preserve">22200094</w:t>
        <w:br w:type="textWrapping"/>
        <w:t xml:space="preserve">Rojas Castañeda, Ruth Camila</w:t>
        <w:tab/>
        <w:tab/>
        <w:tab/>
        <w:t xml:space="preserve">22200239</w:t>
        <w:br w:type="textWrapping"/>
        <w:t xml:space="preserve">Rojas Rojas, Sebastian Alberto</w:t>
        <w:tab/>
        <w:tab/>
        <w:tab/>
        <w:t xml:space="preserve">22200261</w:t>
        <w:br w:type="textWrapping"/>
        <w:t xml:space="preserve">Zegarra Medina, Jose Antonio </w:t>
        <w:tab/>
        <w:tab/>
        <w:tab/>
        <w:t xml:space="preserve">22200102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mAI-</w:t>
      </w:r>
      <w:r w:rsidDel="00000000" w:rsidR="00000000" w:rsidRPr="00000000">
        <w:rPr>
          <w:rFonts w:ascii="IBM Plex Serif" w:cs="IBM Plex Serif" w:eastAsia="IBM Plex Serif" w:hAnsi="IBM Plex Serif"/>
          <w:b w:val="1"/>
          <w:sz w:val="24"/>
          <w:szCs w:val="24"/>
          <w:rtl w:val="0"/>
        </w:rPr>
        <w:t xml:space="preserve">HU</w:t>
      </w:r>
      <w:r w:rsidDel="00000000" w:rsidR="00000000" w:rsidRPr="00000000">
        <w:rPr>
          <w:rFonts w:ascii="IBM Plex Serif" w:cs="IBM Plex Serif" w:eastAsia="IBM Plex Serif" w:hAnsi="IBM Plex Serif"/>
          <w:b w:val="1"/>
          <w:sz w:val="24"/>
          <w:szCs w:val="24"/>
          <w:rtl w:val="0"/>
        </w:rPr>
        <w:t xml:space="preserve">1: Historia de Usuario 5</w:t>
      </w:r>
    </w:p>
    <w:p w:rsidR="00000000" w:rsidDel="00000000" w:rsidP="00000000" w:rsidRDefault="00000000" w:rsidRPr="00000000" w14:paraId="0000000F">
      <w:pPr>
        <w:spacing w:after="200" w:before="20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Historia de Usuario 5: </w:t>
      </w:r>
      <w:r w:rsidDel="00000000" w:rsidR="00000000" w:rsidRPr="00000000">
        <w:rPr>
          <w:rFonts w:ascii="IBM Plex Serif" w:cs="IBM Plex Serif" w:eastAsia="IBM Plex Serif" w:hAnsi="IBM Plex Serif"/>
          <w:sz w:val="24"/>
          <w:szCs w:val="24"/>
          <w:rtl w:val="0"/>
        </w:rPr>
        <w:t xml:space="preserve">Módulo de quick search (búsqueda y corrección de palabras)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Descripción</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00" w:before="200" w:lineRule="auto"/>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Yo, como empleado de una empresa, quiero poder buscar el significado y contexto de una palabra seleccionada en múltiples idiomas, para mejorar mi conocimiento lingüístico y habilidades de comunicación.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Criterios de Aceptación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1"/>
              </w:numPr>
              <w:ind w:left="720" w:hanging="360"/>
              <w:jc w:val="both"/>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Criterio 1: </w:t>
            </w:r>
            <w:r w:rsidDel="00000000" w:rsidR="00000000" w:rsidRPr="00000000">
              <w:rPr>
                <w:rFonts w:ascii="IBM Plex Serif" w:cs="IBM Plex Serif" w:eastAsia="IBM Plex Serif" w:hAnsi="IBM Plex Serif"/>
                <w:sz w:val="24"/>
                <w:szCs w:val="24"/>
                <w:rtl w:val="0"/>
              </w:rPr>
              <w:t xml:space="preserve">La extensión debe ser capaz de detectar cuando el usuario selecciona una palabra en la página web.</w:t>
            </w:r>
          </w:p>
          <w:p w:rsidR="00000000" w:rsidDel="00000000" w:rsidP="00000000" w:rsidRDefault="00000000" w:rsidRPr="00000000" w14:paraId="00000017">
            <w:pPr>
              <w:widowControl w:val="0"/>
              <w:numPr>
                <w:ilvl w:val="0"/>
                <w:numId w:val="1"/>
              </w:numPr>
              <w:ind w:left="720" w:hanging="360"/>
              <w:jc w:val="both"/>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Criterio 2: </w:t>
            </w:r>
            <w:r w:rsidDel="00000000" w:rsidR="00000000" w:rsidRPr="00000000">
              <w:rPr>
                <w:rFonts w:ascii="IBM Plex Serif" w:cs="IBM Plex Serif" w:eastAsia="IBM Plex Serif" w:hAnsi="IBM Plex Serif"/>
                <w:sz w:val="24"/>
                <w:szCs w:val="24"/>
                <w:rtl w:val="0"/>
              </w:rPr>
              <w:t xml:space="preserve">Al seleccionar una palabra, la extensión mAI debe mostrar un pequeño ícono o mensaje contextual que muestre la opción de 'Buscar con mAI' que muestre su significado y contexto relevante.</w:t>
            </w:r>
          </w:p>
          <w:p w:rsidR="00000000" w:rsidDel="00000000" w:rsidP="00000000" w:rsidRDefault="00000000" w:rsidRPr="00000000" w14:paraId="00000018">
            <w:pPr>
              <w:widowControl w:val="0"/>
              <w:numPr>
                <w:ilvl w:val="0"/>
                <w:numId w:val="1"/>
              </w:numPr>
              <w:ind w:left="720" w:hanging="360"/>
              <w:jc w:val="both"/>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Criterio 3: </w:t>
            </w:r>
            <w:r w:rsidDel="00000000" w:rsidR="00000000" w:rsidRPr="00000000">
              <w:rPr>
                <w:rFonts w:ascii="IBM Plex Serif" w:cs="IBM Plex Serif" w:eastAsia="IBM Plex Serif" w:hAnsi="IBM Plex Serif"/>
                <w:sz w:val="24"/>
                <w:szCs w:val="24"/>
                <w:rtl w:val="0"/>
              </w:rPr>
              <w:t xml:space="preserve">Tras darle clic al pequeño ícono o mensaje contextual, debe salir otro mensaje contextual que brinda al usuario la opción de poder elegir el idioma de búsqueda, siendo la primera opción el original en el que la palabra seleccionada está escrita, y los demás una variedad de idiomas populares.</w:t>
            </w:r>
          </w:p>
          <w:p w:rsidR="00000000" w:rsidDel="00000000" w:rsidP="00000000" w:rsidRDefault="00000000" w:rsidRPr="00000000" w14:paraId="00000019">
            <w:pPr>
              <w:widowControl w:val="0"/>
              <w:numPr>
                <w:ilvl w:val="0"/>
                <w:numId w:val="1"/>
              </w:numPr>
              <w:ind w:left="720" w:hanging="360"/>
              <w:jc w:val="both"/>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b w:val="1"/>
                <w:sz w:val="24"/>
                <w:szCs w:val="24"/>
                <w:rtl w:val="0"/>
              </w:rPr>
              <w:t xml:space="preserve">Criterio 4: </w:t>
            </w:r>
            <w:r w:rsidDel="00000000" w:rsidR="00000000" w:rsidRPr="00000000">
              <w:rPr>
                <w:rFonts w:ascii="IBM Plex Serif" w:cs="IBM Plex Serif" w:eastAsia="IBM Plex Serif" w:hAnsi="IBM Plex Serif"/>
                <w:sz w:val="24"/>
                <w:szCs w:val="24"/>
                <w:rtl w:val="0"/>
              </w:rPr>
              <w:t xml:space="preserve">La capacidad de buscar en varios idiomas debe integrarse de manera fluida en la interfaz de usuario de la extensión, sin agregar complejidad innecesaria al proceso de búsqueda.</w:t>
            </w:r>
          </w:p>
        </w:tc>
      </w:tr>
    </w:tbl>
    <w:p w:rsidR="00000000" w:rsidDel="00000000" w:rsidP="00000000" w:rsidRDefault="00000000" w:rsidRPr="00000000" w14:paraId="0000001B">
      <w:pPr>
        <w:spacing w:after="200" w:before="200" w:lineRule="auto"/>
        <w:jc w:val="both"/>
        <w:rPr>
          <w:rFonts w:ascii="IBM Plex Serif" w:cs="IBM Plex Serif" w:eastAsia="IBM Plex Serif" w:hAnsi="IBM Plex Serif"/>
          <w:b w:val="1"/>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center"/>
      <w:rPr>
        <w:rFonts w:ascii="IBM Plex Serif" w:cs="IBM Plex Serif" w:eastAsia="IBM Plex Serif" w:hAnsi="IBM Plex Serif"/>
        <w:b w:val="1"/>
        <w:color w:val="cccccc"/>
        <w:sz w:val="18"/>
        <w:szCs w:val="18"/>
      </w:rPr>
    </w:pPr>
    <w:r w:rsidDel="00000000" w:rsidR="00000000" w:rsidRPr="00000000">
      <w:rPr>
        <w:rFonts w:ascii="IBM Plex Serif" w:cs="IBM Plex Serif" w:eastAsia="IBM Plex Serif" w:hAnsi="IBM Plex Serif"/>
        <w:b w:val="1"/>
        <w:color w:val="cccccc"/>
        <w:sz w:val="18"/>
        <w:szCs w:val="18"/>
        <w:rtl w:val="0"/>
      </w:rPr>
      <w:t xml:space="preserve">mAI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rFonts w:ascii="IBM Plex Serif" w:cs="IBM Plex Serif" w:eastAsia="IBM Plex Serif" w:hAnsi="IBM Plex Serif"/>
        <w:b w:val="1"/>
        <w:color w:val="d9d9d9"/>
        <w:sz w:val="18"/>
        <w:szCs w:val="18"/>
      </w:rPr>
    </w:pPr>
    <w:r w:rsidDel="00000000" w:rsidR="00000000" w:rsidRPr="00000000">
      <w:rPr>
        <w:rFonts w:ascii="IBM Plex Serif" w:cs="IBM Plex Serif" w:eastAsia="IBM Plex Serif" w:hAnsi="IBM Plex Serif"/>
        <w:b w:val="1"/>
        <w:color w:val="d9d9d9"/>
        <w:sz w:val="18"/>
        <w:szCs w:val="18"/>
        <w:rtl w:val="0"/>
      </w:rPr>
      <w:t xml:space="preserve">Grupo 5</w:t>
      <w:tab/>
      <w:tab/>
      <w:tab/>
      <w:tab/>
      <w:tab/>
      <w:tab/>
      <w:t xml:space="preserve"> </w:t>
      <w:tab/>
      <w:t xml:space="preserve">         Gestión de la Configuración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