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276" w:lineRule="auto"/>
        <w:jc w:val="left"/>
        <w:rPr>
          <w:rFonts w:ascii="IBM Plex Serif" w:cs="IBM Plex Serif" w:eastAsia="IBM Plex Serif" w:hAnsi="IBM Plex Serif"/>
          <w:b w:val="1"/>
        </w:rPr>
      </w:pPr>
      <w:r w:rsidDel="00000000" w:rsidR="00000000" w:rsidRPr="00000000">
        <w:rPr>
          <w:rtl w:val="0"/>
        </w:rPr>
      </w:r>
    </w:p>
    <w:p w:rsidR="00000000" w:rsidDel="00000000" w:rsidP="00000000" w:rsidRDefault="00000000" w:rsidRPr="00000000" w14:paraId="00000002">
      <w:pPr>
        <w:spacing w:after="200" w:before="200" w:line="276" w:lineRule="auto"/>
        <w:jc w:val="center"/>
        <w:rPr>
          <w:rFonts w:ascii="IBM Plex Serif" w:cs="IBM Plex Serif" w:eastAsia="IBM Plex Serif" w:hAnsi="IBM Plex Serif"/>
          <w:b w:val="1"/>
        </w:rPr>
      </w:pPr>
      <w:r w:rsidDel="00000000" w:rsidR="00000000" w:rsidRPr="00000000">
        <w:rPr>
          <w:rFonts w:ascii="IBM Plex Serif" w:cs="IBM Plex Serif" w:eastAsia="IBM Plex Serif" w:hAnsi="IBM Plex Serif"/>
          <w:b w:val="1"/>
          <w:rtl w:val="0"/>
        </w:rPr>
        <w:t xml:space="preserve">Universidad Nacional Mayor de San Marcos</w:t>
        <w:br w:type="textWrapping"/>
        <w:t xml:space="preserve">Facultad de Ingeniería de Sistemas e Informática</w:t>
        <w:br w:type="textWrapping"/>
        <w:t xml:space="preserve">E.P. de Ingeniería de Software</w:t>
      </w:r>
    </w:p>
    <w:p w:rsidR="00000000" w:rsidDel="00000000" w:rsidP="00000000" w:rsidRDefault="00000000" w:rsidRPr="00000000" w14:paraId="00000003">
      <w:pPr>
        <w:spacing w:after="200" w:before="200" w:line="276" w:lineRule="auto"/>
        <w:jc w:val="left"/>
        <w:rPr>
          <w:rFonts w:ascii="IBM Plex Serif" w:cs="IBM Plex Serif" w:eastAsia="IBM Plex Serif" w:hAnsi="IBM Plex Serif"/>
          <w:b w:val="1"/>
        </w:rPr>
      </w:pPr>
      <w:r w:rsidDel="00000000" w:rsidR="00000000" w:rsidRPr="00000000">
        <w:rPr>
          <w:rtl w:val="0"/>
        </w:rPr>
      </w:r>
    </w:p>
    <w:p w:rsidR="00000000" w:rsidDel="00000000" w:rsidP="00000000" w:rsidRDefault="00000000" w:rsidRPr="00000000" w14:paraId="00000004">
      <w:pPr>
        <w:spacing w:after="200" w:before="200" w:line="480" w:lineRule="auto"/>
        <w:jc w:val="center"/>
        <w:rPr>
          <w:rFonts w:ascii="IBM Plex Serif" w:cs="IBM Plex Serif" w:eastAsia="IBM Plex Serif" w:hAnsi="IBM Plex Serif"/>
          <w:b w:val="1"/>
        </w:rPr>
      </w:pPr>
      <w:r w:rsidDel="00000000" w:rsidR="00000000" w:rsidRPr="00000000">
        <w:rPr>
          <w:rFonts w:ascii="IBM Plex Serif" w:cs="IBM Plex Serif" w:eastAsia="IBM Plex Serif" w:hAnsi="IBM Plex Serif"/>
          <w:b w:val="1"/>
        </w:rPr>
        <w:drawing>
          <wp:inline distB="114300" distT="114300" distL="114300" distR="114300">
            <wp:extent cx="1968600" cy="245870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68600" cy="245870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00" w:before="200" w:lineRule="auto"/>
        <w:jc w:val="center"/>
        <w:rPr>
          <w:rFonts w:ascii="IBM Plex Serif" w:cs="IBM Plex Serif" w:eastAsia="IBM Plex Serif" w:hAnsi="IBM Plex Serif"/>
          <w:b w:val="1"/>
          <w:sz w:val="24"/>
          <w:szCs w:val="24"/>
        </w:rPr>
      </w:pPr>
      <w:r w:rsidDel="00000000" w:rsidR="00000000" w:rsidRPr="00000000">
        <w:rPr>
          <w:rFonts w:ascii="IBM Plex Serif" w:cs="IBM Plex Serif" w:eastAsia="IBM Plex Serif" w:hAnsi="IBM Plex Serif"/>
          <w:b w:val="1"/>
          <w:sz w:val="24"/>
          <w:szCs w:val="24"/>
          <w:rtl w:val="0"/>
        </w:rPr>
        <w:t xml:space="preserve">mAI-</w:t>
      </w:r>
      <w:r w:rsidDel="00000000" w:rsidR="00000000" w:rsidRPr="00000000">
        <w:rPr>
          <w:rFonts w:ascii="IBM Plex Serif" w:cs="IBM Plex Serif" w:eastAsia="IBM Plex Serif" w:hAnsi="IBM Plex Serif"/>
          <w:b w:val="1"/>
          <w:sz w:val="24"/>
          <w:szCs w:val="24"/>
          <w:rtl w:val="0"/>
        </w:rPr>
        <w:t xml:space="preserve">HU</w:t>
      </w:r>
      <w:r w:rsidDel="00000000" w:rsidR="00000000" w:rsidRPr="00000000">
        <w:rPr>
          <w:rFonts w:ascii="IBM Plex Serif" w:cs="IBM Plex Serif" w:eastAsia="IBM Plex Serif" w:hAnsi="IBM Plex Serif"/>
          <w:b w:val="1"/>
          <w:sz w:val="24"/>
          <w:szCs w:val="24"/>
          <w:rtl w:val="0"/>
        </w:rPr>
        <w:t xml:space="preserve">1: Historia de Usuario 1</w:t>
      </w:r>
    </w:p>
    <w:p w:rsidR="00000000" w:rsidDel="00000000" w:rsidP="00000000" w:rsidRDefault="00000000" w:rsidRPr="00000000" w14:paraId="00000006">
      <w:pPr>
        <w:spacing w:after="200" w:before="200" w:lineRule="auto"/>
        <w:jc w:val="center"/>
        <w:rPr>
          <w:rFonts w:ascii="IBM Plex Serif" w:cs="IBM Plex Serif" w:eastAsia="IBM Plex Serif" w:hAnsi="IBM Plex Serif"/>
          <w:b w:val="1"/>
          <w:sz w:val="24"/>
          <w:szCs w:val="24"/>
        </w:rPr>
      </w:pPr>
      <w:r w:rsidDel="00000000" w:rsidR="00000000" w:rsidRPr="00000000">
        <w:rPr>
          <w:rtl w:val="0"/>
        </w:rPr>
      </w:r>
    </w:p>
    <w:p w:rsidR="00000000" w:rsidDel="00000000" w:rsidP="00000000" w:rsidRDefault="00000000" w:rsidRPr="00000000" w14:paraId="00000007">
      <w:pPr>
        <w:spacing w:after="200" w:before="200" w:lineRule="auto"/>
        <w:jc w:val="center"/>
        <w:rPr>
          <w:rFonts w:ascii="IBM Plex Serif" w:cs="IBM Plex Serif" w:eastAsia="IBM Plex Serif" w:hAnsi="IBM Plex Serif"/>
          <w:b w:val="1"/>
        </w:rPr>
      </w:pPr>
      <w:r w:rsidDel="00000000" w:rsidR="00000000" w:rsidRPr="00000000">
        <w:rPr>
          <w:rFonts w:ascii="IBM Plex Serif" w:cs="IBM Plex Serif" w:eastAsia="IBM Plex Serif" w:hAnsi="IBM Plex Serif"/>
          <w:b w:val="1"/>
          <w:rtl w:val="0"/>
        </w:rPr>
        <w:t xml:space="preserve">Integrantes</w:t>
      </w:r>
    </w:p>
    <w:p w:rsidR="00000000" w:rsidDel="00000000" w:rsidP="00000000" w:rsidRDefault="00000000" w:rsidRPr="00000000" w14:paraId="00000008">
      <w:pPr>
        <w:spacing w:after="200" w:line="276" w:lineRule="auto"/>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Alva Sáenz, Rodrigo José</w:t>
        <w:tab/>
        <w:tab/>
        <w:t xml:space="preserve"> </w:t>
        <w:tab/>
        <w:tab/>
        <w:t xml:space="preserve">22200232</w:t>
        <w:br w:type="textWrapping"/>
        <w:t xml:space="preserve">Del Carpio Martinez, Damaris Marian </w:t>
        <w:tab/>
        <w:t xml:space="preserve"> </w:t>
        <w:tab/>
        <w:t xml:space="preserve">22200082</w:t>
        <w:br w:type="textWrapping"/>
        <w:t xml:space="preserve">Diaz Ingol, Jesus Stevan </w:t>
        <w:tab/>
        <w:tab/>
        <w:tab/>
        <w:tab/>
        <w:t xml:space="preserve">22200083</w:t>
        <w:br w:type="textWrapping"/>
        <w:t xml:space="preserve">Maylle Colaca, Luis Fernando </w:t>
        <w:tab/>
        <w:tab/>
        <w:tab/>
        <w:t xml:space="preserve">21200221</w:t>
        <w:br w:type="textWrapping"/>
        <w:t xml:space="preserve">Monzon Argüelles, Oscar Sebastian </w:t>
        <w:tab/>
        <w:tab/>
        <w:t xml:space="preserve">22200094</w:t>
        <w:br w:type="textWrapping"/>
        <w:t xml:space="preserve">Rojas Castañeda, Ruth Camila</w:t>
        <w:tab/>
        <w:tab/>
        <w:tab/>
        <w:t xml:space="preserve">22200239</w:t>
        <w:br w:type="textWrapping"/>
        <w:t xml:space="preserve">Rojas Rojas, Sebastian Alberto</w:t>
        <w:tab/>
        <w:tab/>
        <w:tab/>
        <w:t xml:space="preserve">22200261</w:t>
        <w:br w:type="textWrapping"/>
        <w:t xml:space="preserve">Zegarra Medina, Jose Antonio </w:t>
        <w:tab/>
        <w:tab/>
        <w:tab/>
        <w:t xml:space="preserve">22200102</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200" w:before="200" w:lineRule="auto"/>
        <w:jc w:val="center"/>
        <w:rPr>
          <w:rFonts w:ascii="IBM Plex Serif" w:cs="IBM Plex Serif" w:eastAsia="IBM Plex Serif" w:hAnsi="IBM Plex Serif"/>
          <w:b w:val="1"/>
          <w:sz w:val="24"/>
          <w:szCs w:val="24"/>
        </w:rPr>
      </w:pPr>
      <w:r w:rsidDel="00000000" w:rsidR="00000000" w:rsidRPr="00000000">
        <w:rPr>
          <w:rtl w:val="0"/>
        </w:rPr>
      </w:r>
    </w:p>
    <w:p w:rsidR="00000000" w:rsidDel="00000000" w:rsidP="00000000" w:rsidRDefault="00000000" w:rsidRPr="00000000" w14:paraId="0000000F">
      <w:pPr>
        <w:spacing w:after="200" w:before="200" w:lineRule="auto"/>
        <w:jc w:val="center"/>
        <w:rPr>
          <w:rFonts w:ascii="IBM Plex Serif" w:cs="IBM Plex Serif" w:eastAsia="IBM Plex Serif" w:hAnsi="IBM Plex Serif"/>
          <w:b w:val="1"/>
          <w:sz w:val="24"/>
          <w:szCs w:val="24"/>
        </w:rPr>
      </w:pPr>
      <w:r w:rsidDel="00000000" w:rsidR="00000000" w:rsidRPr="00000000">
        <w:rPr>
          <w:rFonts w:ascii="IBM Plex Serif" w:cs="IBM Plex Serif" w:eastAsia="IBM Plex Serif" w:hAnsi="IBM Plex Serif"/>
          <w:b w:val="1"/>
          <w:sz w:val="24"/>
          <w:szCs w:val="24"/>
          <w:rtl w:val="0"/>
        </w:rPr>
        <w:t xml:space="preserve">mAI-</w:t>
      </w:r>
      <w:r w:rsidDel="00000000" w:rsidR="00000000" w:rsidRPr="00000000">
        <w:rPr>
          <w:rFonts w:ascii="IBM Plex Serif" w:cs="IBM Plex Serif" w:eastAsia="IBM Plex Serif" w:hAnsi="IBM Plex Serif"/>
          <w:b w:val="1"/>
          <w:sz w:val="24"/>
          <w:szCs w:val="24"/>
          <w:rtl w:val="0"/>
        </w:rPr>
        <w:t xml:space="preserve">HU</w:t>
      </w:r>
      <w:r w:rsidDel="00000000" w:rsidR="00000000" w:rsidRPr="00000000">
        <w:rPr>
          <w:rFonts w:ascii="IBM Plex Serif" w:cs="IBM Plex Serif" w:eastAsia="IBM Plex Serif" w:hAnsi="IBM Plex Serif"/>
          <w:b w:val="1"/>
          <w:sz w:val="24"/>
          <w:szCs w:val="24"/>
          <w:rtl w:val="0"/>
        </w:rPr>
        <w:t xml:space="preserve">1: Historia de Usuario 7</w:t>
      </w:r>
    </w:p>
    <w:p w:rsidR="00000000" w:rsidDel="00000000" w:rsidP="00000000" w:rsidRDefault="00000000" w:rsidRPr="00000000" w14:paraId="00000010">
      <w:pPr>
        <w:spacing w:after="200" w:before="200" w:lineRule="auto"/>
        <w:jc w:val="center"/>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b w:val="1"/>
          <w:sz w:val="24"/>
          <w:szCs w:val="24"/>
          <w:rtl w:val="0"/>
        </w:rPr>
        <w:t xml:space="preserve">Historia de Usuario 7: </w:t>
      </w:r>
      <w:r w:rsidDel="00000000" w:rsidR="00000000" w:rsidRPr="00000000">
        <w:rPr>
          <w:rFonts w:ascii="IBM Plex Serif" w:cs="IBM Plex Serif" w:eastAsia="IBM Plex Serif" w:hAnsi="IBM Plex Serif"/>
          <w:sz w:val="24"/>
          <w:szCs w:val="24"/>
          <w:rtl w:val="0"/>
        </w:rPr>
        <w:t xml:space="preserve">Módulo de suscripción a web feeds</w:t>
      </w:r>
    </w:p>
    <w:tbl>
      <w:tblPr>
        <w:tblStyle w:val="Table1"/>
        <w:tblW w:w="95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tblGridChange w:id="0">
          <w:tblGrid>
            <w:gridCol w:w="9510"/>
          </w:tblGrid>
        </w:tblGridChange>
      </w:tblGrid>
      <w:tr>
        <w:trPr>
          <w:cantSplit w:val="0"/>
          <w:trHeight w:val="440" w:hRule="atLeast"/>
          <w:tblHeader w:val="0"/>
        </w:trPr>
        <w:tc>
          <w:tcPr/>
          <w:p w:rsidR="00000000" w:rsidDel="00000000" w:rsidP="00000000" w:rsidRDefault="00000000" w:rsidRPr="00000000" w14:paraId="00000011">
            <w:pPr>
              <w:widowControl w:val="0"/>
              <w:spacing w:line="240" w:lineRule="auto"/>
              <w:jc w:val="center"/>
              <w:rPr>
                <w:rFonts w:ascii="IBM Plex Serif" w:cs="IBM Plex Serif" w:eastAsia="IBM Plex Serif" w:hAnsi="IBM Plex Serif"/>
                <w:b w:val="1"/>
                <w:sz w:val="24"/>
                <w:szCs w:val="24"/>
              </w:rPr>
            </w:pPr>
            <w:r w:rsidDel="00000000" w:rsidR="00000000" w:rsidRPr="00000000">
              <w:rPr>
                <w:rFonts w:ascii="IBM Plex Serif" w:cs="IBM Plex Serif" w:eastAsia="IBM Plex Serif" w:hAnsi="IBM Plex Serif"/>
                <w:b w:val="1"/>
                <w:sz w:val="24"/>
                <w:szCs w:val="24"/>
                <w:rtl w:val="0"/>
              </w:rPr>
              <w:t xml:space="preserve">Descripción</w:t>
            </w:r>
          </w:p>
        </w:tc>
      </w:tr>
      <w:tr>
        <w:trPr>
          <w:cantSplit w:val="0"/>
          <w:tblHeader w:val="0"/>
        </w:trPr>
        <w:tc>
          <w:tcPr/>
          <w:p w:rsidR="00000000" w:rsidDel="00000000" w:rsidP="00000000" w:rsidRDefault="00000000" w:rsidRPr="00000000" w14:paraId="00000012">
            <w:pPr>
              <w:spacing w:after="200" w:before="200" w:lineRule="auto"/>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sz w:val="24"/>
                <w:szCs w:val="24"/>
                <w:rtl w:val="0"/>
              </w:rPr>
              <w:t xml:space="preserve">Yo como usuario, quiero suscribirme a las feeds de noticias o notificaciones de las websites que más visito para tener un acceso rápido a estas a través de la extensión.</w:t>
            </w:r>
          </w:p>
        </w:tc>
      </w:tr>
      <w:tr>
        <w:trPr>
          <w:cantSplit w:val="0"/>
          <w:tblHeader w:val="0"/>
        </w:trPr>
        <w:tc>
          <w:tcPr/>
          <w:p w:rsidR="00000000" w:rsidDel="00000000" w:rsidP="00000000" w:rsidRDefault="00000000" w:rsidRPr="00000000" w14:paraId="00000013">
            <w:pPr>
              <w:widowControl w:val="0"/>
              <w:spacing w:line="240" w:lineRule="auto"/>
              <w:jc w:val="center"/>
              <w:rPr>
                <w:rFonts w:ascii="IBM Plex Serif" w:cs="IBM Plex Serif" w:eastAsia="IBM Plex Serif" w:hAnsi="IBM Plex Serif"/>
                <w:b w:val="1"/>
                <w:sz w:val="24"/>
                <w:szCs w:val="24"/>
              </w:rPr>
            </w:pPr>
            <w:r w:rsidDel="00000000" w:rsidR="00000000" w:rsidRPr="00000000">
              <w:rPr>
                <w:rFonts w:ascii="IBM Plex Serif" w:cs="IBM Plex Serif" w:eastAsia="IBM Plex Serif" w:hAnsi="IBM Plex Serif"/>
                <w:b w:val="1"/>
                <w:sz w:val="24"/>
                <w:szCs w:val="24"/>
                <w:rtl w:val="0"/>
              </w:rPr>
              <w:t xml:space="preserve">Criterios de Aceptación</w:t>
            </w:r>
          </w:p>
        </w:tc>
      </w:tr>
      <w:tr>
        <w:trPr>
          <w:cantSplit w:val="0"/>
          <w:tblHeader w:val="0"/>
        </w:trPr>
        <w:tc>
          <w:tcPr/>
          <w:p w:rsidR="00000000" w:rsidDel="00000000" w:rsidP="00000000" w:rsidRDefault="00000000" w:rsidRPr="00000000" w14:paraId="00000014">
            <w:pPr>
              <w:numPr>
                <w:ilvl w:val="0"/>
                <w:numId w:val="1"/>
              </w:numPr>
              <w:spacing w:after="0" w:afterAutospacing="0" w:before="200" w:lineRule="auto"/>
              <w:ind w:left="720" w:hanging="360"/>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b w:val="1"/>
                <w:sz w:val="24"/>
                <w:szCs w:val="24"/>
                <w:rtl w:val="0"/>
              </w:rPr>
              <w:t xml:space="preserve">Criterio 1: </w:t>
            </w:r>
            <w:r w:rsidDel="00000000" w:rsidR="00000000" w:rsidRPr="00000000">
              <w:rPr>
                <w:rFonts w:ascii="IBM Plex Serif" w:cs="IBM Plex Serif" w:eastAsia="IBM Plex Serif" w:hAnsi="IBM Plex Serif"/>
                <w:sz w:val="24"/>
                <w:szCs w:val="24"/>
                <w:rtl w:val="0"/>
              </w:rPr>
              <w:t xml:space="preserve">El usuario debe poder acceder a un menú que le permita agregar nuevos enlaces a fuentes de notificaciones.</w:t>
            </w:r>
          </w:p>
          <w:p w:rsidR="00000000" w:rsidDel="00000000" w:rsidP="00000000" w:rsidRDefault="00000000" w:rsidRPr="00000000" w14:paraId="00000015">
            <w:pPr>
              <w:numPr>
                <w:ilvl w:val="0"/>
                <w:numId w:val="1"/>
              </w:numPr>
              <w:spacing w:after="0" w:afterAutospacing="0" w:before="0" w:beforeAutospacing="0" w:lineRule="auto"/>
              <w:ind w:left="720" w:hanging="360"/>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b w:val="1"/>
                <w:sz w:val="24"/>
                <w:szCs w:val="24"/>
                <w:rtl w:val="0"/>
              </w:rPr>
              <w:t xml:space="preserve">Criterio 2: </w:t>
            </w:r>
            <w:r w:rsidDel="00000000" w:rsidR="00000000" w:rsidRPr="00000000">
              <w:rPr>
                <w:rFonts w:ascii="IBM Plex Serif" w:cs="IBM Plex Serif" w:eastAsia="IBM Plex Serif" w:hAnsi="IBM Plex Serif"/>
                <w:sz w:val="24"/>
                <w:szCs w:val="24"/>
                <w:rtl w:val="0"/>
              </w:rPr>
              <w:t xml:space="preserve">El sistema debe ser compatible con feeds rss y sistemas de notificaciones y noticias de plataformas conocidas.</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b w:val="1"/>
                <w:sz w:val="24"/>
                <w:szCs w:val="24"/>
                <w:rtl w:val="0"/>
              </w:rPr>
              <w:t xml:space="preserve">Criterio 4: </w:t>
            </w:r>
            <w:r w:rsidDel="00000000" w:rsidR="00000000" w:rsidRPr="00000000">
              <w:rPr>
                <w:rFonts w:ascii="IBM Plex Serif" w:cs="IBM Plex Serif" w:eastAsia="IBM Plex Serif" w:hAnsi="IBM Plex Serif"/>
                <w:sz w:val="24"/>
                <w:szCs w:val="24"/>
                <w:rtl w:val="0"/>
              </w:rPr>
              <w:t xml:space="preserve">El sistema debe determinar si el enlace que agregó el usuario es válido.</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b w:val="1"/>
                <w:sz w:val="24"/>
                <w:szCs w:val="24"/>
                <w:rtl w:val="0"/>
              </w:rPr>
              <w:t xml:space="preserve">Criterio 5: </w:t>
            </w:r>
            <w:r w:rsidDel="00000000" w:rsidR="00000000" w:rsidRPr="00000000">
              <w:rPr>
                <w:rFonts w:ascii="IBM Plex Serif" w:cs="IBM Plex Serif" w:eastAsia="IBM Plex Serif" w:hAnsi="IBM Plex Serif"/>
                <w:sz w:val="24"/>
                <w:szCs w:val="24"/>
                <w:rtl w:val="0"/>
              </w:rPr>
              <w:t xml:space="preserve">En caso de no ser válido, el sistema debe notificar de ello al usuario.</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b w:val="1"/>
                <w:sz w:val="24"/>
                <w:szCs w:val="24"/>
                <w:rtl w:val="0"/>
              </w:rPr>
              <w:t xml:space="preserve">Criterio 6: </w:t>
            </w:r>
            <w:r w:rsidDel="00000000" w:rsidR="00000000" w:rsidRPr="00000000">
              <w:rPr>
                <w:rFonts w:ascii="IBM Plex Serif" w:cs="IBM Plex Serif" w:eastAsia="IBM Plex Serif" w:hAnsi="IBM Plex Serif"/>
                <w:sz w:val="24"/>
                <w:szCs w:val="24"/>
                <w:rtl w:val="0"/>
              </w:rPr>
              <w:t xml:space="preserve">Además de las fuentes, el usuario debe poder cambiar el tiempo que demora la extensión en buscar nuevas notificaciones en las fuentes. Sin embargo, debe haber un tiempo determinado por defecto.</w:t>
            </w:r>
          </w:p>
          <w:p w:rsidR="00000000" w:rsidDel="00000000" w:rsidP="00000000" w:rsidRDefault="00000000" w:rsidRPr="00000000" w14:paraId="00000019">
            <w:pPr>
              <w:numPr>
                <w:ilvl w:val="0"/>
                <w:numId w:val="1"/>
              </w:numPr>
              <w:spacing w:after="0" w:afterAutospacing="0" w:before="0" w:beforeAutospacing="0" w:lineRule="auto"/>
              <w:ind w:left="720" w:hanging="360"/>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b w:val="1"/>
                <w:sz w:val="24"/>
                <w:szCs w:val="24"/>
                <w:rtl w:val="0"/>
              </w:rPr>
              <w:t xml:space="preserve">Criterio 7: </w:t>
            </w:r>
            <w:r w:rsidDel="00000000" w:rsidR="00000000" w:rsidRPr="00000000">
              <w:rPr>
                <w:rFonts w:ascii="IBM Plex Serif" w:cs="IBM Plex Serif" w:eastAsia="IBM Plex Serif" w:hAnsi="IBM Plex Serif"/>
                <w:sz w:val="24"/>
                <w:szCs w:val="24"/>
                <w:rtl w:val="0"/>
              </w:rPr>
              <w:t xml:space="preserve">El usuario debe poder elegir si desea obtener notificaciones a través de pop-ups en el navegador. Las notificaciones deben ser de acceso rápido dentro de una pila de notificaciones dentro de la extensión.</w:t>
            </w:r>
          </w:p>
          <w:p w:rsidR="00000000" w:rsidDel="00000000" w:rsidP="00000000" w:rsidRDefault="00000000" w:rsidRPr="00000000" w14:paraId="0000001A">
            <w:pPr>
              <w:numPr>
                <w:ilvl w:val="0"/>
                <w:numId w:val="1"/>
              </w:numPr>
              <w:spacing w:after="0" w:afterAutospacing="0" w:before="0" w:beforeAutospacing="0" w:lineRule="auto"/>
              <w:ind w:left="720" w:hanging="360"/>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b w:val="1"/>
                <w:sz w:val="24"/>
                <w:szCs w:val="24"/>
                <w:rtl w:val="0"/>
              </w:rPr>
              <w:t xml:space="preserve">Criterio 8: </w:t>
            </w:r>
            <w:r w:rsidDel="00000000" w:rsidR="00000000" w:rsidRPr="00000000">
              <w:rPr>
                <w:rFonts w:ascii="IBM Plex Serif" w:cs="IBM Plex Serif" w:eastAsia="IBM Plex Serif" w:hAnsi="IBM Plex Serif"/>
                <w:sz w:val="24"/>
                <w:szCs w:val="24"/>
                <w:rtl w:val="0"/>
              </w:rPr>
              <w:t xml:space="preserve">Cada vez que se encuentre nueva información de una fuente, se debe agregar a la pila de notificaciones, cambiando el ícono de la extensión para incrementar y mostrar el número de notificaciones no vistas, además de, dependiendo de lo determinado por el usuario, mostrar un pop-up que anuncie la notificación.</w:t>
            </w:r>
          </w:p>
          <w:p w:rsidR="00000000" w:rsidDel="00000000" w:rsidP="00000000" w:rsidRDefault="00000000" w:rsidRPr="00000000" w14:paraId="0000001B">
            <w:pPr>
              <w:numPr>
                <w:ilvl w:val="0"/>
                <w:numId w:val="1"/>
              </w:numPr>
              <w:spacing w:after="0" w:afterAutospacing="0" w:before="0" w:beforeAutospacing="0" w:lineRule="auto"/>
              <w:ind w:left="720" w:hanging="360"/>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b w:val="1"/>
                <w:sz w:val="24"/>
                <w:szCs w:val="24"/>
                <w:rtl w:val="0"/>
              </w:rPr>
              <w:t xml:space="preserve">Criterio 9: </w:t>
            </w:r>
            <w:r w:rsidDel="00000000" w:rsidR="00000000" w:rsidRPr="00000000">
              <w:rPr>
                <w:rFonts w:ascii="IBM Plex Serif" w:cs="IBM Plex Serif" w:eastAsia="IBM Plex Serif" w:hAnsi="IBM Plex Serif"/>
                <w:sz w:val="24"/>
                <w:szCs w:val="24"/>
                <w:rtl w:val="0"/>
              </w:rPr>
              <w:t xml:space="preserve">El usuario debe poder acceder al sitio de origen de la notificación con el contenido completo haciendo click en su elemento de la pila.</w:t>
            </w:r>
          </w:p>
          <w:p w:rsidR="00000000" w:rsidDel="00000000" w:rsidP="00000000" w:rsidRDefault="00000000" w:rsidRPr="00000000" w14:paraId="0000001C">
            <w:pPr>
              <w:numPr>
                <w:ilvl w:val="0"/>
                <w:numId w:val="1"/>
              </w:numPr>
              <w:spacing w:after="200" w:before="0" w:beforeAutospacing="0" w:lineRule="auto"/>
              <w:ind w:left="720" w:hanging="360"/>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b w:val="1"/>
                <w:sz w:val="24"/>
                <w:szCs w:val="24"/>
                <w:rtl w:val="0"/>
              </w:rPr>
              <w:t xml:space="preserve">Criterio 10: </w:t>
            </w:r>
            <w:r w:rsidDel="00000000" w:rsidR="00000000" w:rsidRPr="00000000">
              <w:rPr>
                <w:rFonts w:ascii="IBM Plex Serif" w:cs="IBM Plex Serif" w:eastAsia="IBM Plex Serif" w:hAnsi="IBM Plex Serif"/>
                <w:sz w:val="24"/>
                <w:szCs w:val="24"/>
                <w:rtl w:val="0"/>
              </w:rPr>
              <w:t xml:space="preserve">El sistema debe marcar las notificaciones a las que se accede como vistas, reduciendo el número que se muestra en el ícono de la extensión.</w:t>
            </w:r>
          </w:p>
        </w:tc>
      </w:tr>
    </w:tbl>
    <w:p w:rsidR="00000000" w:rsidDel="00000000" w:rsidP="00000000" w:rsidRDefault="00000000" w:rsidRPr="00000000" w14:paraId="0000001D">
      <w:pPr>
        <w:spacing w:after="200" w:before="200" w:lineRule="auto"/>
        <w:rPr>
          <w:rFonts w:ascii="IBM Plex Serif" w:cs="IBM Plex Serif" w:eastAsia="IBM Plex Serif" w:hAnsi="IBM Plex Serif"/>
          <w:b w:val="1"/>
          <w:sz w:val="24"/>
          <w:szCs w:val="24"/>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BM Plex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jc w:val="center"/>
      <w:rPr>
        <w:rFonts w:ascii="IBM Plex Serif" w:cs="IBM Plex Serif" w:eastAsia="IBM Plex Serif" w:hAnsi="IBM Plex Serif"/>
        <w:b w:val="1"/>
        <w:color w:val="cccccc"/>
        <w:sz w:val="18"/>
        <w:szCs w:val="18"/>
      </w:rPr>
    </w:pPr>
    <w:r w:rsidDel="00000000" w:rsidR="00000000" w:rsidRPr="00000000">
      <w:rPr>
        <w:rFonts w:ascii="IBM Plex Serif" w:cs="IBM Plex Serif" w:eastAsia="IBM Plex Serif" w:hAnsi="IBM Plex Serif"/>
        <w:b w:val="1"/>
        <w:color w:val="cccccc"/>
        <w:sz w:val="18"/>
        <w:szCs w:val="18"/>
        <w:rtl w:val="0"/>
      </w:rPr>
      <w:t xml:space="preserve">mAI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rFonts w:ascii="IBM Plex Serif" w:cs="IBM Plex Serif" w:eastAsia="IBM Plex Serif" w:hAnsi="IBM Plex Serif"/>
        <w:b w:val="1"/>
        <w:color w:val="d9d9d9"/>
        <w:sz w:val="18"/>
        <w:szCs w:val="18"/>
      </w:rPr>
    </w:pPr>
    <w:r w:rsidDel="00000000" w:rsidR="00000000" w:rsidRPr="00000000">
      <w:rPr>
        <w:rFonts w:ascii="IBM Plex Serif" w:cs="IBM Plex Serif" w:eastAsia="IBM Plex Serif" w:hAnsi="IBM Plex Serif"/>
        <w:b w:val="1"/>
        <w:color w:val="d9d9d9"/>
        <w:sz w:val="18"/>
        <w:szCs w:val="18"/>
        <w:rtl w:val="0"/>
      </w:rPr>
      <w:t xml:space="preserve">Grupo 5</w:t>
      <w:tab/>
      <w:tab/>
      <w:tab/>
      <w:tab/>
      <w:tab/>
      <w:tab/>
      <w:t xml:space="preserve"> </w:t>
      <w:tab/>
      <w:t xml:space="preserve">         Gestión de la Configuración del Software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IBMPlexSerif-regular.ttf"/><Relationship Id="rId2" Type="http://schemas.openxmlformats.org/officeDocument/2006/relationships/font" Target="fonts/IBMPlexSerif-bold.ttf"/><Relationship Id="rId3" Type="http://schemas.openxmlformats.org/officeDocument/2006/relationships/font" Target="fonts/IBMPlexSerif-italic.ttf"/><Relationship Id="rId4" Type="http://schemas.openxmlformats.org/officeDocument/2006/relationships/font" Target="fonts/IBMPlex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