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Rule="auto"/>
        <w:rPr>
          <w:rFonts w:ascii="IBM Plex Serif" w:cs="IBM Plex Serif" w:eastAsia="IBM Plex Serif" w:hAnsi="IBM Plex Serif"/>
          <w:b w:val="1"/>
        </w:rPr>
      </w:pPr>
      <w:r w:rsidDel="00000000" w:rsidR="00000000" w:rsidRPr="00000000">
        <w:rPr>
          <w:rtl w:val="0"/>
        </w:rPr>
      </w:r>
    </w:p>
    <w:p w:rsidR="00000000" w:rsidDel="00000000" w:rsidP="00000000" w:rsidRDefault="00000000" w:rsidRPr="00000000" w14:paraId="00000002">
      <w:pPr>
        <w:spacing w:after="200" w:before="200" w:lineRule="auto"/>
        <w:jc w:val="center"/>
        <w:rPr>
          <w:rFonts w:ascii="IBM Plex Serif" w:cs="IBM Plex Serif" w:eastAsia="IBM Plex Serif" w:hAnsi="IBM Plex Serif"/>
          <w:b w:val="1"/>
        </w:rPr>
      </w:pPr>
      <w:r w:rsidDel="00000000" w:rsidR="00000000" w:rsidRPr="00000000">
        <w:rPr>
          <w:rFonts w:ascii="IBM Plex Serif" w:cs="IBM Plex Serif" w:eastAsia="IBM Plex Serif" w:hAnsi="IBM Plex Serif"/>
          <w:b w:val="1"/>
          <w:rtl w:val="0"/>
        </w:rPr>
        <w:t xml:space="preserve">Universidad Nacional Mayor de San Marcos</w:t>
        <w:br w:type="textWrapping"/>
        <w:t xml:space="preserve">Facultad de Ingeniería de Sistemas e Informática</w:t>
        <w:br w:type="textWrapping"/>
        <w:t xml:space="preserve">E.P. de Ingeniería de Software</w:t>
      </w:r>
    </w:p>
    <w:p w:rsidR="00000000" w:rsidDel="00000000" w:rsidP="00000000" w:rsidRDefault="00000000" w:rsidRPr="00000000" w14:paraId="00000003">
      <w:pPr>
        <w:spacing w:after="200" w:before="200" w:line="480" w:lineRule="auto"/>
        <w:jc w:val="center"/>
        <w:rPr>
          <w:rFonts w:ascii="IBM Plex Serif" w:cs="IBM Plex Serif" w:eastAsia="IBM Plex Serif" w:hAnsi="IBM Plex Serif"/>
          <w:b w:val="1"/>
        </w:rPr>
      </w:pPr>
      <w:r w:rsidDel="00000000" w:rsidR="00000000" w:rsidRPr="00000000">
        <w:rPr>
          <w:rFonts w:ascii="IBM Plex Serif" w:cs="IBM Plex Serif" w:eastAsia="IBM Plex Serif" w:hAnsi="IBM Plex Serif"/>
          <w:b w:val="1"/>
        </w:rPr>
        <w:drawing>
          <wp:inline distB="114300" distT="114300" distL="114300" distR="114300">
            <wp:extent cx="1968600" cy="2458707"/>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68600" cy="245870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00" w:before="200" w:lineRule="auto"/>
        <w:jc w:val="center"/>
        <w:rPr>
          <w:rFonts w:ascii="IBM Plex Serif" w:cs="IBM Plex Serif" w:eastAsia="IBM Plex Serif" w:hAnsi="IBM Plex Serif"/>
          <w:b w:val="1"/>
          <w:sz w:val="24"/>
          <w:szCs w:val="24"/>
        </w:rPr>
      </w:pPr>
      <w:r w:rsidDel="00000000" w:rsidR="00000000" w:rsidRPr="00000000">
        <w:rPr>
          <w:rFonts w:ascii="IBM Plex Serif" w:cs="IBM Plex Serif" w:eastAsia="IBM Plex Serif" w:hAnsi="IBM Plex Serif"/>
          <w:b w:val="1"/>
          <w:sz w:val="24"/>
          <w:szCs w:val="24"/>
          <w:rtl w:val="0"/>
        </w:rPr>
        <w:t xml:space="preserve">SS-DAS: Documento de Arquitectura del Software</w:t>
      </w:r>
    </w:p>
    <w:p w:rsidR="00000000" w:rsidDel="00000000" w:rsidP="00000000" w:rsidRDefault="00000000" w:rsidRPr="00000000" w14:paraId="00000005">
      <w:pPr>
        <w:spacing w:after="200" w:before="200" w:lineRule="auto"/>
        <w:jc w:val="center"/>
        <w:rPr>
          <w:rFonts w:ascii="IBM Plex Serif" w:cs="IBM Plex Serif" w:eastAsia="IBM Plex Serif" w:hAnsi="IBM Plex Serif"/>
          <w:b w:val="1"/>
          <w:sz w:val="24"/>
          <w:szCs w:val="24"/>
        </w:rPr>
      </w:pPr>
      <w:r w:rsidDel="00000000" w:rsidR="00000000" w:rsidRPr="00000000">
        <w:rPr>
          <w:rtl w:val="0"/>
        </w:rPr>
      </w:r>
    </w:p>
    <w:p w:rsidR="00000000" w:rsidDel="00000000" w:rsidP="00000000" w:rsidRDefault="00000000" w:rsidRPr="00000000" w14:paraId="00000006">
      <w:pPr>
        <w:spacing w:after="200" w:before="200" w:lineRule="auto"/>
        <w:jc w:val="center"/>
        <w:rPr>
          <w:rFonts w:ascii="IBM Plex Serif" w:cs="IBM Plex Serif" w:eastAsia="IBM Plex Serif" w:hAnsi="IBM Plex Serif"/>
          <w:b w:val="1"/>
        </w:rPr>
      </w:pPr>
      <w:r w:rsidDel="00000000" w:rsidR="00000000" w:rsidRPr="00000000">
        <w:rPr>
          <w:rFonts w:ascii="IBM Plex Serif" w:cs="IBM Plex Serif" w:eastAsia="IBM Plex Serif" w:hAnsi="IBM Plex Serif"/>
          <w:b w:val="1"/>
          <w:rtl w:val="0"/>
        </w:rPr>
        <w:t xml:space="preserve">Integrantes</w:t>
        <w:br w:type="textWrapping"/>
      </w:r>
    </w:p>
    <w:p w:rsidR="00000000" w:rsidDel="00000000" w:rsidP="00000000" w:rsidRDefault="00000000" w:rsidRPr="00000000" w14:paraId="00000007">
      <w:pPr>
        <w:spacing w:after="200"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Alva Sáenz, Rodrigo José</w:t>
        <w:tab/>
        <w:tab/>
        <w:t xml:space="preserve"> </w:t>
        <w:tab/>
        <w:tab/>
        <w:t xml:space="preserve">22200232</w:t>
        <w:br w:type="textWrapping"/>
        <w:t xml:space="preserve">Del Carpio Martinez, Damaris Marian </w:t>
        <w:tab/>
        <w:t xml:space="preserve"> </w:t>
        <w:tab/>
        <w:t xml:space="preserve">22200082</w:t>
        <w:br w:type="textWrapping"/>
        <w:t xml:space="preserve">Diaz Ingol, Jesus Stevan </w:t>
        <w:tab/>
        <w:tab/>
        <w:tab/>
        <w:tab/>
        <w:t xml:space="preserve">22200083</w:t>
        <w:br w:type="textWrapping"/>
        <w:t xml:space="preserve">Maylle Colaca, Luis Fernando </w:t>
        <w:tab/>
        <w:tab/>
        <w:tab/>
        <w:t xml:space="preserve">21200221</w:t>
        <w:br w:type="textWrapping"/>
        <w:t xml:space="preserve">Monzon Argüelles, Oscar Sebastian </w:t>
        <w:tab/>
        <w:tab/>
        <w:t xml:space="preserve">22200094</w:t>
        <w:br w:type="textWrapping"/>
        <w:t xml:space="preserve">Rojas Castañeda, Ruth Camila</w:t>
        <w:tab/>
        <w:tab/>
        <w:tab/>
        <w:t xml:space="preserve">22200239</w:t>
        <w:br w:type="textWrapping"/>
        <w:t xml:space="preserve">Rojas Rojas, Sebastian Alberto</w:t>
        <w:tab/>
        <w:tab/>
        <w:tab/>
        <w:t xml:space="preserve">22200261</w:t>
        <w:br w:type="textWrapping"/>
        <w:t xml:space="preserve">Zegarra Medina, Jose Antonio </w:t>
        <w:tab/>
        <w:tab/>
        <w:tab/>
        <w:t xml:space="preserve">22200102</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dot" w:pos="12000"/>
            </w:tabs>
            <w:spacing w:after="0" w:before="60" w:line="24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aahdooayerup">
            <w:r w:rsidDel="00000000" w:rsidR="00000000" w:rsidRPr="00000000">
              <w:rPr>
                <w:rFonts w:ascii="IBM Plex Serif" w:cs="IBM Plex Serif" w:eastAsia="IBM Plex Serif" w:hAnsi="IBM Plex Serif"/>
                <w:b w:val="1"/>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240" w:lineRule="auto"/>
            <w:ind w:left="360" w:firstLine="0"/>
            <w:jc w:val="left"/>
            <w:rPr>
              <w:color w:val="000000"/>
              <w:u w:val="none"/>
            </w:rPr>
          </w:pPr>
          <w:hyperlink w:anchor="_87bnbenpstdk">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Propósito</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240" w:lineRule="auto"/>
            <w:ind w:left="360" w:firstLine="0"/>
            <w:jc w:val="left"/>
            <w:rPr>
              <w:color w:val="000000"/>
              <w:u w:val="none"/>
            </w:rPr>
          </w:pPr>
          <w:hyperlink w:anchor="_wetnvqcxe1vg">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Scope</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jc w:val="left"/>
            <w:rPr>
              <w:b w:val="1"/>
              <w:color w:val="000000"/>
              <w:u w:val="none"/>
            </w:rPr>
          </w:pPr>
          <w:hyperlink w:anchor="_u38f0nh21vct">
            <w:r w:rsidDel="00000000" w:rsidR="00000000" w:rsidRPr="00000000">
              <w:rPr>
                <w:rFonts w:ascii="IBM Plex Serif" w:cs="IBM Plex Serif" w:eastAsia="IBM Plex Serif" w:hAnsi="IBM Plex Serif"/>
                <w:b w:val="1"/>
                <w:i w:val="0"/>
                <w:smallCaps w:val="0"/>
                <w:strike w:val="0"/>
                <w:color w:val="000000"/>
                <w:sz w:val="22"/>
                <w:szCs w:val="22"/>
                <w:u w:val="none"/>
                <w:shd w:fill="auto" w:val="clear"/>
                <w:vertAlign w:val="baseline"/>
                <w:rtl w:val="0"/>
              </w:rPr>
              <w:t xml:space="preserve">Representación</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jc w:val="left"/>
            <w:rPr>
              <w:b w:val="1"/>
              <w:color w:val="000000"/>
              <w:u w:val="none"/>
            </w:rPr>
          </w:pPr>
          <w:hyperlink w:anchor="_pt3zv6jp31ag">
            <w:r w:rsidDel="00000000" w:rsidR="00000000" w:rsidRPr="00000000">
              <w:rPr>
                <w:rFonts w:ascii="IBM Plex Serif" w:cs="IBM Plex Serif" w:eastAsia="IBM Plex Serif" w:hAnsi="IBM Plex Serif"/>
                <w:b w:val="1"/>
                <w:i w:val="0"/>
                <w:smallCaps w:val="0"/>
                <w:strike w:val="0"/>
                <w:color w:val="000000"/>
                <w:sz w:val="22"/>
                <w:szCs w:val="22"/>
                <w:u w:val="none"/>
                <w:shd w:fill="auto" w:val="clear"/>
                <w:vertAlign w:val="baseline"/>
                <w:rtl w:val="0"/>
              </w:rPr>
              <w:t xml:space="preserve">Metas de proyecto y limitaciones</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jc w:val="left"/>
            <w:rPr>
              <w:b w:val="1"/>
              <w:color w:val="000000"/>
              <w:u w:val="none"/>
            </w:rPr>
          </w:pPr>
          <w:hyperlink w:anchor="_nx87v2en9s6i">
            <w:r w:rsidDel="00000000" w:rsidR="00000000" w:rsidRPr="00000000">
              <w:rPr>
                <w:rFonts w:ascii="IBM Plex Serif" w:cs="IBM Plex Serif" w:eastAsia="IBM Plex Serif" w:hAnsi="IBM Plex Serif"/>
                <w:b w:val="1"/>
                <w:i w:val="0"/>
                <w:smallCaps w:val="0"/>
                <w:strike w:val="0"/>
                <w:color w:val="000000"/>
                <w:sz w:val="22"/>
                <w:szCs w:val="22"/>
                <w:u w:val="none"/>
                <w:shd w:fill="auto" w:val="clear"/>
                <w:vertAlign w:val="baseline"/>
                <w:rtl w:val="0"/>
              </w:rPr>
              <w:t xml:space="preserve">Diagrama de casos de uso</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ind w:left="360" w:firstLine="0"/>
            <w:jc w:val="left"/>
            <w:rPr>
              <w:color w:val="000000"/>
              <w:u w:val="none"/>
            </w:rPr>
          </w:pPr>
          <w:hyperlink w:anchor="_aaqsznfafw5f">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Recibir sugerencias de escritura</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ind w:left="360" w:firstLine="0"/>
            <w:jc w:val="left"/>
            <w:rPr>
              <w:color w:val="000000"/>
              <w:u w:val="none"/>
            </w:rPr>
          </w:pPr>
          <w:hyperlink w:anchor="_wem7hehrmkv5">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Recibir correcciones de escritura</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ind w:left="360" w:firstLine="0"/>
            <w:jc w:val="left"/>
            <w:rPr>
              <w:color w:val="000000"/>
              <w:u w:val="none"/>
            </w:rPr>
          </w:pPr>
          <w:hyperlink w:anchor="_hltmgwwjqjq2">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Utilizar funciones cíclicas</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ind w:left="360" w:firstLine="0"/>
            <w:jc w:val="left"/>
            <w:rPr>
              <w:color w:val="000000"/>
              <w:u w:val="none"/>
            </w:rPr>
          </w:pPr>
          <w:hyperlink w:anchor="_8n3lziofceev">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Interactuar con feed RSS web</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jc w:val="left"/>
            <w:rPr>
              <w:b w:val="1"/>
              <w:color w:val="000000"/>
              <w:u w:val="none"/>
            </w:rPr>
          </w:pPr>
          <w:hyperlink w:anchor="_rjev3mleubqy">
            <w:r w:rsidDel="00000000" w:rsidR="00000000" w:rsidRPr="00000000">
              <w:rPr>
                <w:rFonts w:ascii="IBM Plex Serif" w:cs="IBM Plex Serif" w:eastAsia="IBM Plex Serif" w:hAnsi="IBM Plex Serif"/>
                <w:b w:val="1"/>
                <w:i w:val="0"/>
                <w:smallCaps w:val="0"/>
                <w:strike w:val="0"/>
                <w:color w:val="000000"/>
                <w:sz w:val="22"/>
                <w:szCs w:val="22"/>
                <w:u w:val="none"/>
                <w:shd w:fill="auto" w:val="clear"/>
                <w:vertAlign w:val="baseline"/>
                <w:rtl w:val="0"/>
              </w:rPr>
              <w:t xml:space="preserve">Diagrama de subsistemas</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rPr/>
      </w:pPr>
      <w:bookmarkStart w:colFirst="0" w:colLast="0" w:name="_aahdooayerup" w:id="0"/>
      <w:bookmarkEnd w:id="0"/>
      <w:r w:rsidDel="00000000" w:rsidR="00000000" w:rsidRPr="00000000">
        <w:rPr>
          <w:rtl w:val="0"/>
        </w:rPr>
        <w:t xml:space="preserve">Introducción</w:t>
      </w:r>
    </w:p>
    <w:p w:rsidR="00000000" w:rsidDel="00000000" w:rsidP="00000000" w:rsidRDefault="00000000" w:rsidRPr="00000000" w14:paraId="0000001B">
      <w:pPr>
        <w:pStyle w:val="Heading2"/>
        <w:rPr/>
      </w:pPr>
      <w:bookmarkStart w:colFirst="0" w:colLast="0" w:name="_87bnbenpstdk" w:id="1"/>
      <w:bookmarkEnd w:id="1"/>
      <w:r w:rsidDel="00000000" w:rsidR="00000000" w:rsidRPr="00000000">
        <w:rPr>
          <w:rtl w:val="0"/>
        </w:rPr>
        <w:t xml:space="preserve">Propósito</w:t>
      </w:r>
    </w:p>
    <w:p w:rsidR="00000000" w:rsidDel="00000000" w:rsidP="00000000" w:rsidRDefault="00000000" w:rsidRPr="00000000" w14:paraId="0000001C">
      <w:pPr>
        <w:ind w:left="0" w:firstLine="720"/>
        <w:rPr/>
      </w:pPr>
      <w:r w:rsidDel="00000000" w:rsidR="00000000" w:rsidRPr="00000000">
        <w:rPr>
          <w:rtl w:val="0"/>
        </w:rPr>
        <w:t xml:space="preserve">Este documento provee una descripción de la arquitectura de software del proyecto a desarrollar. El documento describe las decisiones principales que se tomaron respecto de la arquitectura, así como descripciones de diseños, procesos, etc.</w:t>
      </w:r>
    </w:p>
    <w:p w:rsidR="00000000" w:rsidDel="00000000" w:rsidP="00000000" w:rsidRDefault="00000000" w:rsidRPr="00000000" w14:paraId="0000001D">
      <w:pPr>
        <w:pStyle w:val="Heading2"/>
        <w:rPr/>
      </w:pPr>
      <w:bookmarkStart w:colFirst="0" w:colLast="0" w:name="_wetnvqcxe1vg" w:id="2"/>
      <w:bookmarkEnd w:id="2"/>
      <w:r w:rsidDel="00000000" w:rsidR="00000000" w:rsidRPr="00000000">
        <w:rPr>
          <w:rtl w:val="0"/>
        </w:rPr>
        <w:t xml:space="preserve">Scope</w:t>
      </w:r>
    </w:p>
    <w:p w:rsidR="00000000" w:rsidDel="00000000" w:rsidP="00000000" w:rsidRDefault="00000000" w:rsidRPr="00000000" w14:paraId="0000001E">
      <w:pPr>
        <w:ind w:left="0" w:firstLine="720"/>
        <w:rPr/>
      </w:pPr>
      <w:r w:rsidDel="00000000" w:rsidR="00000000" w:rsidRPr="00000000">
        <w:rPr>
          <w:rtl w:val="0"/>
        </w:rPr>
        <w:t xml:space="preserve">El documento describe las decisiones arquitecturales y de diseño arquitectural de TCP, una toolkit de herramientas para mejorar la productividad y calidad de trabajo y comunicación de los trabajadores de la empresa “Kalhec”.</w:t>
      </w:r>
    </w:p>
    <w:p w:rsidR="00000000" w:rsidDel="00000000" w:rsidP="00000000" w:rsidRDefault="00000000" w:rsidRPr="00000000" w14:paraId="0000001F">
      <w:pPr>
        <w:pStyle w:val="Heading1"/>
        <w:rPr/>
      </w:pPr>
      <w:bookmarkStart w:colFirst="0" w:colLast="0" w:name="_u38f0nh21vct" w:id="3"/>
      <w:bookmarkEnd w:id="3"/>
      <w:r w:rsidDel="00000000" w:rsidR="00000000" w:rsidRPr="00000000">
        <w:rPr>
          <w:rtl w:val="0"/>
        </w:rPr>
        <w:t xml:space="preserve">Representación</w:t>
      </w:r>
    </w:p>
    <w:p w:rsidR="00000000" w:rsidDel="00000000" w:rsidP="00000000" w:rsidRDefault="00000000" w:rsidRPr="00000000" w14:paraId="00000020">
      <w:pPr>
        <w:ind w:firstLine="720"/>
        <w:rPr/>
      </w:pPr>
      <w:r w:rsidDel="00000000" w:rsidR="00000000" w:rsidRPr="00000000">
        <w:rPr>
          <w:rtl w:val="0"/>
        </w:rPr>
        <w:t xml:space="preserve">Este documento divide a la arquitectura del sistema en distintos grupos relacionados con diagramas específicos: el diagrama de casos de uso, que une a los actores definidos en los requisitos funcionales junto con la cadena de acciones que pueden desencadenar, el diagrama de subsistemas y capas del sistema, los diagramas de procesos y el diagrama de deployment.</w:t>
      </w:r>
    </w:p>
    <w:p w:rsidR="00000000" w:rsidDel="00000000" w:rsidP="00000000" w:rsidRDefault="00000000" w:rsidRPr="00000000" w14:paraId="00000021">
      <w:pPr>
        <w:pStyle w:val="Heading1"/>
        <w:rPr/>
      </w:pPr>
      <w:bookmarkStart w:colFirst="0" w:colLast="0" w:name="_pt3zv6jp31ag" w:id="4"/>
      <w:bookmarkEnd w:id="4"/>
      <w:r w:rsidDel="00000000" w:rsidR="00000000" w:rsidRPr="00000000">
        <w:rPr>
          <w:rtl w:val="0"/>
        </w:rPr>
        <w:t xml:space="preserve">Metas de proyecto y limitaciones</w:t>
      </w:r>
    </w:p>
    <w:p w:rsidR="00000000" w:rsidDel="00000000" w:rsidP="00000000" w:rsidRDefault="00000000" w:rsidRPr="00000000" w14:paraId="00000022">
      <w:pPr>
        <w:ind w:left="0" w:firstLine="720"/>
        <w:rPr/>
      </w:pPr>
      <w:r w:rsidDel="00000000" w:rsidR="00000000" w:rsidRPr="00000000">
        <w:rPr>
          <w:rtl w:val="0"/>
        </w:rPr>
        <w:t xml:space="preserve">La funcionalidad base de “</w:t>
      </w:r>
      <w:r w:rsidDel="00000000" w:rsidR="00000000" w:rsidRPr="00000000">
        <w:rPr>
          <w:rtl w:val="0"/>
        </w:rPr>
        <w:t xml:space="preserve">TPC</w:t>
      </w:r>
      <w:r w:rsidDel="00000000" w:rsidR="00000000" w:rsidRPr="00000000">
        <w:rPr>
          <w:rtl w:val="0"/>
        </w:rPr>
        <w:t xml:space="preserve">” debe estar contenida en una extensión de navegador, de ese modo, la capa de interactividad con el usuario también será parte de ella. Internamente, además, se debe mantener la información contextual de cada usuario, así como información extra de otros módulos, asegurada en una base de datos, añadiendo una capa de seguridad criptográfica a las contraseñas de usuario.</w:t>
      </w:r>
    </w:p>
    <w:p w:rsidR="00000000" w:rsidDel="00000000" w:rsidP="00000000" w:rsidRDefault="00000000" w:rsidRPr="00000000" w14:paraId="00000023">
      <w:pPr>
        <w:pStyle w:val="Heading1"/>
        <w:rPr/>
      </w:pPr>
      <w:bookmarkStart w:colFirst="0" w:colLast="0" w:name="_nx87v2en9s6i" w:id="5"/>
      <w:bookmarkEnd w:id="5"/>
      <w:r w:rsidDel="00000000" w:rsidR="00000000" w:rsidRPr="00000000">
        <w:rPr>
          <w:rtl w:val="0"/>
        </w:rPr>
        <w:t xml:space="preserve">Diagrama de casos de uso</w:t>
      </w:r>
    </w:p>
    <w:p w:rsidR="00000000" w:rsidDel="00000000" w:rsidP="00000000" w:rsidRDefault="00000000" w:rsidRPr="00000000" w14:paraId="00000024">
      <w:pPr>
        <w:ind w:firstLine="720"/>
        <w:rPr/>
      </w:pPr>
      <w:r w:rsidDel="00000000" w:rsidR="00000000" w:rsidRPr="00000000">
        <w:rPr>
          <w:rtl w:val="0"/>
        </w:rPr>
        <w:t xml:space="preserve">Para elaborar el diagrama de casos de uso, se tomó en cuenta al usuario general como el único usuario final, dado que las funcionalidades que se acabaron quedando como parte del sistema eran de carácter universal, es decir, cualquier tipo de trabajador puede hacer uso de estas. Existen 4 casos de uso primordiales, que comprenden los módulos principales del sistema y que se dividen en tareas más pequeñas:</w:t>
      </w:r>
    </w:p>
    <w:p w:rsidR="00000000" w:rsidDel="00000000" w:rsidP="00000000" w:rsidRDefault="00000000" w:rsidRPr="00000000" w14:paraId="00000025">
      <w:pPr>
        <w:numPr>
          <w:ilvl w:val="0"/>
          <w:numId w:val="1"/>
        </w:numPr>
        <w:spacing w:after="0" w:afterAutospacing="0"/>
        <w:ind w:left="720" w:hanging="360"/>
      </w:pPr>
      <w:r w:rsidDel="00000000" w:rsidR="00000000" w:rsidRPr="00000000">
        <w:rPr>
          <w:rtl w:val="0"/>
        </w:rPr>
        <w:t xml:space="preserve">Recibir sugerencias de escritura</w:t>
      </w:r>
    </w:p>
    <w:p w:rsidR="00000000" w:rsidDel="00000000" w:rsidP="00000000" w:rsidRDefault="00000000" w:rsidRPr="00000000" w14:paraId="00000026">
      <w:pPr>
        <w:numPr>
          <w:ilvl w:val="0"/>
          <w:numId w:val="1"/>
        </w:numPr>
        <w:spacing w:after="0" w:afterAutospacing="0" w:before="0" w:beforeAutospacing="0"/>
        <w:ind w:left="720" w:hanging="360"/>
      </w:pPr>
      <w:r w:rsidDel="00000000" w:rsidR="00000000" w:rsidRPr="00000000">
        <w:rPr>
          <w:rtl w:val="0"/>
        </w:rPr>
        <w:t xml:space="preserve">Recibir correcciones de escritura</w:t>
      </w:r>
    </w:p>
    <w:p w:rsidR="00000000" w:rsidDel="00000000" w:rsidP="00000000" w:rsidRDefault="00000000" w:rsidRPr="00000000" w14:paraId="00000027">
      <w:pPr>
        <w:numPr>
          <w:ilvl w:val="0"/>
          <w:numId w:val="1"/>
        </w:numPr>
        <w:spacing w:after="0" w:afterAutospacing="0" w:before="0" w:beforeAutospacing="0"/>
        <w:ind w:left="720" w:hanging="360"/>
      </w:pPr>
      <w:r w:rsidDel="00000000" w:rsidR="00000000" w:rsidRPr="00000000">
        <w:rPr>
          <w:rtl w:val="0"/>
        </w:rPr>
        <w:t xml:space="preserve">Utilizar funciones cíclicas</w:t>
      </w:r>
    </w:p>
    <w:p w:rsidR="00000000" w:rsidDel="00000000" w:rsidP="00000000" w:rsidRDefault="00000000" w:rsidRPr="00000000" w14:paraId="00000028">
      <w:pPr>
        <w:numPr>
          <w:ilvl w:val="0"/>
          <w:numId w:val="1"/>
        </w:numPr>
        <w:spacing w:before="0" w:beforeAutospacing="0"/>
        <w:ind w:left="720" w:hanging="360"/>
        <w:sectPr>
          <w:headerReference r:id="rId7" w:type="default"/>
          <w:footerReference r:id="rId8" w:type="default"/>
          <w:pgSz w:h="16834" w:w="11909" w:orient="portrait"/>
          <w:pgMar w:bottom="1440" w:top="1440" w:left="1440" w:right="1440" w:header="720" w:footer="720"/>
          <w:pgNumType w:start="1"/>
        </w:sectPr>
      </w:pPr>
      <w:r w:rsidDel="00000000" w:rsidR="00000000" w:rsidRPr="00000000">
        <w:rPr>
          <w:rtl w:val="0"/>
        </w:rPr>
        <w:t xml:space="preserve">Interactuar con feed RSS web</w:t>
      </w:r>
      <w:r w:rsidDel="00000000" w:rsidR="00000000" w:rsidRPr="00000000">
        <w:br w:type="page"/>
      </w:r>
      <w:r w:rsidDel="00000000" w:rsidR="00000000" w:rsidRPr="00000000">
        <w:rPr>
          <w:rtl w:val="0"/>
        </w:rPr>
      </w:r>
    </w:p>
    <w:p w:rsidR="00000000" w:rsidDel="00000000" w:rsidP="00000000" w:rsidRDefault="00000000" w:rsidRPr="00000000" w14:paraId="00000029">
      <w:pPr>
        <w:jc w:val="center"/>
        <w:rPr/>
      </w:pPr>
      <w:hyperlink r:id="rId9">
        <w:r w:rsidDel="00000000" w:rsidR="00000000" w:rsidRPr="00000000">
          <w:rPr>
            <w:color w:val="1155cc"/>
            <w:u w:val="single"/>
          </w:rPr>
          <w:drawing>
            <wp:inline distB="114300" distT="114300" distL="114300" distR="114300">
              <wp:extent cx="6666613" cy="5273300"/>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666613" cy="5273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A">
      <w:pPr>
        <w:jc w:val="left"/>
        <w:rPr/>
        <w:sectPr>
          <w:type w:val="nextPage"/>
          <w:pgSz w:h="11909" w:w="16834" w:orient="landscape"/>
          <w:pgMar w:bottom="1440" w:top="1440" w:left="1440" w:right="1440" w:header="720" w:footer="720"/>
        </w:sectPr>
      </w:pPr>
      <w:r w:rsidDel="00000000" w:rsidR="00000000" w:rsidRPr="00000000">
        <w:rPr>
          <w:rtl w:val="0"/>
        </w:rPr>
      </w:r>
    </w:p>
    <w:p w:rsidR="00000000" w:rsidDel="00000000" w:rsidP="00000000" w:rsidRDefault="00000000" w:rsidRPr="00000000" w14:paraId="0000002B">
      <w:pPr>
        <w:pStyle w:val="Heading2"/>
        <w:rPr/>
      </w:pPr>
      <w:bookmarkStart w:colFirst="0" w:colLast="0" w:name="_aaqsznfafw5f" w:id="6"/>
      <w:bookmarkEnd w:id="6"/>
      <w:r w:rsidDel="00000000" w:rsidR="00000000" w:rsidRPr="00000000">
        <w:rPr>
          <w:rtl w:val="0"/>
        </w:rPr>
        <w:t xml:space="preserve">Recibir sugerencias de escritura</w:t>
      </w:r>
    </w:p>
    <w:p w:rsidR="00000000" w:rsidDel="00000000" w:rsidP="00000000" w:rsidRDefault="00000000" w:rsidRPr="00000000" w14:paraId="0000002C">
      <w:pPr>
        <w:ind w:firstLine="720"/>
        <w:rPr/>
      </w:pPr>
      <w:r w:rsidDel="00000000" w:rsidR="00000000" w:rsidRPr="00000000">
        <w:rPr>
          <w:rtl w:val="0"/>
        </w:rPr>
        <w:t xml:space="preserve">El  sistema va a observar en todos los bloques de entrada de texto de las páginas web en las que se use el sistema. De ese modo, cuando el usuario empiece a escribir, el sistema va a generar posibles palabras que podrían proseguir del texto original, similar a las autosugerencias del bloque de texto de gmail, pero con la diferencia de que este servicio de sugerencias está basado en el contexto tanto del mensaje como del remitente. Por ejemplo, este caso de uso engloba al sistema cuando éste sugiere palabras menos amenazantes al redactar un mensaje delicado por correo desde un cargo alto de una empresa.</w:t>
      </w:r>
    </w:p>
    <w:p w:rsidR="00000000" w:rsidDel="00000000" w:rsidP="00000000" w:rsidRDefault="00000000" w:rsidRPr="00000000" w14:paraId="0000002D">
      <w:pPr>
        <w:pStyle w:val="Heading2"/>
        <w:rPr/>
      </w:pPr>
      <w:bookmarkStart w:colFirst="0" w:colLast="0" w:name="_wem7hehrmkv5" w:id="7"/>
      <w:bookmarkEnd w:id="7"/>
      <w:r w:rsidDel="00000000" w:rsidR="00000000" w:rsidRPr="00000000">
        <w:rPr>
          <w:rtl w:val="0"/>
        </w:rPr>
        <w:t xml:space="preserve">Recibir correcciones de escritura</w:t>
      </w:r>
    </w:p>
    <w:p w:rsidR="00000000" w:rsidDel="00000000" w:rsidP="00000000" w:rsidRDefault="00000000" w:rsidRPr="00000000" w14:paraId="0000002E">
      <w:pPr>
        <w:ind w:firstLine="720"/>
        <w:rPr/>
      </w:pPr>
      <w:r w:rsidDel="00000000" w:rsidR="00000000" w:rsidRPr="00000000">
        <w:rPr>
          <w:rtl w:val="0"/>
        </w:rPr>
        <w:t xml:space="preserve">De forma similar a como funciona el caso de uso para las sugerencias, el sistema observará todas las entradas de texto y, en lugar de mostrar sugerencias de escritura, mostrará sugerencias de corrección, es decir, el sistema mostrará una lista de sugerencias de cambios en el texto, como pequeñas indicaciones. Por ejemplo, dentro del mismo caso anterior, al terminar de redactar el correo, el usuario desea poder ver en concreto qué debería cambiar del mismo.</w:t>
      </w:r>
    </w:p>
    <w:p w:rsidR="00000000" w:rsidDel="00000000" w:rsidP="00000000" w:rsidRDefault="00000000" w:rsidRPr="00000000" w14:paraId="0000002F">
      <w:pPr>
        <w:pStyle w:val="Heading2"/>
        <w:rPr/>
      </w:pPr>
      <w:bookmarkStart w:colFirst="0" w:colLast="0" w:name="_hltmgwwjqjq2" w:id="8"/>
      <w:bookmarkEnd w:id="8"/>
      <w:r w:rsidDel="00000000" w:rsidR="00000000" w:rsidRPr="00000000">
        <w:rPr>
          <w:rtl w:val="0"/>
        </w:rPr>
        <w:t xml:space="preserve">Utilizar funciones cíclicas</w:t>
      </w:r>
    </w:p>
    <w:p w:rsidR="00000000" w:rsidDel="00000000" w:rsidP="00000000" w:rsidRDefault="00000000" w:rsidRPr="00000000" w14:paraId="00000030">
      <w:pPr>
        <w:ind w:firstLine="720"/>
        <w:rPr/>
      </w:pPr>
      <w:r w:rsidDel="00000000" w:rsidR="00000000" w:rsidRPr="00000000">
        <w:rPr>
          <w:rtl w:val="0"/>
        </w:rPr>
        <w:t xml:space="preserve">Una función cíclica es una tarea determinada que se ejecuta cada cierto intervalo de tiempo, emitiendo señales o notificaciones a su término. El sistema tendrá algunos presets de tareas determinadas como el de pomodoro, que se ejecuta como una task de “descanso” de una duración corta tras un número determinado de intervalos de “trabajo” de duración larga. El usuario debe poder agregar, editar o eliminar las tareas del sistema.</w:t>
      </w:r>
    </w:p>
    <w:p w:rsidR="00000000" w:rsidDel="00000000" w:rsidP="00000000" w:rsidRDefault="00000000" w:rsidRPr="00000000" w14:paraId="00000031">
      <w:pPr>
        <w:pStyle w:val="Heading2"/>
        <w:rPr/>
      </w:pPr>
      <w:bookmarkStart w:colFirst="0" w:colLast="0" w:name="_8n3lziofceev" w:id="9"/>
      <w:bookmarkEnd w:id="9"/>
      <w:r w:rsidDel="00000000" w:rsidR="00000000" w:rsidRPr="00000000">
        <w:rPr>
          <w:rtl w:val="0"/>
        </w:rPr>
        <w:t xml:space="preserve">Interactuar con feed RSS web</w:t>
      </w:r>
    </w:p>
    <w:p w:rsidR="00000000" w:rsidDel="00000000" w:rsidP="00000000" w:rsidRDefault="00000000" w:rsidRPr="00000000" w14:paraId="00000032">
      <w:pPr>
        <w:ind w:firstLine="720"/>
        <w:rPr/>
      </w:pPr>
      <w:r w:rsidDel="00000000" w:rsidR="00000000" w:rsidRPr="00000000">
        <w:rPr>
          <w:rtl w:val="0"/>
        </w:rPr>
        <w:t xml:space="preserve">El protocolo “RSS” permite seguir canales de publicaciones como los de noticias o periódicos de forma más minimalista y plana, estas publicaciones se sirven como archivos de formato “xml” que son interpretados por el sistema, agrupados, renderizados y mostrados al usuario. El usuario debe poder suscribirse a varias “feeds” o fuentes de publicaciones, así como poder marcas publicaciones que ya leyó como “leídas”, de forma similar a los correos electrónicos.</w:t>
      </w:r>
    </w:p>
    <w:p w:rsidR="00000000" w:rsidDel="00000000" w:rsidP="00000000" w:rsidRDefault="00000000" w:rsidRPr="00000000" w14:paraId="00000033">
      <w:pPr>
        <w:pStyle w:val="Heading1"/>
        <w:rPr/>
      </w:pPr>
      <w:bookmarkStart w:colFirst="0" w:colLast="0" w:name="_rwgb19os6dts" w:id="10"/>
      <w:bookmarkEnd w:id="10"/>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rPr/>
      </w:pPr>
      <w:bookmarkStart w:colFirst="0" w:colLast="0" w:name="_rjev3mleubqy" w:id="11"/>
      <w:bookmarkEnd w:id="11"/>
      <w:r w:rsidDel="00000000" w:rsidR="00000000" w:rsidRPr="00000000">
        <w:rPr>
          <w:rtl w:val="0"/>
        </w:rPr>
        <w:t xml:space="preserve">Diagrama de subsistemas</w:t>
      </w:r>
    </w:p>
    <w:p w:rsidR="00000000" w:rsidDel="00000000" w:rsidP="00000000" w:rsidRDefault="00000000" w:rsidRPr="00000000" w14:paraId="00000035">
      <w:pPr>
        <w:ind w:firstLine="720"/>
        <w:rPr/>
      </w:pPr>
      <w:r w:rsidDel="00000000" w:rsidR="00000000" w:rsidRPr="00000000">
        <w:rPr>
          <w:rtl w:val="0"/>
        </w:rPr>
        <w:t xml:space="preserve">Se han definido inicialmente 3 subsistemas para el proyecto “TPC”, el subsistema de “UI”, que contiene a los componentes de la UI de la extensión de navegador, el subsistema de “Middleware” que contiene al servicio intermediario para los datos de la base de datos, y el subsistema de “Backend”, que engloba a la base de datos principal.</w:t>
      </w:r>
    </w:p>
    <w:p w:rsidR="00000000" w:rsidDel="00000000" w:rsidP="00000000" w:rsidRDefault="00000000" w:rsidRPr="00000000" w14:paraId="00000036">
      <w:pPr>
        <w:jc w:val="center"/>
        <w:rPr/>
      </w:pPr>
      <w:r w:rsidDel="00000000" w:rsidR="00000000" w:rsidRPr="00000000">
        <w:rPr/>
        <w:drawing>
          <wp:inline distB="114300" distT="114300" distL="114300" distR="114300">
            <wp:extent cx="5281613" cy="2570619"/>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281613" cy="257061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firstLine="720"/>
        <w:rPr/>
      </w:pPr>
      <w:r w:rsidDel="00000000" w:rsidR="00000000" w:rsidRPr="00000000">
        <w:rPr>
          <w:rtl w:val="0"/>
        </w:rPr>
        <w:t xml:space="preserve">Existen 2 razones principales por las que consideramos necesario el uso de un servicio intermedio o “Middleware”. La primera razón es por seguridad, ya que se necesita de información sensible como “API keys” para acceder a servicios determinados. Además, se suele exponer el backend (la base de datos) a 1 sola conexión por seguridad (el middleware). La segunda razón es porque generalmente el backend no tiene forma de comunicarse directamente con la “UI” o el “frontend”.</w:t>
      </w:r>
    </w:p>
    <w:p w:rsidR="00000000" w:rsidDel="00000000" w:rsidP="00000000" w:rsidRDefault="00000000" w:rsidRPr="00000000" w14:paraId="00000038">
      <w:pPr>
        <w:pStyle w:val="Heading1"/>
        <w:rPr/>
      </w:pPr>
      <w:bookmarkStart w:colFirst="0" w:colLast="0" w:name="_ekaawxflh6k" w:id="12"/>
      <w:bookmarkEnd w:id="12"/>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rPr/>
      </w:pPr>
      <w:bookmarkStart w:colFirst="0" w:colLast="0" w:name="_3b919sha6ki8" w:id="13"/>
      <w:bookmarkEnd w:id="13"/>
      <w:r w:rsidDel="00000000" w:rsidR="00000000" w:rsidRPr="00000000">
        <w:rPr>
          <w:rtl w:val="0"/>
        </w:rPr>
        <w:t xml:space="preserve">Diagramas de procesos</w:t>
      </w:r>
    </w:p>
    <w:p w:rsidR="00000000" w:rsidDel="00000000" w:rsidP="00000000" w:rsidRDefault="00000000" w:rsidRPr="00000000" w14:paraId="0000003A">
      <w:pPr>
        <w:pStyle w:val="Heading2"/>
        <w:jc w:val="left"/>
        <w:rPr/>
      </w:pPr>
      <w:bookmarkStart w:colFirst="0" w:colLast="0" w:name="_2jnbrjhcm9an" w:id="14"/>
      <w:bookmarkEnd w:id="14"/>
      <w:r w:rsidDel="00000000" w:rsidR="00000000" w:rsidRPr="00000000">
        <w:rPr>
          <w:rtl w:val="0"/>
        </w:rPr>
        <w:t xml:space="preserve">Proceso de generación de sugerencias de texto</w:t>
      </w:r>
    </w:p>
    <w:p w:rsidR="00000000" w:rsidDel="00000000" w:rsidP="00000000" w:rsidRDefault="00000000" w:rsidRPr="00000000" w14:paraId="0000003B">
      <w:pPr>
        <w:ind w:left="0" w:firstLine="0"/>
        <w:jc w:val="left"/>
        <w:rPr/>
      </w:pPr>
      <w:r w:rsidDel="00000000" w:rsidR="00000000" w:rsidRPr="00000000">
        <w:rPr/>
        <w:drawing>
          <wp:inline distB="114300" distT="114300" distL="114300" distR="114300">
            <wp:extent cx="5740238" cy="8042640"/>
            <wp:effectExtent b="0" l="0" r="0" t="0"/>
            <wp:docPr id="3" name="image6.png"/>
            <a:graphic>
              <a:graphicData uri="http://schemas.openxmlformats.org/drawingml/2006/picture">
                <pic:pic>
                  <pic:nvPicPr>
                    <pic:cNvPr id="0" name="image6.png"/>
                    <pic:cNvPicPr preferRelativeResize="0"/>
                  </pic:nvPicPr>
                  <pic:blipFill>
                    <a:blip r:embed="rId12"/>
                    <a:srcRect b="0" l="30398" r="0" t="0"/>
                    <a:stretch>
                      <a:fillRect/>
                    </a:stretch>
                  </pic:blipFill>
                  <pic:spPr>
                    <a:xfrm>
                      <a:off x="0" y="0"/>
                      <a:ext cx="5740238" cy="804264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2"/>
        <w:jc w:val="left"/>
        <w:rPr/>
      </w:pPr>
      <w:bookmarkStart w:colFirst="0" w:colLast="0" w:name="_h0x9tgsqoh8o" w:id="15"/>
      <w:bookmarkEnd w:id="15"/>
      <w:r w:rsidDel="00000000" w:rsidR="00000000" w:rsidRPr="00000000">
        <w:rPr>
          <w:rtl w:val="0"/>
        </w:rPr>
        <w:t xml:space="preserve">Proceso de generación de sugerencias de corrección de texto</w:t>
      </w:r>
    </w:p>
    <w:p w:rsidR="00000000" w:rsidDel="00000000" w:rsidP="00000000" w:rsidRDefault="00000000" w:rsidRPr="00000000" w14:paraId="0000003D">
      <w:pPr>
        <w:jc w:val="center"/>
        <w:rPr/>
      </w:pPr>
      <w:r w:rsidDel="00000000" w:rsidR="00000000" w:rsidRPr="00000000">
        <w:rPr/>
        <w:drawing>
          <wp:inline distB="114300" distT="114300" distL="114300" distR="114300">
            <wp:extent cx="5361126" cy="7733787"/>
            <wp:effectExtent b="0" l="0" r="0" t="0"/>
            <wp:docPr id="8" name="image5.png"/>
            <a:graphic>
              <a:graphicData uri="http://schemas.openxmlformats.org/drawingml/2006/picture">
                <pic:pic>
                  <pic:nvPicPr>
                    <pic:cNvPr id="0" name="image5.png"/>
                    <pic:cNvPicPr preferRelativeResize="0"/>
                  </pic:nvPicPr>
                  <pic:blipFill>
                    <a:blip r:embed="rId13"/>
                    <a:srcRect b="0" l="32392" r="0" t="0"/>
                    <a:stretch>
                      <a:fillRect/>
                    </a:stretch>
                  </pic:blipFill>
                  <pic:spPr>
                    <a:xfrm>
                      <a:off x="0" y="0"/>
                      <a:ext cx="5361126" cy="7733787"/>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2"/>
        <w:jc w:val="left"/>
        <w:rPr/>
      </w:pPr>
      <w:bookmarkStart w:colFirst="0" w:colLast="0" w:name="_7ozqe1mrd98" w:id="16"/>
      <w:bookmarkEnd w:id="16"/>
      <w:r w:rsidDel="00000000" w:rsidR="00000000" w:rsidRPr="00000000">
        <w:rPr>
          <w:rtl w:val="0"/>
        </w:rPr>
        <w:t xml:space="preserve">Renderizado de web feeds RSS</w:t>
      </w:r>
    </w:p>
    <w:p w:rsidR="00000000" w:rsidDel="00000000" w:rsidP="00000000" w:rsidRDefault="00000000" w:rsidRPr="00000000" w14:paraId="00000040">
      <w:pPr>
        <w:jc w:val="left"/>
        <w:rPr/>
      </w:pPr>
      <w:r w:rsidDel="00000000" w:rsidR="00000000" w:rsidRPr="00000000">
        <w:rPr/>
        <w:drawing>
          <wp:inline distB="114300" distT="114300" distL="114300" distR="114300">
            <wp:extent cx="5731200" cy="6718300"/>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6718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left"/>
        <w:rPr/>
      </w:pPr>
      <w:r w:rsidDel="00000000" w:rsidR="00000000" w:rsidRPr="00000000">
        <w:rPr>
          <w:rtl w:val="0"/>
        </w:rPr>
      </w:r>
    </w:p>
    <w:p w:rsidR="00000000" w:rsidDel="00000000" w:rsidP="00000000" w:rsidRDefault="00000000" w:rsidRPr="00000000" w14:paraId="00000042">
      <w:pPr>
        <w:jc w:val="left"/>
        <w:rPr/>
      </w:pPr>
      <w:r w:rsidDel="00000000" w:rsidR="00000000" w:rsidRPr="00000000">
        <w:rPr>
          <w:rtl w:val="0"/>
        </w:rPr>
      </w:r>
    </w:p>
    <w:p w:rsidR="00000000" w:rsidDel="00000000" w:rsidP="00000000" w:rsidRDefault="00000000" w:rsidRPr="00000000" w14:paraId="00000043">
      <w:pPr>
        <w:pStyle w:val="Heading2"/>
        <w:jc w:val="left"/>
        <w:rPr/>
        <w:sectPr>
          <w:type w:val="nextPage"/>
          <w:pgSz w:h="16834" w:w="11909" w:orient="portrait"/>
          <w:pgMar w:bottom="1440" w:top="1440" w:left="1440" w:right="1440" w:header="720" w:footer="720"/>
        </w:sectPr>
      </w:pPr>
      <w:bookmarkStart w:colFirst="0" w:colLast="0" w:name="_z7tkvj7p5bdt" w:id="17"/>
      <w:bookmarkEnd w:id="17"/>
      <w:r w:rsidDel="00000000" w:rsidR="00000000" w:rsidRPr="00000000">
        <w:rPr>
          <w:rtl w:val="0"/>
        </w:rPr>
      </w:r>
    </w:p>
    <w:p w:rsidR="00000000" w:rsidDel="00000000" w:rsidP="00000000" w:rsidRDefault="00000000" w:rsidRPr="00000000" w14:paraId="00000044">
      <w:pPr>
        <w:pStyle w:val="Heading2"/>
        <w:jc w:val="left"/>
        <w:rPr/>
      </w:pPr>
      <w:bookmarkStart w:colFirst="0" w:colLast="0" w:name="_rbtb2gokvjhz" w:id="18"/>
      <w:bookmarkEnd w:id="18"/>
      <w:r w:rsidDel="00000000" w:rsidR="00000000" w:rsidRPr="00000000">
        <w:rPr>
          <w:rtl w:val="0"/>
        </w:rPr>
        <w:t xml:space="preserve">Generación de funciones cíclicas</w:t>
      </w:r>
    </w:p>
    <w:p w:rsidR="00000000" w:rsidDel="00000000" w:rsidP="00000000" w:rsidRDefault="00000000" w:rsidRPr="00000000" w14:paraId="00000045">
      <w:pPr>
        <w:jc w:val="center"/>
        <w:rPr/>
      </w:pPr>
      <w:r w:rsidDel="00000000" w:rsidR="00000000" w:rsidRPr="00000000">
        <w:rPr/>
        <w:drawing>
          <wp:inline distB="114300" distT="114300" distL="114300" distR="114300">
            <wp:extent cx="8958022" cy="4695312"/>
            <wp:effectExtent b="0" l="0" r="0" t="0"/>
            <wp:docPr id="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8958022" cy="469531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jc w:val="left"/>
        <w:rPr/>
        <w:sectPr>
          <w:type w:val="nextPage"/>
          <w:pgSz w:h="11909" w:w="16834" w:orient="landscape"/>
          <w:pgMar w:bottom="1440" w:top="1440" w:left="1440" w:right="1440" w:header="720" w:footer="720"/>
        </w:sectPr>
      </w:pPr>
      <w:r w:rsidDel="00000000" w:rsidR="00000000" w:rsidRPr="00000000">
        <w:rPr>
          <w:rtl w:val="0"/>
        </w:rPr>
      </w:r>
    </w:p>
    <w:p w:rsidR="00000000" w:rsidDel="00000000" w:rsidP="00000000" w:rsidRDefault="00000000" w:rsidRPr="00000000" w14:paraId="00000047">
      <w:pPr>
        <w:pStyle w:val="Heading1"/>
        <w:rPr/>
      </w:pPr>
      <w:bookmarkStart w:colFirst="0" w:colLast="0" w:name="_hyh7bhwdjk9q" w:id="19"/>
      <w:bookmarkEnd w:id="19"/>
      <w:r w:rsidDel="00000000" w:rsidR="00000000" w:rsidRPr="00000000">
        <w:rPr>
          <w:rtl w:val="0"/>
        </w:rPr>
        <w:t xml:space="preserve">Diagrama de deployment</w:t>
      </w:r>
    </w:p>
    <w:p w:rsidR="00000000" w:rsidDel="00000000" w:rsidP="00000000" w:rsidRDefault="00000000" w:rsidRPr="00000000" w14:paraId="00000048">
      <w:pPr>
        <w:ind w:left="0" w:firstLine="720"/>
        <w:rPr/>
      </w:pPr>
      <w:r w:rsidDel="00000000" w:rsidR="00000000" w:rsidRPr="00000000">
        <w:rPr>
          <w:rtl w:val="0"/>
        </w:rPr>
        <w:t xml:space="preserve">En este diagrama se detallan tanto los artefactos que vamos a generar como parte del despliegue como la forma en la que estos interactúan. A través de peticiones HTTP, se comunicarán los servicios como detallados en diagramas anteriores, se eligió, además, Redis como base de datos por la practicidad del mismo para nuestra necesidad en especial.</w:t>
      </w:r>
    </w:p>
    <w:p w:rsidR="00000000" w:rsidDel="00000000" w:rsidP="00000000" w:rsidRDefault="00000000" w:rsidRPr="00000000" w14:paraId="00000049">
      <w:pPr>
        <w:ind w:left="0" w:firstLine="0"/>
        <w:rPr/>
      </w:pPr>
      <w:r w:rsidDel="00000000" w:rsidR="00000000" w:rsidRPr="00000000">
        <w:rPr/>
        <w:drawing>
          <wp:inline distB="114300" distT="114300" distL="114300" distR="114300">
            <wp:extent cx="5731200" cy="2946400"/>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2946400"/>
                    </a:xfrm>
                    <a:prstGeom prst="rect"/>
                    <a:ln/>
                  </pic:spPr>
                </pic:pic>
              </a:graphicData>
            </a:graphic>
          </wp:inline>
        </w:drawing>
      </w: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BM Plex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jc w:val="center"/>
      <w:rPr/>
    </w:pPr>
    <w:r w:rsidDel="00000000" w:rsidR="00000000" w:rsidRPr="00000000">
      <w:rPr>
        <w:rFonts w:ascii="IBM Plex Serif" w:cs="IBM Plex Serif" w:eastAsia="IBM Plex Serif" w:hAnsi="IBM Plex Serif"/>
        <w:b w:val="1"/>
        <w:color w:val="cccccc"/>
        <w:sz w:val="18"/>
        <w:szCs w:val="18"/>
        <w:rtl w:val="0"/>
      </w:rPr>
      <w:t xml:space="preserve">mAI</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rPr>
        <w:sz w:val="18"/>
        <w:szCs w:val="18"/>
      </w:rPr>
    </w:pPr>
    <w:r w:rsidDel="00000000" w:rsidR="00000000" w:rsidRPr="00000000">
      <w:rPr>
        <w:rFonts w:ascii="IBM Plex Serif" w:cs="IBM Plex Serif" w:eastAsia="IBM Plex Serif" w:hAnsi="IBM Plex Serif"/>
        <w:b w:val="1"/>
        <w:color w:val="d9d9d9"/>
        <w:sz w:val="18"/>
        <w:szCs w:val="18"/>
        <w:rtl w:val="0"/>
      </w:rPr>
      <w:t xml:space="preserve">Grupo 5</w:t>
      <w:tab/>
      <w:tab/>
      <w:tab/>
      <w:tab/>
      <w:tab/>
      <w:tab/>
      <w:t xml:space="preserve"> </w:t>
      <w:tab/>
      <w:t xml:space="preserve">         Gestión de la Configuración del Software</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BM Plex Serif" w:cs="IBM Plex Serif" w:eastAsia="IBM Plex Serif" w:hAnsi="IBM Plex Serif"/>
        <w:sz w:val="22"/>
        <w:szCs w:val="22"/>
        <w:lang w:val="es_419"/>
      </w:rPr>
    </w:rPrDefault>
    <w:pPrDefault>
      <w:pPr>
        <w:spacing w:after="200" w:before="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pPr>
    <w:rPr>
      <w:b w:val="1"/>
      <w:i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ucid.app/lucidchart/ed05f5b7-a374-4b1e-afdc-4d4c7f8b1972/edit?viewport_loc=312%2C700%2C3284%2C1552%2C0_0&amp;invitationId=inv_137ea962-a13e-48cd-bbc1-734696f7aae1" TargetMode="External"/><Relationship Id="rId15" Type="http://schemas.openxmlformats.org/officeDocument/2006/relationships/image" Target="media/image7.png"/><Relationship Id="rId14" Type="http://schemas.openxmlformats.org/officeDocument/2006/relationships/image" Target="media/image8.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IBMPlexSerif-regular.ttf"/><Relationship Id="rId2" Type="http://schemas.openxmlformats.org/officeDocument/2006/relationships/font" Target="fonts/IBMPlexSerif-bold.ttf"/><Relationship Id="rId3" Type="http://schemas.openxmlformats.org/officeDocument/2006/relationships/font" Target="fonts/IBMPlexSerif-italic.ttf"/><Relationship Id="rId4" Type="http://schemas.openxmlformats.org/officeDocument/2006/relationships/font" Target="fonts/IBMPlex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