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ind w:left="0" w:firstLine="0"/>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02">
      <w:pPr>
        <w:spacing w:after="200" w:before="200" w:lineRule="auto"/>
        <w:ind w:left="0" w:firstLine="0"/>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Universidad Nacional Mayor de San Marcos</w:t>
        <w:br w:type="textWrapping"/>
        <w:t xml:space="preserve">Facultad de Ingeniería de Sistemas e Informática</w:t>
        <w:br w:type="textWrapping"/>
        <w:t xml:space="preserve">E.P. de Ingeniería de Software</w:t>
      </w:r>
      <w:r w:rsidDel="00000000" w:rsidR="00000000" w:rsidRPr="00000000">
        <w:drawing>
          <wp:anchor allowOverlap="1" behindDoc="0" distB="114300" distT="114300" distL="114300" distR="114300" hidden="0" layoutInCell="1" locked="0" relativeHeight="0" simplePos="0">
            <wp:simplePos x="0" y="0"/>
            <wp:positionH relativeFrom="column">
              <wp:posOffset>1889125</wp:posOffset>
            </wp:positionH>
            <wp:positionV relativeFrom="paragraph">
              <wp:posOffset>1146175</wp:posOffset>
            </wp:positionV>
            <wp:extent cx="1968600" cy="2458707"/>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68600" cy="2458707"/>
                    </a:xfrm>
                    <a:prstGeom prst="rect"/>
                    <a:ln/>
                  </pic:spPr>
                </pic:pic>
              </a:graphicData>
            </a:graphic>
          </wp:anchor>
        </w:drawing>
      </w:r>
    </w:p>
    <w:p w:rsidR="00000000" w:rsidDel="00000000" w:rsidP="00000000" w:rsidRDefault="00000000" w:rsidRPr="00000000" w14:paraId="00000003">
      <w:pPr>
        <w:spacing w:after="200" w:before="200" w:lineRule="auto"/>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04">
      <w:pPr>
        <w:spacing w:after="200" w:before="200" w:line="480" w:lineRule="auto"/>
        <w:jc w:val="center"/>
        <w:rPr>
          <w:b w:val="1"/>
        </w:rPr>
      </w:pPr>
      <w:r w:rsidDel="00000000" w:rsidR="00000000" w:rsidRPr="00000000">
        <w:rPr>
          <w:rtl w:val="0"/>
        </w:rPr>
      </w:r>
    </w:p>
    <w:p w:rsidR="00000000" w:rsidDel="00000000" w:rsidP="00000000" w:rsidRDefault="00000000" w:rsidRPr="00000000" w14:paraId="00000005">
      <w:pPr>
        <w:spacing w:after="200" w:before="200" w:line="480" w:lineRule="auto"/>
        <w:jc w:val="center"/>
        <w:rPr>
          <w:b w:val="1"/>
        </w:rPr>
      </w:pPr>
      <w:r w:rsidDel="00000000" w:rsidR="00000000" w:rsidRPr="00000000">
        <w:rPr>
          <w:rtl w:val="0"/>
        </w:rPr>
      </w:r>
    </w:p>
    <w:p w:rsidR="00000000" w:rsidDel="00000000" w:rsidP="00000000" w:rsidRDefault="00000000" w:rsidRPr="00000000" w14:paraId="00000006">
      <w:pPr>
        <w:spacing w:after="200" w:before="200" w:line="480" w:lineRule="auto"/>
        <w:jc w:val="center"/>
        <w:rPr>
          <w:b w:val="1"/>
        </w:rPr>
      </w:pPr>
      <w:r w:rsidDel="00000000" w:rsidR="00000000" w:rsidRPr="00000000">
        <w:rPr>
          <w:rtl w:val="0"/>
        </w:rPr>
      </w:r>
    </w:p>
    <w:p w:rsidR="00000000" w:rsidDel="00000000" w:rsidP="00000000" w:rsidRDefault="00000000" w:rsidRPr="00000000" w14:paraId="00000007">
      <w:pPr>
        <w:spacing w:after="200" w:before="200" w:line="480" w:lineRule="auto"/>
        <w:jc w:val="center"/>
        <w:rPr>
          <w:b w:val="1"/>
        </w:rPr>
      </w:pPr>
      <w:r w:rsidDel="00000000" w:rsidR="00000000" w:rsidRPr="00000000">
        <w:rPr>
          <w:rtl w:val="0"/>
        </w:rPr>
      </w:r>
    </w:p>
    <w:p w:rsidR="00000000" w:rsidDel="00000000" w:rsidP="00000000" w:rsidRDefault="00000000" w:rsidRPr="00000000" w14:paraId="00000008">
      <w:pPr>
        <w:spacing w:after="200" w:before="200" w:line="480" w:lineRule="auto"/>
        <w:ind w:left="0" w:firstLine="0"/>
        <w:jc w:val="left"/>
        <w:rPr>
          <w:b w:val="1"/>
        </w:rPr>
      </w:pPr>
      <w:r w:rsidDel="00000000" w:rsidR="00000000" w:rsidRPr="00000000">
        <w:rPr>
          <w:b w:val="1"/>
          <w:rtl w:val="0"/>
        </w:rPr>
        <w:br w:type="textWrapping"/>
      </w:r>
    </w:p>
    <w:p w:rsidR="00000000" w:rsidDel="00000000" w:rsidP="00000000" w:rsidRDefault="00000000" w:rsidRPr="00000000" w14:paraId="00000009">
      <w:pPr>
        <w:spacing w:after="200" w:before="200" w:lineRule="auto"/>
        <w:ind w:left="0" w:firstLine="0"/>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sz w:val="24"/>
          <w:szCs w:val="24"/>
          <w:rtl w:val="0"/>
        </w:rPr>
        <w:t xml:space="preserve">TPC-</w:t>
      </w:r>
      <w:r w:rsidDel="00000000" w:rsidR="00000000" w:rsidRPr="00000000">
        <w:rPr>
          <w:rFonts w:ascii="IBM Plex Serif" w:cs="IBM Plex Serif" w:eastAsia="IBM Plex Serif" w:hAnsi="IBM Plex Serif"/>
          <w:b w:val="1"/>
          <w:sz w:val="24"/>
          <w:szCs w:val="24"/>
          <w:rtl w:val="0"/>
        </w:rPr>
        <w:t xml:space="preserve">DEUI</w:t>
      </w:r>
      <w:r w:rsidDel="00000000" w:rsidR="00000000" w:rsidRPr="00000000">
        <w:rPr>
          <w:rFonts w:ascii="IBM Plex Serif" w:cs="IBM Plex Serif" w:eastAsia="IBM Plex Serif" w:hAnsi="IBM Plex Serif"/>
          <w:b w:val="1"/>
          <w:sz w:val="24"/>
          <w:szCs w:val="24"/>
          <w:rtl w:val="0"/>
        </w:rPr>
        <w:t xml:space="preserve">: Documento de Especificación de UI para TPC</w:t>
        <w:br w:type="textWrapping"/>
        <w:t xml:space="preserve">Versión 1.</w:t>
      </w:r>
      <w:r w:rsidDel="00000000" w:rsidR="00000000" w:rsidRPr="00000000">
        <w:rPr>
          <w:b w:val="1"/>
          <w:sz w:val="24"/>
          <w:szCs w:val="24"/>
          <w:rtl w:val="0"/>
        </w:rPr>
        <w:t xml:space="preserve">1.</w:t>
      </w:r>
      <w:r w:rsidDel="00000000" w:rsidR="00000000" w:rsidRPr="00000000">
        <w:rPr>
          <w:rFonts w:ascii="IBM Plex Serif" w:cs="IBM Plex Serif" w:eastAsia="IBM Plex Serif" w:hAnsi="IBM Plex Serif"/>
          <w:b w:val="1"/>
          <w:rtl w:val="0"/>
        </w:rPr>
        <w:br w:type="textWrapping"/>
      </w:r>
    </w:p>
    <w:p w:rsidR="00000000" w:rsidDel="00000000" w:rsidP="00000000" w:rsidRDefault="00000000" w:rsidRPr="00000000" w14:paraId="0000000A">
      <w:pPr>
        <w:spacing w:after="200" w:before="200" w:lineRule="auto"/>
        <w:ind w:left="0" w:firstLine="0"/>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Preparado por</w:t>
        <w:br w:type="textWrapping"/>
      </w:r>
    </w:p>
    <w:p w:rsidR="00000000" w:rsidDel="00000000" w:rsidP="00000000" w:rsidRDefault="00000000" w:rsidRPr="00000000" w14:paraId="0000000B">
      <w:pPr>
        <w:spacing w:after="200" w:lineRule="auto"/>
        <w:ind w:left="0" w:firstLine="0"/>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Alva Sáenz, Rodrigo José</w:t>
        <w:tab/>
        <w:tab/>
        <w:t xml:space="preserve"> </w:t>
        <w:tab/>
        <w:tab/>
        <w:t xml:space="preserve">22200232</w:t>
        <w:br w:type="textWrapping"/>
        <w:t xml:space="preserve">Del Carpio Martinez, Damaris Marian </w:t>
        <w:tab/>
        <w:t xml:space="preserve"> </w:t>
        <w:tab/>
        <w:t xml:space="preserve">22200082</w:t>
        <w:br w:type="textWrapping"/>
        <w:t xml:space="preserve">Diaz Ingol, Jesus Stevan </w:t>
        <w:tab/>
        <w:tab/>
        <w:tab/>
        <w:tab/>
        <w:t xml:space="preserve">22200083</w:t>
        <w:br w:type="textWrapping"/>
        <w:t xml:space="preserve">Maylle Colaca, Luis Fernando </w:t>
        <w:tab/>
        <w:tab/>
        <w:tab/>
        <w:t xml:space="preserve">21200221</w:t>
        <w:br w:type="textWrapping"/>
        <w:t xml:space="preserve">Monzon Argüelles, Oscar Sebastian </w:t>
        <w:tab/>
        <w:tab/>
        <w:t xml:space="preserve">22200094</w:t>
        <w:br w:type="textWrapping"/>
        <w:t xml:space="preserve">Rojas Castañeda, Ruth Camila</w:t>
        <w:tab/>
        <w:tab/>
        <w:tab/>
        <w:t xml:space="preserve">22200239</w:t>
        <w:br w:type="textWrapping"/>
        <w:t xml:space="preserve">Rojas Rojas, Sebastian Alberto</w:t>
        <w:tab/>
        <w:tab/>
        <w:tab/>
        <w:t xml:space="preserve">22200261</w:t>
        <w:br w:type="textWrapping"/>
        <w:t xml:space="preserve">Zegarra Medina, Jose Antonio </w:t>
        <w:tab/>
        <w:tab/>
        <w:tab/>
        <w:t xml:space="preserve">22200102</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jc w:val="center"/>
        <w:rPr>
          <w:rFonts w:ascii="IBM Plex Serif Medium" w:cs="IBM Plex Serif Medium" w:eastAsia="IBM Plex Serif Medium" w:hAnsi="IBM Plex Serif Medium"/>
        </w:rPr>
      </w:pPr>
      <w:r w:rsidDel="00000000" w:rsidR="00000000" w:rsidRPr="00000000">
        <w:rPr>
          <w:rFonts w:ascii="IBM Plex Serif Medium" w:cs="IBM Plex Serif Medium" w:eastAsia="IBM Plex Serif Medium" w:hAnsi="IBM Plex Serif Medium"/>
          <w:rtl w:val="0"/>
        </w:rPr>
        <w:t xml:space="preserve">23 de mayo de 2024</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spacing w:after="200" w:before="200" w:lineRule="auto"/>
        <w:ind w:left="0" w:firstLine="0"/>
        <w:jc w:val="center"/>
        <w:rPr/>
      </w:pPr>
      <w:r w:rsidDel="00000000" w:rsidR="00000000" w:rsidRPr="00000000">
        <w:rPr>
          <w:rFonts w:ascii="IBM Plex Serif" w:cs="IBM Plex Serif" w:eastAsia="IBM Plex Serif" w:hAnsi="IBM Plex Serif"/>
          <w:b w:val="1"/>
          <w:sz w:val="34"/>
          <w:szCs w:val="34"/>
          <w:rtl w:val="0"/>
        </w:rPr>
        <w:t xml:space="preserve">Documento de Especificación de UI para TPC</w:t>
        <w:br w:type="textWrapping"/>
      </w:r>
      <w:r w:rsidDel="00000000" w:rsidR="00000000" w:rsidRPr="00000000">
        <w:rPr>
          <w:rFonts w:ascii="IBM Plex Serif" w:cs="IBM Plex Serif" w:eastAsia="IBM Plex Serif" w:hAnsi="IBM Plex Serif"/>
          <w:rtl w:val="0"/>
        </w:rPr>
        <w:t xml:space="preserve">Tabla de contenidos</w:t>
      </w:r>
      <w:r w:rsidDel="00000000" w:rsidR="00000000" w:rsidRPr="00000000">
        <w:rPr>
          <w:rtl w:val="0"/>
        </w:rPr>
      </w:r>
    </w:p>
    <w:p w:rsidR="00000000" w:rsidDel="00000000" w:rsidP="00000000" w:rsidRDefault="00000000" w:rsidRPr="00000000" w14:paraId="00000010">
      <w:pPr>
        <w:spacing w:after="200" w:before="200" w:lineRule="auto"/>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9b7lzlhzzle">
            <w:r w:rsidDel="00000000" w:rsidR="00000000" w:rsidRPr="00000000">
              <w:rPr>
                <w:b w:val="1"/>
                <w:i w:val="0"/>
                <w:smallCaps w:val="0"/>
                <w:strike w:val="0"/>
                <w:color w:val="000000"/>
                <w:sz w:val="22"/>
                <w:szCs w:val="22"/>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jc w:val="left"/>
            <w:rPr>
              <w:b w:val="1"/>
              <w:i w:val="0"/>
              <w:smallCaps w:val="0"/>
              <w:strike w:val="0"/>
              <w:color w:val="000000"/>
              <w:sz w:val="22"/>
              <w:szCs w:val="22"/>
              <w:u w:val="none"/>
              <w:shd w:fill="auto" w:val="clear"/>
              <w:vertAlign w:val="baseline"/>
            </w:rPr>
          </w:pPr>
          <w:hyperlink w:anchor="_15kkje6jhi3q">
            <w:r w:rsidDel="00000000" w:rsidR="00000000" w:rsidRPr="00000000">
              <w:rPr>
                <w:b w:val="1"/>
                <w:i w:val="0"/>
                <w:smallCaps w:val="0"/>
                <w:strike w:val="0"/>
                <w:color w:val="000000"/>
                <w:sz w:val="22"/>
                <w:szCs w:val="22"/>
                <w:u w:val="none"/>
                <w:shd w:fill="auto" w:val="clear"/>
                <w:vertAlign w:val="baseline"/>
                <w:rtl w:val="0"/>
              </w:rPr>
              <w:t xml:space="preserve">1.1. Propósito del documento</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jc w:val="left"/>
            <w:rPr>
              <w:b w:val="1"/>
              <w:i w:val="0"/>
              <w:smallCaps w:val="0"/>
              <w:strike w:val="0"/>
              <w:color w:val="000000"/>
              <w:sz w:val="22"/>
              <w:szCs w:val="22"/>
              <w:u w:val="none"/>
              <w:shd w:fill="auto" w:val="clear"/>
              <w:vertAlign w:val="baseline"/>
            </w:rPr>
          </w:pPr>
          <w:hyperlink w:anchor="_w21u3l11amil">
            <w:r w:rsidDel="00000000" w:rsidR="00000000" w:rsidRPr="00000000">
              <w:rPr>
                <w:b w:val="1"/>
                <w:i w:val="0"/>
                <w:smallCaps w:val="0"/>
                <w:strike w:val="0"/>
                <w:color w:val="000000"/>
                <w:sz w:val="22"/>
                <w:szCs w:val="22"/>
                <w:u w:val="none"/>
                <w:shd w:fill="auto" w:val="clear"/>
                <w:vertAlign w:val="baseline"/>
                <w:rtl w:val="0"/>
              </w:rPr>
              <w:t xml:space="preserve">1.2. Descripción del producto</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jc w:val="left"/>
            <w:rPr>
              <w:b w:val="1"/>
              <w:i w:val="0"/>
              <w:smallCaps w:val="0"/>
              <w:strike w:val="0"/>
              <w:color w:val="000000"/>
              <w:sz w:val="22"/>
              <w:szCs w:val="22"/>
              <w:u w:val="none"/>
              <w:shd w:fill="auto" w:val="clear"/>
              <w:vertAlign w:val="baseline"/>
            </w:rPr>
          </w:pPr>
          <w:hyperlink w:anchor="_do5a9al3j0ym">
            <w:r w:rsidDel="00000000" w:rsidR="00000000" w:rsidRPr="00000000">
              <w:rPr>
                <w:b w:val="1"/>
                <w:i w:val="0"/>
                <w:smallCaps w:val="0"/>
                <w:strike w:val="0"/>
                <w:color w:val="000000"/>
                <w:sz w:val="22"/>
                <w:szCs w:val="22"/>
                <w:u w:val="none"/>
                <w:shd w:fill="auto" w:val="clear"/>
                <w:vertAlign w:val="baseline"/>
                <w:rtl w:val="0"/>
              </w:rPr>
              <w:t xml:space="preserve">1.2.1. Módulo 1. Notificaciones de Sitios</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jc w:val="left"/>
            <w:rPr>
              <w:b w:val="1"/>
              <w:i w:val="0"/>
              <w:smallCaps w:val="0"/>
              <w:strike w:val="0"/>
              <w:color w:val="000000"/>
              <w:sz w:val="22"/>
              <w:szCs w:val="22"/>
              <w:u w:val="none"/>
              <w:shd w:fill="auto" w:val="clear"/>
              <w:vertAlign w:val="baseline"/>
            </w:rPr>
          </w:pPr>
          <w:hyperlink w:anchor="_evh8kuywxyng">
            <w:r w:rsidDel="00000000" w:rsidR="00000000" w:rsidRPr="00000000">
              <w:rPr>
                <w:b w:val="1"/>
                <w:i w:val="0"/>
                <w:smallCaps w:val="0"/>
                <w:strike w:val="0"/>
                <w:color w:val="000000"/>
                <w:sz w:val="22"/>
                <w:szCs w:val="22"/>
                <w:u w:val="none"/>
                <w:shd w:fill="auto" w:val="clear"/>
                <w:vertAlign w:val="baseline"/>
                <w:rtl w:val="0"/>
              </w:rPr>
              <w:t xml:space="preserve">1.2.2. Módulo 2. Asistente de Redacción</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jc w:val="left"/>
            <w:rPr>
              <w:b w:val="1"/>
              <w:i w:val="0"/>
              <w:smallCaps w:val="0"/>
              <w:strike w:val="0"/>
              <w:color w:val="000000"/>
              <w:sz w:val="22"/>
              <w:szCs w:val="22"/>
              <w:u w:val="none"/>
              <w:shd w:fill="auto" w:val="clear"/>
              <w:vertAlign w:val="baseline"/>
            </w:rPr>
          </w:pPr>
          <w:hyperlink w:anchor="_xqbu86agx57t">
            <w:r w:rsidDel="00000000" w:rsidR="00000000" w:rsidRPr="00000000">
              <w:rPr>
                <w:b w:val="1"/>
                <w:i w:val="0"/>
                <w:smallCaps w:val="0"/>
                <w:strike w:val="0"/>
                <w:color w:val="000000"/>
                <w:sz w:val="22"/>
                <w:szCs w:val="22"/>
                <w:u w:val="none"/>
                <w:shd w:fill="auto" w:val="clear"/>
                <w:vertAlign w:val="baseline"/>
                <w:rtl w:val="0"/>
              </w:rPr>
              <w:t xml:space="preserve">1.2.3. Módulo 3. Acciones Cíclicas</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jc w:val="left"/>
            <w:rPr>
              <w:b w:val="1"/>
              <w:i w:val="0"/>
              <w:smallCaps w:val="0"/>
              <w:strike w:val="0"/>
              <w:color w:val="000000"/>
              <w:sz w:val="22"/>
              <w:szCs w:val="22"/>
              <w:u w:val="none"/>
              <w:shd w:fill="auto" w:val="clear"/>
              <w:vertAlign w:val="baseline"/>
            </w:rPr>
          </w:pPr>
          <w:hyperlink w:anchor="_f7mjodpc79gq">
            <w:r w:rsidDel="00000000" w:rsidR="00000000" w:rsidRPr="00000000">
              <w:rPr>
                <w:b w:val="1"/>
                <w:i w:val="0"/>
                <w:smallCaps w:val="0"/>
                <w:strike w:val="0"/>
                <w:color w:val="000000"/>
                <w:sz w:val="22"/>
                <w:szCs w:val="22"/>
                <w:u w:val="none"/>
                <w:shd w:fill="auto" w:val="clear"/>
                <w:vertAlign w:val="baseline"/>
                <w:rtl w:val="0"/>
              </w:rPr>
              <w:t xml:space="preserve">1.3. Entorno Operativo</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jc w:val="left"/>
            <w:rPr>
              <w:b w:val="1"/>
              <w:i w:val="0"/>
              <w:smallCaps w:val="0"/>
              <w:strike w:val="0"/>
              <w:color w:val="000000"/>
              <w:sz w:val="22"/>
              <w:szCs w:val="22"/>
              <w:u w:val="none"/>
              <w:shd w:fill="auto" w:val="clear"/>
              <w:vertAlign w:val="baseline"/>
            </w:rPr>
          </w:pPr>
          <w:hyperlink w:anchor="_ov5k715as4qu">
            <w:r w:rsidDel="00000000" w:rsidR="00000000" w:rsidRPr="00000000">
              <w:rPr>
                <w:b w:val="1"/>
                <w:i w:val="0"/>
                <w:smallCaps w:val="0"/>
                <w:strike w:val="0"/>
                <w:color w:val="000000"/>
                <w:sz w:val="22"/>
                <w:szCs w:val="22"/>
                <w:u w:val="none"/>
                <w:shd w:fill="auto" w:val="clear"/>
                <w:vertAlign w:val="baseline"/>
                <w:rtl w:val="0"/>
              </w:rPr>
              <w:t xml:space="preserve">1.4. Referencias</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jc w:val="left"/>
            <w:rPr>
              <w:b w:val="1"/>
              <w:i w:val="0"/>
              <w:smallCaps w:val="0"/>
              <w:strike w:val="0"/>
              <w:color w:val="000000"/>
              <w:sz w:val="22"/>
              <w:szCs w:val="22"/>
              <w:u w:val="none"/>
              <w:shd w:fill="auto" w:val="clear"/>
              <w:vertAlign w:val="baseline"/>
            </w:rPr>
          </w:pPr>
          <w:hyperlink w:anchor="_kkrt73v7hzma">
            <w:r w:rsidDel="00000000" w:rsidR="00000000" w:rsidRPr="00000000">
              <w:rPr>
                <w:b w:val="1"/>
                <w:i w:val="0"/>
                <w:smallCaps w:val="0"/>
                <w:strike w:val="0"/>
                <w:color w:val="000000"/>
                <w:sz w:val="22"/>
                <w:szCs w:val="22"/>
                <w:u w:val="none"/>
                <w:shd w:fill="auto" w:val="clear"/>
                <w:vertAlign w:val="baseline"/>
                <w:rtl w:val="0"/>
              </w:rPr>
              <w:t xml:space="preserve">1.4.1. Guía de Estilo de Mantine</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jc w:val="left"/>
            <w:rPr>
              <w:b w:val="1"/>
              <w:i w:val="0"/>
              <w:smallCaps w:val="0"/>
              <w:strike w:val="0"/>
              <w:color w:val="000000"/>
              <w:sz w:val="22"/>
              <w:szCs w:val="22"/>
              <w:u w:val="none"/>
              <w:shd w:fill="auto" w:val="clear"/>
              <w:vertAlign w:val="baseline"/>
            </w:rPr>
          </w:pPr>
          <w:hyperlink w:anchor="_smoza34efpi3">
            <w:r w:rsidDel="00000000" w:rsidR="00000000" w:rsidRPr="00000000">
              <w:rPr>
                <w:b w:val="1"/>
                <w:i w:val="0"/>
                <w:smallCaps w:val="0"/>
                <w:strike w:val="0"/>
                <w:color w:val="000000"/>
                <w:sz w:val="22"/>
                <w:szCs w:val="22"/>
                <w:u w:val="none"/>
                <w:shd w:fill="auto" w:val="clear"/>
                <w:vertAlign w:val="baseline"/>
                <w:rtl w:val="0"/>
              </w:rPr>
              <w:t xml:space="preserve">1.4.2. Buenas Prácticas de UX/UI</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hyperlink w:anchor="_srhsxled15s1">
            <w:r w:rsidDel="00000000" w:rsidR="00000000" w:rsidRPr="00000000">
              <w:rPr>
                <w:b w:val="1"/>
                <w:i w:val="0"/>
                <w:smallCaps w:val="0"/>
                <w:strike w:val="0"/>
                <w:color w:val="000000"/>
                <w:sz w:val="22"/>
                <w:szCs w:val="22"/>
                <w:u w:val="none"/>
                <w:shd w:fill="auto" w:val="clear"/>
                <w:vertAlign w:val="baseline"/>
                <w:rtl w:val="0"/>
              </w:rPr>
              <w:t xml:space="preserve">2. Diagramas de interfaz</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jc w:val="left"/>
            <w:rPr>
              <w:b w:val="1"/>
              <w:i w:val="0"/>
              <w:smallCaps w:val="0"/>
              <w:strike w:val="0"/>
              <w:color w:val="000000"/>
              <w:sz w:val="22"/>
              <w:szCs w:val="22"/>
              <w:u w:val="none"/>
              <w:shd w:fill="auto" w:val="clear"/>
              <w:vertAlign w:val="baseline"/>
            </w:rPr>
          </w:pPr>
          <w:hyperlink w:anchor="_hecte7mqp5jj">
            <w:r w:rsidDel="00000000" w:rsidR="00000000" w:rsidRPr="00000000">
              <w:rPr>
                <w:b w:val="1"/>
                <w:i w:val="0"/>
                <w:smallCaps w:val="0"/>
                <w:strike w:val="0"/>
                <w:color w:val="000000"/>
                <w:sz w:val="22"/>
                <w:szCs w:val="22"/>
                <w:u w:val="none"/>
                <w:shd w:fill="auto" w:val="clear"/>
                <w:vertAlign w:val="baseline"/>
                <w:rtl w:val="0"/>
              </w:rPr>
              <w:t xml:space="preserve">2.1. Diagrama de Interfaz del Módulo 1: Sites Notifications</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jc w:val="left"/>
            <w:rPr>
              <w:b w:val="1"/>
              <w:i w:val="0"/>
              <w:smallCaps w:val="0"/>
              <w:strike w:val="0"/>
              <w:color w:val="000000"/>
              <w:sz w:val="22"/>
              <w:szCs w:val="22"/>
              <w:u w:val="none"/>
              <w:shd w:fill="auto" w:val="clear"/>
              <w:vertAlign w:val="baseline"/>
            </w:rPr>
          </w:pPr>
          <w:hyperlink w:anchor="_c1373w3os15y">
            <w:r w:rsidDel="00000000" w:rsidR="00000000" w:rsidRPr="00000000">
              <w:rPr>
                <w:b w:val="1"/>
                <w:i w:val="0"/>
                <w:smallCaps w:val="0"/>
                <w:strike w:val="0"/>
                <w:color w:val="000000"/>
                <w:sz w:val="22"/>
                <w:szCs w:val="22"/>
                <w:u w:val="none"/>
                <w:shd w:fill="auto" w:val="clear"/>
                <w:vertAlign w:val="baseline"/>
                <w:rtl w:val="0"/>
              </w:rPr>
              <w:t xml:space="preserve">2.2. Diagrama de Interfaz del Módulo 2: Asistente de Redacción</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9mqh3u16cz7">
            <w:r w:rsidDel="00000000" w:rsidR="00000000" w:rsidRPr="00000000">
              <w:rPr>
                <w:b w:val="1"/>
                <w:i w:val="0"/>
                <w:smallCaps w:val="0"/>
                <w:strike w:val="0"/>
                <w:color w:val="000000"/>
                <w:sz w:val="22"/>
                <w:szCs w:val="22"/>
                <w:u w:val="none"/>
                <w:shd w:fill="auto" w:val="clear"/>
                <w:vertAlign w:val="baseline"/>
                <w:rtl w:val="0"/>
              </w:rPr>
              <w:t xml:space="preserve">2.3. Diagrama de Interfaz del Módulo 3: Cyclical tasks</w:t>
            </w:r>
          </w:hyperlink>
          <w:hyperlink w:anchor="_m9mqh3u16c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spacing w:after="200" w:before="200" w:lineRule="auto"/>
        <w:rPr>
          <w:rFonts w:ascii="IBM Plex Serif Medium" w:cs="IBM Plex Serif Medium" w:eastAsia="IBM Plex Serif Medium" w:hAnsi="IBM Plex Serif Medium"/>
        </w:rPr>
      </w:pPr>
      <w:r w:rsidDel="00000000" w:rsidR="00000000" w:rsidRPr="00000000">
        <w:rPr>
          <w:rtl w:val="0"/>
        </w:rPr>
      </w:r>
    </w:p>
    <w:p w:rsidR="00000000" w:rsidDel="00000000" w:rsidP="00000000" w:rsidRDefault="00000000" w:rsidRPr="00000000" w14:paraId="00000020">
      <w:pPr>
        <w:spacing w:after="200" w:before="200" w:lineRule="auto"/>
        <w:rPr>
          <w:rFonts w:ascii="IBM Plex Serif" w:cs="IBM Plex Serif" w:eastAsia="IBM Plex Serif" w:hAnsi="IBM Plex Serif"/>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after="200" w:before="200" w:lineRule="auto"/>
        <w:ind w:left="0" w:firstLine="0"/>
        <w:rPr>
          <w:rFonts w:ascii="IBM Plex Serif" w:cs="IBM Plex Serif" w:eastAsia="IBM Plex Serif" w:hAnsi="IBM Plex Serif"/>
          <w:b w:val="1"/>
          <w:sz w:val="24"/>
          <w:szCs w:val="24"/>
        </w:rPr>
      </w:pPr>
      <w:r w:rsidDel="00000000" w:rsidR="00000000" w:rsidRPr="00000000">
        <w:rPr>
          <w:rFonts w:ascii="IBM Plex Serif" w:cs="IBM Plex Serif" w:eastAsia="IBM Plex Serif" w:hAnsi="IBM Plex Serif"/>
          <w:b w:val="1"/>
          <w:sz w:val="24"/>
          <w:szCs w:val="24"/>
          <w:rtl w:val="0"/>
        </w:rPr>
        <w:t xml:space="preserve">Historial de revisiones</w:t>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280"/>
        <w:gridCol w:w="2895"/>
        <w:gridCol w:w="2235"/>
        <w:tblGridChange w:id="0">
          <w:tblGrid>
            <w:gridCol w:w="1530"/>
            <w:gridCol w:w="2280"/>
            <w:gridCol w:w="289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erif" w:cs="IBM Plex Serif" w:eastAsia="IBM Plex Serif" w:hAnsi="IBM Plex Serif"/>
                <w:b w:val="1"/>
                <w:sz w:val="24"/>
                <w:szCs w:val="24"/>
              </w:rPr>
            </w:pPr>
            <w:r w:rsidDel="00000000" w:rsidR="00000000" w:rsidRPr="00000000">
              <w:rPr>
                <w:rFonts w:ascii="IBM Plex Serif" w:cs="IBM Plex Serif" w:eastAsia="IBM Plex Serif" w:hAnsi="IBM Plex Serif"/>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erif" w:cs="IBM Plex Serif" w:eastAsia="IBM Plex Serif" w:hAnsi="IBM Plex Serif"/>
                <w:b w:val="1"/>
                <w:sz w:val="24"/>
                <w:szCs w:val="24"/>
              </w:rPr>
            </w:pPr>
            <w:r w:rsidDel="00000000" w:rsidR="00000000" w:rsidRPr="00000000">
              <w:rPr>
                <w:rFonts w:ascii="IBM Plex Serif" w:cs="IBM Plex Serif" w:eastAsia="IBM Plex Serif" w:hAnsi="IBM Plex Serif"/>
                <w:b w:val="1"/>
                <w:sz w:val="24"/>
                <w:szCs w:val="24"/>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erif" w:cs="IBM Plex Serif" w:eastAsia="IBM Plex Serif" w:hAnsi="IBM Plex Serif"/>
                <w:b w:val="1"/>
                <w:sz w:val="24"/>
                <w:szCs w:val="24"/>
              </w:rPr>
            </w:pPr>
            <w:r w:rsidDel="00000000" w:rsidR="00000000" w:rsidRPr="00000000">
              <w:rPr>
                <w:rFonts w:ascii="IBM Plex Serif" w:cs="IBM Plex Serif" w:eastAsia="IBM Plex Serif" w:hAnsi="IBM Plex Serif"/>
                <w:b w:val="1"/>
                <w:sz w:val="24"/>
                <w:szCs w:val="24"/>
                <w:rtl w:val="0"/>
              </w:rPr>
              <w:t xml:space="preserve">Descripción de la 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erif" w:cs="IBM Plex Serif" w:eastAsia="IBM Plex Serif" w:hAnsi="IBM Plex Serif"/>
                <w:b w:val="1"/>
                <w:sz w:val="24"/>
                <w:szCs w:val="24"/>
              </w:rPr>
            </w:pPr>
            <w:r w:rsidDel="00000000" w:rsidR="00000000" w:rsidRPr="00000000">
              <w:rPr>
                <w:rFonts w:ascii="IBM Plex Serif" w:cs="IBM Plex Serif" w:eastAsia="IBM Plex Serif" w:hAnsi="IBM Plex Serif"/>
                <w:b w:val="1"/>
                <w:sz w:val="24"/>
                <w:szCs w:val="24"/>
                <w:rtl w:val="0"/>
              </w:rPr>
              <w:t xml:space="preserve">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v1.0a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R.C.R.C. / R.R.S.A.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Diseño inicial UX/UI de TPC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23/05/2024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v1.1.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R.C.R.C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ind w:left="0" w:firstLine="0"/>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Diseño modificado UX/UI de TPC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erif" w:cs="IBM Plex Serif" w:eastAsia="IBM Plex Serif" w:hAnsi="IBM Plex Serif"/>
                <w:sz w:val="24"/>
                <w:szCs w:val="24"/>
              </w:rPr>
            </w:pPr>
            <w:r w:rsidDel="00000000" w:rsidR="00000000" w:rsidRPr="00000000">
              <w:rPr>
                <w:sz w:val="24"/>
                <w:szCs w:val="24"/>
                <w:rtl w:val="0"/>
              </w:rPr>
              <w:t xml:space="preserve">2</w:t>
            </w:r>
            <w:r w:rsidDel="00000000" w:rsidR="00000000" w:rsidRPr="00000000">
              <w:rPr>
                <w:rFonts w:ascii="IBM Plex Serif" w:cs="IBM Plex Serif" w:eastAsia="IBM Plex Serif" w:hAnsi="IBM Plex Serif"/>
                <w:sz w:val="24"/>
                <w:szCs w:val="24"/>
                <w:rtl w:val="0"/>
              </w:rPr>
              <w:t xml:space="preserve">0/06/2024</w:t>
            </w:r>
          </w:p>
        </w:tc>
      </w:tr>
    </w:tbl>
    <w:p w:rsidR="00000000" w:rsidDel="00000000" w:rsidP="00000000" w:rsidRDefault="00000000" w:rsidRPr="00000000" w14:paraId="0000002E">
      <w:pPr>
        <w:spacing w:after="200" w:before="200" w:lineRule="auto"/>
        <w:rPr>
          <w:rFonts w:ascii="IBM Plex Serif" w:cs="IBM Plex Serif" w:eastAsia="IBM Plex Serif" w:hAnsi="IBM Plex Serif"/>
          <w:b w:val="1"/>
          <w:sz w:val="24"/>
          <w:szCs w:val="24"/>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spacing w:after="200" w:before="200" w:lineRule="auto"/>
        <w:ind w:left="0" w:firstLine="0"/>
        <w:jc w:val="center"/>
        <w:rPr/>
      </w:pPr>
      <w:r w:rsidDel="00000000" w:rsidR="00000000" w:rsidRPr="00000000">
        <w:rPr>
          <w:rFonts w:ascii="IBM Plex Serif" w:cs="IBM Plex Serif" w:eastAsia="IBM Plex Serif" w:hAnsi="IBM Plex Serif"/>
          <w:b w:val="1"/>
          <w:sz w:val="34"/>
          <w:szCs w:val="34"/>
          <w:rtl w:val="0"/>
        </w:rPr>
        <w:t xml:space="preserve">Documento de Especificación de UI para TPC</w:t>
      </w:r>
      <w:r w:rsidDel="00000000" w:rsidR="00000000" w:rsidRPr="00000000">
        <w:rPr>
          <w:rtl w:val="0"/>
        </w:rPr>
      </w:r>
    </w:p>
    <w:p w:rsidR="00000000" w:rsidDel="00000000" w:rsidP="00000000" w:rsidRDefault="00000000" w:rsidRPr="00000000" w14:paraId="00000034">
      <w:pPr>
        <w:pStyle w:val="Heading1"/>
        <w:ind w:left="0" w:firstLine="0"/>
        <w:rPr/>
      </w:pPr>
      <w:bookmarkStart w:colFirst="0" w:colLast="0" w:name="_s9b7lzlhzzle" w:id="0"/>
      <w:bookmarkEnd w:id="0"/>
      <w:r w:rsidDel="00000000" w:rsidR="00000000" w:rsidRPr="00000000">
        <w:rPr>
          <w:rtl w:val="0"/>
        </w:rPr>
        <w:t xml:space="preserve">1. </w:t>
      </w:r>
      <w:r w:rsidDel="00000000" w:rsidR="00000000" w:rsidRPr="00000000">
        <w:rPr>
          <w:rtl w:val="0"/>
        </w:rPr>
        <w:t xml:space="preserve">Introducción</w:t>
        <w:br w:type="textWrapping"/>
      </w:r>
    </w:p>
    <w:p w:rsidR="00000000" w:rsidDel="00000000" w:rsidP="00000000" w:rsidRDefault="00000000" w:rsidRPr="00000000" w14:paraId="00000035">
      <w:pPr>
        <w:pStyle w:val="Heading2"/>
        <w:ind w:left="0" w:firstLine="0"/>
        <w:rPr/>
      </w:pPr>
      <w:bookmarkStart w:colFirst="0" w:colLast="0" w:name="_15kkje6jhi3q" w:id="1"/>
      <w:bookmarkEnd w:id="1"/>
      <w:r w:rsidDel="00000000" w:rsidR="00000000" w:rsidRPr="00000000">
        <w:rPr>
          <w:rtl w:val="0"/>
        </w:rPr>
        <w:t xml:space="preserve">1.1. Propósito del documento</w:t>
        <w:br w:type="textWrapping"/>
      </w:r>
    </w:p>
    <w:p w:rsidR="00000000" w:rsidDel="00000000" w:rsidP="00000000" w:rsidRDefault="00000000" w:rsidRPr="00000000" w14:paraId="00000036">
      <w:pPr>
        <w:spacing w:line="276" w:lineRule="auto"/>
        <w:ind w:firstLine="720"/>
        <w:jc w:val="both"/>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El propósito de este documento es proporcionar una especificación detallada de la interfaz de usuario (UI) de la extensión TPC (Toolkit de Productividad Corporativa). Este documento está diseñado para ser una guía completa para los diseñadores, desarrolladores y partes interesadas en el proyecto, asegurando que todos los aspectos de la UI estén claramente definidos y comprendidos. Incluye descripciones detalladas de cada módulo, diagramas de interfaz y los flujos de usuario esperados para garantizar una experiencia de usuario intuitiva y eficiente.</w:t>
        <w:br w:type="textWrapping"/>
      </w:r>
    </w:p>
    <w:p w:rsidR="00000000" w:rsidDel="00000000" w:rsidP="00000000" w:rsidRDefault="00000000" w:rsidRPr="00000000" w14:paraId="00000037">
      <w:pPr>
        <w:pStyle w:val="Heading2"/>
        <w:ind w:left="0" w:firstLine="0"/>
        <w:rPr/>
      </w:pPr>
      <w:bookmarkStart w:colFirst="0" w:colLast="0" w:name="_w21u3l11amil" w:id="2"/>
      <w:bookmarkEnd w:id="2"/>
      <w:r w:rsidDel="00000000" w:rsidR="00000000" w:rsidRPr="00000000">
        <w:rPr>
          <w:rtl w:val="0"/>
        </w:rPr>
        <w:t xml:space="preserve">1.2. Descripción del producto</w:t>
        <w:br w:type="textWrapping"/>
      </w:r>
    </w:p>
    <w:p w:rsidR="00000000" w:rsidDel="00000000" w:rsidP="00000000" w:rsidRDefault="00000000" w:rsidRPr="00000000" w14:paraId="00000038">
      <w:pP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TPC e</w:t>
      </w:r>
      <w:r w:rsidDel="00000000" w:rsidR="00000000" w:rsidRPr="00000000">
        <w:rPr>
          <w:rtl w:val="0"/>
        </w:rPr>
        <w:t xml:space="preserve">s una extensión de navegador diseñada para mejorar la productividad en el entorno corporativo de la empresa </w:t>
      </w:r>
      <w:r w:rsidDel="00000000" w:rsidR="00000000" w:rsidRPr="00000000">
        <w:rPr>
          <w:i w:val="1"/>
          <w:rtl w:val="0"/>
        </w:rPr>
        <w:t xml:space="preserve">Kalhec</w:t>
      </w:r>
      <w:r w:rsidDel="00000000" w:rsidR="00000000" w:rsidRPr="00000000">
        <w:rPr>
          <w:rtl w:val="0"/>
        </w:rPr>
        <w:t xml:space="preserve">. La extensión proporciona tres módulos principales:</w:t>
      </w:r>
      <w:r w:rsidDel="00000000" w:rsidR="00000000" w:rsidRPr="00000000">
        <w:rPr>
          <w:rtl w:val="0"/>
        </w:rPr>
      </w:r>
    </w:p>
    <w:p w:rsidR="00000000" w:rsidDel="00000000" w:rsidP="00000000" w:rsidRDefault="00000000" w:rsidRPr="00000000" w14:paraId="00000039">
      <w:pPr>
        <w:spacing w:line="276" w:lineRule="auto"/>
        <w:ind w:firstLine="720"/>
        <w:jc w:val="both"/>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3A">
      <w:pPr>
        <w:pStyle w:val="Heading3"/>
        <w:rPr/>
      </w:pPr>
      <w:bookmarkStart w:colFirst="0" w:colLast="0" w:name="_do5a9al3j0ym" w:id="3"/>
      <w:bookmarkEnd w:id="3"/>
      <w:r w:rsidDel="00000000" w:rsidR="00000000" w:rsidRPr="00000000">
        <w:rPr>
          <w:rtl w:val="0"/>
        </w:rPr>
        <w:t xml:space="preserve">1.2.1. Módulo 1. Notificaciones de Sitios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ind w:firstLine="720"/>
        <w:rPr/>
      </w:pPr>
      <w:r w:rsidDel="00000000" w:rsidR="00000000" w:rsidRPr="00000000">
        <w:rPr>
          <w:rtl w:val="0"/>
        </w:rPr>
        <w:t xml:space="preserve">Permite a los usuarios recibir y visualizar notificaciones de las últimas actualizaciones de sus sitios webs favoritos guardados a través de un feed de noticias. La </w:t>
      </w:r>
      <w:r w:rsidDel="00000000" w:rsidR="00000000" w:rsidRPr="00000000">
        <w:rPr>
          <w:rtl w:val="0"/>
        </w:rPr>
        <w:t xml:space="preserve">frecuencia</w:t>
      </w:r>
      <w:r w:rsidDel="00000000" w:rsidR="00000000" w:rsidRPr="00000000">
        <w:rPr>
          <w:rtl w:val="0"/>
        </w:rPr>
        <w:t xml:space="preserve"> (every 1 hour, every 3 hours, every 6 hours, every 12 hours) podrá ser elegida manualmente por el usuario, así como el management de sus sitios guardados.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3"/>
        <w:rPr/>
      </w:pPr>
      <w:bookmarkStart w:colFirst="0" w:colLast="0" w:name="_evh8kuywxyng" w:id="4"/>
      <w:bookmarkEnd w:id="4"/>
      <w:r w:rsidDel="00000000" w:rsidR="00000000" w:rsidRPr="00000000">
        <w:rPr>
          <w:rtl w:val="0"/>
        </w:rPr>
        <w:t xml:space="preserve">1.2.2. Módulo 2. Asistente de Redacción</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spacing w:line="276" w:lineRule="auto"/>
        <w:ind w:firstLine="720"/>
        <w:jc w:val="both"/>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Ofrece herramientas de corrección de tono y autocompletados para textos, accesibles al hacer </w:t>
      </w:r>
      <w:r w:rsidDel="00000000" w:rsidR="00000000" w:rsidRPr="00000000">
        <w:rPr>
          <w:rFonts w:ascii="IBM Plex Serif" w:cs="IBM Plex Serif" w:eastAsia="IBM Plex Serif" w:hAnsi="IBM Plex Serif"/>
          <w:i w:val="1"/>
          <w:rtl w:val="0"/>
        </w:rPr>
        <w:t xml:space="preserve">click</w:t>
      </w:r>
      <w:r w:rsidDel="00000000" w:rsidR="00000000" w:rsidRPr="00000000">
        <w:rPr>
          <w:rFonts w:ascii="IBM Plex Serif" w:cs="IBM Plex Serif" w:eastAsia="IBM Plex Serif" w:hAnsi="IBM Plex Serif"/>
          <w:i w:val="1"/>
          <w:rtl w:val="0"/>
        </w:rPr>
        <w:t xml:space="preserve"> </w:t>
      </w:r>
      <w:r w:rsidDel="00000000" w:rsidR="00000000" w:rsidRPr="00000000">
        <w:rPr>
          <w:rFonts w:ascii="IBM Plex Serif" w:cs="IBM Plex Serif" w:eastAsia="IBM Plex Serif" w:hAnsi="IBM Plex Serif"/>
          <w:rtl w:val="0"/>
        </w:rPr>
        <w:t xml:space="preserve">derecho sobre un texto sombreado. La herramienta de corrección de tono permitirá elegir entre las opciones formal, imperativo y crítico y sobreescribirá el texto sugerido sobre el original. La herramienta de autocompletado, sugerirá la continuación del texto sombreado que se irá sobreescribiendo a medida que el usuario presione </w:t>
      </w:r>
      <w:r w:rsidDel="00000000" w:rsidR="00000000" w:rsidRPr="00000000">
        <w:rPr>
          <w:rFonts w:ascii="IBM Plex Serif" w:cs="IBM Plex Serif" w:eastAsia="IBM Plex Serif" w:hAnsi="IBM Plex Serif"/>
          <w:i w:val="1"/>
          <w:rtl w:val="0"/>
        </w:rPr>
        <w:t xml:space="preserve">tab</w:t>
      </w:r>
      <w:r w:rsidDel="00000000" w:rsidR="00000000" w:rsidRPr="00000000">
        <w:rPr>
          <w:rFonts w:ascii="IBM Plex Serif" w:cs="IBM Plex Serif" w:eastAsia="IBM Plex Serif" w:hAnsi="IBM Plex Serif"/>
          <w:rtl w:val="0"/>
        </w:rPr>
        <w:t xml:space="preserve">.</w:t>
      </w:r>
    </w:p>
    <w:p w:rsidR="00000000" w:rsidDel="00000000" w:rsidP="00000000" w:rsidRDefault="00000000" w:rsidRPr="00000000" w14:paraId="00000041">
      <w:pPr>
        <w:spacing w:line="276" w:lineRule="auto"/>
        <w:ind w:firstLine="720"/>
        <w:jc w:val="both"/>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42">
      <w:pPr>
        <w:pStyle w:val="Heading3"/>
        <w:rPr/>
      </w:pPr>
      <w:bookmarkStart w:colFirst="0" w:colLast="0" w:name="_xqbu86agx57t" w:id="5"/>
      <w:bookmarkEnd w:id="5"/>
      <w:r w:rsidDel="00000000" w:rsidR="00000000" w:rsidRPr="00000000">
        <w:rPr>
          <w:rtl w:val="0"/>
        </w:rPr>
        <w:t xml:space="preserve">1.2.3. Módulo 3. Acciones Cíclicas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line="276" w:lineRule="auto"/>
        <w:ind w:firstLine="720"/>
        <w:jc w:val="both"/>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Permite la creación y automatización de tareas repetitivas (por ejemplo, abrir una nueva tab o cerrar las tabs inactivas) con frecuencias personalizables (desde un momento determinado cada 1 minuto, 30 minutos, 1 hora, etc hasta cumplirse </w:t>
      </w:r>
      <w:r w:rsidDel="00000000" w:rsidR="00000000" w:rsidRPr="00000000">
        <w:rPr>
          <w:rFonts w:ascii="IBM Plex Serif" w:cs="IBM Plex Serif" w:eastAsia="IBM Plex Serif" w:hAnsi="IBM Plex Serif"/>
          <w:i w:val="1"/>
          <w:rtl w:val="0"/>
        </w:rPr>
        <w:t xml:space="preserve">n </w:t>
      </w:r>
      <w:r w:rsidDel="00000000" w:rsidR="00000000" w:rsidRPr="00000000">
        <w:rPr>
          <w:rFonts w:ascii="IBM Plex Serif" w:cs="IBM Plex Serif" w:eastAsia="IBM Plex Serif" w:hAnsi="IBM Plex Serif"/>
          <w:rtl w:val="0"/>
        </w:rPr>
        <w:t xml:space="preserve">repeticiones).</w:t>
      </w:r>
    </w:p>
    <w:p w:rsidR="00000000" w:rsidDel="00000000" w:rsidP="00000000" w:rsidRDefault="00000000" w:rsidRPr="00000000" w14:paraId="00000045">
      <w:pPr>
        <w:spacing w:line="276" w:lineRule="auto"/>
        <w:jc w:val="both"/>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46">
      <w:pPr>
        <w:pStyle w:val="Heading2"/>
        <w:ind w:left="0" w:firstLine="0"/>
        <w:rPr/>
      </w:pPr>
      <w:bookmarkStart w:colFirst="0" w:colLast="0" w:name="_f7mjodpc79gq" w:id="6"/>
      <w:bookmarkEnd w:id="6"/>
      <w:r w:rsidDel="00000000" w:rsidR="00000000" w:rsidRPr="00000000">
        <w:rPr>
          <w:rtl w:val="0"/>
        </w:rPr>
        <w:t xml:space="preserve">1.3. </w:t>
      </w:r>
      <w:r w:rsidDel="00000000" w:rsidR="00000000" w:rsidRPr="00000000">
        <w:rPr>
          <w:rtl w:val="0"/>
        </w:rPr>
        <w:t xml:space="preserve">Entorno Operativo</w:t>
      </w:r>
    </w:p>
    <w:p w:rsidR="00000000" w:rsidDel="00000000" w:rsidP="00000000" w:rsidRDefault="00000000" w:rsidRPr="00000000" w14:paraId="00000047">
      <w:pPr>
        <w:spacing w:line="276" w:lineRule="auto"/>
        <w:jc w:val="both"/>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ab/>
      </w:r>
    </w:p>
    <w:p w:rsidR="00000000" w:rsidDel="00000000" w:rsidP="00000000" w:rsidRDefault="00000000" w:rsidRPr="00000000" w14:paraId="00000048">
      <w:pPr>
        <w:spacing w:line="276" w:lineRule="auto"/>
        <w:ind w:firstLine="720"/>
        <w:jc w:val="both"/>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La extensión TPC está diseñada para ser compatible con los principales navegadores web basados en Chromium, incluidos Google Chrome, Brave y Microsoft Edge.</w:t>
      </w:r>
    </w:p>
    <w:p w:rsidR="00000000" w:rsidDel="00000000" w:rsidP="00000000" w:rsidRDefault="00000000" w:rsidRPr="00000000" w14:paraId="00000049">
      <w:pPr>
        <w:spacing w:line="276" w:lineRule="auto"/>
        <w:jc w:val="both"/>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4A">
      <w:pPr>
        <w:pStyle w:val="Heading2"/>
        <w:ind w:left="0" w:firstLine="0"/>
        <w:rPr/>
      </w:pPr>
      <w:bookmarkStart w:colFirst="0" w:colLast="0" w:name="_ov5k715as4qu" w:id="7"/>
      <w:bookmarkEnd w:id="7"/>
      <w:r w:rsidDel="00000000" w:rsidR="00000000" w:rsidRPr="00000000">
        <w:rPr>
          <w:rtl w:val="0"/>
        </w:rPr>
        <w:t xml:space="preserve">1.4. </w:t>
      </w:r>
      <w:r w:rsidDel="00000000" w:rsidR="00000000" w:rsidRPr="00000000">
        <w:rPr>
          <w:rtl w:val="0"/>
        </w:rPr>
        <w:t xml:space="preserve">Referencias</w:t>
      </w:r>
    </w:p>
    <w:p w:rsidR="00000000" w:rsidDel="00000000" w:rsidP="00000000" w:rsidRDefault="00000000" w:rsidRPr="00000000" w14:paraId="0000004B">
      <w:pPr>
        <w:spacing w:line="276" w:lineRule="auto"/>
        <w:rPr>
          <w:rFonts w:ascii="IBM Plex Serif" w:cs="IBM Plex Serif" w:eastAsia="IBM Plex Serif" w:hAnsi="IBM Plex Serif"/>
          <w:b w:val="1"/>
          <w:i w:val="1"/>
        </w:rPr>
      </w:pPr>
      <w:r w:rsidDel="00000000" w:rsidR="00000000" w:rsidRPr="00000000">
        <w:rPr>
          <w:rtl w:val="0"/>
        </w:rPr>
      </w:r>
    </w:p>
    <w:p w:rsidR="00000000" w:rsidDel="00000000" w:rsidP="00000000" w:rsidRDefault="00000000" w:rsidRPr="00000000" w14:paraId="0000004C">
      <w:pPr>
        <w:spacing w:line="276" w:lineRule="auto"/>
        <w:jc w:val="both"/>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Este documento hace referencia a los siguientes recursos y estándares:</w:t>
      </w:r>
    </w:p>
    <w:p w:rsidR="00000000" w:rsidDel="00000000" w:rsidP="00000000" w:rsidRDefault="00000000" w:rsidRPr="00000000" w14:paraId="0000004D">
      <w:pPr>
        <w:spacing w:line="276" w:lineRule="auto"/>
        <w:jc w:val="both"/>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4E">
      <w:pPr>
        <w:pStyle w:val="Heading3"/>
        <w:jc w:val="both"/>
        <w:rPr>
          <w:b w:val="1"/>
        </w:rPr>
      </w:pPr>
      <w:bookmarkStart w:colFirst="0" w:colLast="0" w:name="_kkrt73v7hzma" w:id="8"/>
      <w:bookmarkEnd w:id="8"/>
      <w:r w:rsidDel="00000000" w:rsidR="00000000" w:rsidRPr="00000000">
        <w:rPr>
          <w:rtl w:val="0"/>
        </w:rPr>
        <w:t xml:space="preserve">1.4.1. </w:t>
      </w:r>
      <w:r w:rsidDel="00000000" w:rsidR="00000000" w:rsidRPr="00000000">
        <w:rPr>
          <w:b w:val="1"/>
          <w:rtl w:val="0"/>
        </w:rPr>
        <w:t xml:space="preserve">Guía de Estilo de Mantine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pacing w:line="276" w:lineRule="auto"/>
        <w:ind w:firstLine="720"/>
        <w:jc w:val="both"/>
        <w:rPr>
          <w:rFonts w:ascii="Roboto Mono Medium" w:cs="Roboto Mono Medium" w:eastAsia="Roboto Mono Medium" w:hAnsi="Roboto Mono Medium"/>
          <w:sz w:val="20"/>
          <w:szCs w:val="20"/>
          <w:shd w:fill="efefef" w:val="clear"/>
        </w:rPr>
      </w:pPr>
      <w:r w:rsidDel="00000000" w:rsidR="00000000" w:rsidRPr="00000000">
        <w:rPr>
          <w:rFonts w:ascii="IBM Plex Serif" w:cs="IBM Plex Serif" w:eastAsia="IBM Plex Serif" w:hAnsi="IBM Plex Serif"/>
          <w:rtl w:val="0"/>
        </w:rPr>
        <w:t xml:space="preserve">Documentación oficial de los componentes UI de Mantine utilizados en la extensión extraídos de la página oficial: </w:t>
      </w:r>
      <w:hyperlink r:id="rId7">
        <w:r w:rsidDel="00000000" w:rsidR="00000000" w:rsidRPr="00000000">
          <w:rPr>
            <w:rFonts w:ascii="Roboto Mono Medium" w:cs="Roboto Mono Medium" w:eastAsia="Roboto Mono Medium" w:hAnsi="Roboto Mono Medium"/>
            <w:color w:val="1155cc"/>
            <w:sz w:val="20"/>
            <w:szCs w:val="20"/>
            <w:u w:val="single"/>
            <w:shd w:fill="efefef" w:val="clear"/>
            <w:rtl w:val="0"/>
          </w:rPr>
          <w:t xml:space="preserve">https://mantine.dev/</w:t>
        </w:r>
      </w:hyperlink>
      <w:r w:rsidDel="00000000" w:rsidR="00000000" w:rsidRPr="00000000">
        <w:rPr>
          <w:rFonts w:ascii="Roboto Mono Medium" w:cs="Roboto Mono Medium" w:eastAsia="Roboto Mono Medium" w:hAnsi="Roboto Mono Medium"/>
          <w:sz w:val="20"/>
          <w:szCs w:val="20"/>
          <w:shd w:fill="efefef" w:val="clear"/>
          <w:rtl w:val="0"/>
        </w:rPr>
        <w:t xml:space="preserve">.</w:t>
      </w:r>
    </w:p>
    <w:p w:rsidR="00000000" w:rsidDel="00000000" w:rsidP="00000000" w:rsidRDefault="00000000" w:rsidRPr="00000000" w14:paraId="00000051">
      <w:pPr>
        <w:spacing w:line="276" w:lineRule="auto"/>
        <w:ind w:firstLine="720"/>
        <w:jc w:val="both"/>
        <w:rPr>
          <w:rFonts w:ascii="Roboto Mono Medium" w:cs="Roboto Mono Medium" w:eastAsia="Roboto Mono Medium" w:hAnsi="Roboto Mono Medium"/>
          <w:sz w:val="20"/>
          <w:szCs w:val="20"/>
          <w:shd w:fill="efefef" w:val="clear"/>
        </w:rPr>
      </w:pPr>
      <w:r w:rsidDel="00000000" w:rsidR="00000000" w:rsidRPr="00000000">
        <w:rPr>
          <w:rtl w:val="0"/>
        </w:rPr>
      </w:r>
    </w:p>
    <w:p w:rsidR="00000000" w:rsidDel="00000000" w:rsidP="00000000" w:rsidRDefault="00000000" w:rsidRPr="00000000" w14:paraId="00000052">
      <w:pPr>
        <w:pStyle w:val="Heading3"/>
        <w:jc w:val="both"/>
        <w:rPr>
          <w:b w:val="1"/>
        </w:rPr>
      </w:pPr>
      <w:bookmarkStart w:colFirst="0" w:colLast="0" w:name="_smoza34efpi3" w:id="9"/>
      <w:bookmarkEnd w:id="9"/>
      <w:r w:rsidDel="00000000" w:rsidR="00000000" w:rsidRPr="00000000">
        <w:rPr>
          <w:rtl w:val="0"/>
        </w:rPr>
        <w:t xml:space="preserve">1.4.2. </w:t>
      </w:r>
      <w:r w:rsidDel="00000000" w:rsidR="00000000" w:rsidRPr="00000000">
        <w:rPr>
          <w:b w:val="1"/>
          <w:rtl w:val="0"/>
        </w:rPr>
        <w:t xml:space="preserve">Buenas Prácticas de UX/UI</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line="276" w:lineRule="auto"/>
        <w:ind w:firstLine="720"/>
        <w:jc w:val="both"/>
        <w:rPr>
          <w:rFonts w:ascii="Roboto Mono Medium" w:cs="Roboto Mono Medium" w:eastAsia="Roboto Mono Medium" w:hAnsi="Roboto Mono Medium"/>
          <w:sz w:val="20"/>
          <w:szCs w:val="20"/>
          <w:shd w:fill="efefef" w:val="clear"/>
        </w:rPr>
      </w:pPr>
      <w:r w:rsidDel="00000000" w:rsidR="00000000" w:rsidRPr="00000000">
        <w:rPr>
          <w:rFonts w:ascii="IBM Plex Serif" w:cs="IBM Plex Serif" w:eastAsia="IBM Plex Serif" w:hAnsi="IBM Plex Serif"/>
          <w:rtl w:val="0"/>
        </w:rPr>
        <w:t xml:space="preserve">Principios y recomendaciones para el diseño de interfaces de usuario eficaces y accesibles, extraídas de un artículo publicado por el Departamento de Ingeniería y Computación de la Universidad Nacional de San Diego, California en el International Journal of Software Engineering &amp; Applications (IJSEA): </w:t>
      </w:r>
      <w:hyperlink r:id="rId8">
        <w:r w:rsidDel="00000000" w:rsidR="00000000" w:rsidRPr="00000000">
          <w:rPr>
            <w:rFonts w:ascii="Roboto Mono Medium" w:cs="Roboto Mono Medium" w:eastAsia="Roboto Mono Medium" w:hAnsi="Roboto Mono Medium"/>
            <w:color w:val="1155cc"/>
            <w:sz w:val="20"/>
            <w:szCs w:val="20"/>
            <w:u w:val="single"/>
            <w:shd w:fill="efefef" w:val="clear"/>
            <w:rtl w:val="0"/>
          </w:rPr>
          <w:t xml:space="preserve">https://tinyurl.com/uxuipractices</w:t>
        </w:r>
      </w:hyperlink>
      <w:r w:rsidDel="00000000" w:rsidR="00000000" w:rsidRPr="00000000">
        <w:rPr>
          <w:rtl w:val="0"/>
        </w:rPr>
      </w:r>
    </w:p>
    <w:p w:rsidR="00000000" w:rsidDel="00000000" w:rsidP="00000000" w:rsidRDefault="00000000" w:rsidRPr="00000000" w14:paraId="00000055">
      <w:pPr>
        <w:spacing w:line="276" w:lineRule="auto"/>
        <w:ind w:firstLine="720"/>
        <w:jc w:val="both"/>
        <w:rPr>
          <w:rFonts w:ascii="Roboto Mono Medium" w:cs="Roboto Mono Medium" w:eastAsia="Roboto Mono Medium" w:hAnsi="Roboto Mono Medium"/>
          <w:sz w:val="20"/>
          <w:szCs w:val="20"/>
          <w:shd w:fill="efefef" w:val="clear"/>
        </w:rPr>
      </w:pPr>
      <w:r w:rsidDel="00000000" w:rsidR="00000000" w:rsidRPr="00000000">
        <w:rPr>
          <w:rtl w:val="0"/>
        </w:rPr>
      </w:r>
    </w:p>
    <w:p w:rsidR="00000000" w:rsidDel="00000000" w:rsidP="00000000" w:rsidRDefault="00000000" w:rsidRPr="00000000" w14:paraId="00000056">
      <w:pPr>
        <w:spacing w:line="276" w:lineRule="auto"/>
        <w:jc w:val="both"/>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Con este propósito, se busca establecer una base clara y común para el desarrollo y la implementación de la interfaz de usuario de TPC, asegurando que el producto final cumpla con los requisitos funcionales y las expectativas de los usuarios finales.</w:t>
      </w:r>
    </w:p>
    <w:p w:rsidR="00000000" w:rsidDel="00000000" w:rsidP="00000000" w:rsidRDefault="00000000" w:rsidRPr="00000000" w14:paraId="00000057">
      <w:pPr>
        <w:spacing w:line="276" w:lineRule="auto"/>
        <w:jc w:val="both"/>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58">
      <w:pPr>
        <w:pStyle w:val="Heading1"/>
        <w:spacing w:line="480" w:lineRule="auto"/>
        <w:ind w:left="0" w:firstLine="0"/>
        <w:jc w:val="both"/>
        <w:rPr/>
      </w:pPr>
      <w:bookmarkStart w:colFirst="0" w:colLast="0" w:name="_srhsxled15s1" w:id="10"/>
      <w:bookmarkEnd w:id="10"/>
      <w:r w:rsidDel="00000000" w:rsidR="00000000" w:rsidRPr="00000000">
        <w:rPr>
          <w:rtl w:val="0"/>
        </w:rPr>
        <w:t xml:space="preserve">2</w:t>
      </w:r>
      <w:r w:rsidDel="00000000" w:rsidR="00000000" w:rsidRPr="00000000">
        <w:rPr>
          <w:rtl w:val="0"/>
        </w:rPr>
        <w:t xml:space="preserve">. Diagramas de interfaz</w:t>
      </w:r>
    </w:p>
    <w:p w:rsidR="00000000" w:rsidDel="00000000" w:rsidP="00000000" w:rsidRDefault="00000000" w:rsidRPr="00000000" w14:paraId="00000059">
      <w:pPr>
        <w:spacing w:line="276" w:lineRule="auto"/>
        <w:ind w:firstLine="720"/>
        <w:jc w:val="both"/>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Los diagramas que se exponen en esta sección ayudan a visualizar la disposición y funcionamiento de los componentes dentro de la interfaz de usuario. </w:t>
      </w:r>
    </w:p>
    <w:p w:rsidR="00000000" w:rsidDel="00000000" w:rsidP="00000000" w:rsidRDefault="00000000" w:rsidRPr="00000000" w14:paraId="0000005A">
      <w:pPr>
        <w:spacing w:line="276" w:lineRule="auto"/>
        <w:ind w:firstLine="720"/>
        <w:jc w:val="both"/>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5B">
      <w:pPr>
        <w:pStyle w:val="Heading2"/>
        <w:ind w:left="0" w:firstLine="0"/>
        <w:jc w:val="both"/>
        <w:rPr/>
      </w:pPr>
      <w:bookmarkStart w:colFirst="0" w:colLast="0" w:name="_hecte7mqp5jj" w:id="11"/>
      <w:bookmarkEnd w:id="11"/>
      <w:r w:rsidDel="00000000" w:rsidR="00000000" w:rsidRPr="00000000">
        <w:rPr>
          <w:rtl w:val="0"/>
        </w:rPr>
        <w:t xml:space="preserve">2.1. </w:t>
      </w:r>
      <w:r w:rsidDel="00000000" w:rsidR="00000000" w:rsidRPr="00000000">
        <w:rPr>
          <w:rtl w:val="0"/>
        </w:rPr>
        <w:t xml:space="preserve">Diagrama de Interfaz del Módulo 1: Sites Notifications</w:t>
      </w:r>
    </w:p>
    <w:p w:rsidR="00000000" w:rsidDel="00000000" w:rsidP="00000000" w:rsidRDefault="00000000" w:rsidRPr="00000000" w14:paraId="0000005C">
      <w:pPr>
        <w:spacing w:line="276" w:lineRule="auto"/>
        <w:jc w:val="both"/>
        <w:rPr>
          <w:rFonts w:ascii="IBM Plex Serif" w:cs="IBM Plex Serif" w:eastAsia="IBM Plex Serif" w:hAnsi="IBM Plex Serif"/>
          <w:b w:val="1"/>
          <w:i w:val="1"/>
        </w:rPr>
      </w:pPr>
      <w:r w:rsidDel="00000000" w:rsidR="00000000" w:rsidRPr="00000000">
        <w:rPr>
          <w:rtl w:val="0"/>
        </w:rPr>
      </w:r>
    </w:p>
    <w:p w:rsidR="00000000" w:rsidDel="00000000" w:rsidP="00000000" w:rsidRDefault="00000000" w:rsidRPr="00000000" w14:paraId="0000005D">
      <w:pPr>
        <w:spacing w:line="276" w:lineRule="auto"/>
        <w:jc w:val="both"/>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Muestra las últimas notificaciones de los sitios favoritos del usuario:</w:t>
      </w:r>
    </w:p>
    <w:p w:rsidR="00000000" w:rsidDel="00000000" w:rsidP="00000000" w:rsidRDefault="00000000" w:rsidRPr="00000000" w14:paraId="0000005E">
      <w:pPr>
        <w:spacing w:line="276" w:lineRule="auto"/>
        <w:jc w:val="both"/>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5F">
      <w:pPr>
        <w:spacing w:line="480" w:lineRule="auto"/>
        <w:jc w:val="center"/>
        <w:rPr/>
      </w:pPr>
      <w:r w:rsidDel="00000000" w:rsidR="00000000" w:rsidRPr="00000000">
        <w:rPr/>
        <w:drawing>
          <wp:inline distB="114300" distT="114300" distL="114300" distR="114300">
            <wp:extent cx="2631083" cy="3739685"/>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631083" cy="373968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spacing w:line="480" w:lineRule="auto"/>
        <w:ind w:left="0" w:firstLine="0"/>
        <w:rPr/>
      </w:pPr>
      <w:bookmarkStart w:colFirst="0" w:colLast="0" w:name="_c1373w3os15y" w:id="12"/>
      <w:bookmarkEnd w:id="12"/>
      <w:r w:rsidDel="00000000" w:rsidR="00000000" w:rsidRPr="00000000">
        <w:rPr>
          <w:rtl w:val="0"/>
        </w:rPr>
        <w:t xml:space="preserve">2.2. </w:t>
      </w:r>
      <w:r w:rsidDel="00000000" w:rsidR="00000000" w:rsidRPr="00000000">
        <w:rPr>
          <w:rtl w:val="0"/>
        </w:rPr>
        <w:t xml:space="preserve">Diagrama de Interfaz del Módulo 2: Asistente de Redacción</w:t>
      </w:r>
    </w:p>
    <w:p w:rsidR="00000000" w:rsidDel="00000000" w:rsidP="00000000" w:rsidRDefault="00000000" w:rsidRPr="00000000" w14:paraId="00000061">
      <w:pPr>
        <w:rPr/>
      </w:pPr>
      <w:r w:rsidDel="00000000" w:rsidR="00000000" w:rsidRPr="00000000">
        <w:rPr>
          <w:rtl w:val="0"/>
        </w:rPr>
        <w:t xml:space="preserve">Este módulo permite la corrección de tono y el autocompletado de textos directamente en la interfaz de redacción de correo y otras aplicaciones mediante un menú contextual (click derecho).</w:t>
      </w:r>
    </w:p>
    <w:p w:rsidR="00000000" w:rsidDel="00000000" w:rsidP="00000000" w:rsidRDefault="00000000" w:rsidRPr="00000000" w14:paraId="00000062">
      <w:pPr>
        <w:spacing w:line="480" w:lineRule="auto"/>
        <w:rPr>
          <w:rFonts w:ascii="IBM Plex Serif" w:cs="IBM Plex Serif" w:eastAsia="IBM Plex Serif" w:hAnsi="IBM Plex Serif"/>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152400</wp:posOffset>
            </wp:positionV>
            <wp:extent cx="5334000" cy="2988208"/>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34000" cy="2988208"/>
                    </a:xfrm>
                    <a:prstGeom prst="rect"/>
                    <a:ln/>
                  </pic:spPr>
                </pic:pic>
              </a:graphicData>
            </a:graphic>
          </wp:anchor>
        </w:drawing>
      </w:r>
    </w:p>
    <w:p w:rsidR="00000000" w:rsidDel="00000000" w:rsidP="00000000" w:rsidRDefault="00000000" w:rsidRPr="00000000" w14:paraId="00000063">
      <w:pPr>
        <w:spacing w:line="480" w:lineRule="auto"/>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64">
      <w:pPr>
        <w:pStyle w:val="Heading2"/>
        <w:spacing w:line="480" w:lineRule="auto"/>
        <w:ind w:left="0" w:firstLine="0"/>
        <w:rPr/>
      </w:pPr>
      <w:bookmarkStart w:colFirst="0" w:colLast="0" w:name="_m9mqh3u16cz7" w:id="13"/>
      <w:bookmarkEnd w:id="13"/>
      <w:r w:rsidDel="00000000" w:rsidR="00000000" w:rsidRPr="00000000">
        <w:rPr>
          <w:rtl w:val="0"/>
        </w:rPr>
        <w:t xml:space="preserve">2.3. </w:t>
      </w:r>
      <w:r w:rsidDel="00000000" w:rsidR="00000000" w:rsidRPr="00000000">
        <w:rPr>
          <w:rtl w:val="0"/>
        </w:rPr>
        <w:t xml:space="preserve">Diagrama de Interfaz del Módulo 3: Cyclical tasks</w:t>
      </w:r>
    </w:p>
    <w:p w:rsidR="00000000" w:rsidDel="00000000" w:rsidP="00000000" w:rsidRDefault="00000000" w:rsidRPr="00000000" w14:paraId="00000065">
      <w:pPr>
        <w:rPr/>
      </w:pPr>
      <w:r w:rsidDel="00000000" w:rsidR="00000000" w:rsidRPr="00000000">
        <w:rPr>
          <w:rtl w:val="0"/>
        </w:rPr>
        <w:t xml:space="preserve">Este módulo permite la creación de recordatorios y la automatización de tareas, mostrando notificaciones de acciones programadas.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spacing w:line="480" w:lineRule="auto"/>
        <w:jc w:val="center"/>
        <w:rPr>
          <w:rFonts w:ascii="IBM Plex Serif" w:cs="IBM Plex Serif" w:eastAsia="IBM Plex Serif" w:hAnsi="IBM Plex Serif"/>
        </w:rPr>
      </w:pPr>
      <w:r w:rsidDel="00000000" w:rsidR="00000000" w:rsidRPr="00000000">
        <w:rPr/>
        <w:drawing>
          <wp:inline distB="114300" distT="114300" distL="114300" distR="114300">
            <wp:extent cx="2646186" cy="3797767"/>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646186" cy="379776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76" w:lineRule="auto"/>
        <w:jc w:val="both"/>
        <w:rPr>
          <w:rFonts w:ascii="IBM Plex Serif" w:cs="IBM Plex Serif" w:eastAsia="IBM Plex Serif" w:hAnsi="IBM Plex Serif"/>
          <w:b w:val="1"/>
        </w:rPr>
      </w:pP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BM Plex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BM Plex Serif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ind w:left="0" w:firstLine="0"/>
      <w:jc w:val="center"/>
      <w:rPr/>
    </w:pPr>
    <w:r w:rsidDel="00000000" w:rsidR="00000000" w:rsidRPr="00000000">
      <w:rPr>
        <w:rFonts w:ascii="IBM Plex Serif" w:cs="IBM Plex Serif" w:eastAsia="IBM Plex Serif" w:hAnsi="IBM Plex Serif"/>
        <w:b w:val="1"/>
        <w:color w:val="cccccc"/>
        <w:sz w:val="18"/>
        <w:szCs w:val="18"/>
        <w:rtl w:val="0"/>
      </w:rPr>
      <w:t xml:space="preserve">mAI</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ind w:left="0" w:firstLine="0"/>
      <w:rPr/>
    </w:pPr>
    <w:r w:rsidDel="00000000" w:rsidR="00000000" w:rsidRPr="00000000">
      <w:rPr>
        <w:rFonts w:ascii="IBM Plex Serif" w:cs="IBM Plex Serif" w:eastAsia="IBM Plex Serif" w:hAnsi="IBM Plex Serif"/>
        <w:b w:val="1"/>
        <w:color w:val="d9d9d9"/>
        <w:sz w:val="18"/>
        <w:szCs w:val="18"/>
        <w:rtl w:val="0"/>
      </w:rPr>
      <w:t xml:space="preserve">Grupo 5</w:t>
      <w:tab/>
      <w:tab/>
      <w:tab/>
      <w:tab/>
      <w:tab/>
      <w:tab/>
      <w:t xml:space="preserve"> </w:t>
      <w:tab/>
      <w:t xml:space="preserve">   Gestión de la Configuración del</w:t>
    </w:r>
    <w:r w:rsidDel="00000000" w:rsidR="00000000" w:rsidRPr="00000000">
      <w:rPr>
        <w:b w:val="1"/>
        <w:color w:val="d9d9d9"/>
        <w:sz w:val="18"/>
        <w:szCs w:val="18"/>
        <w:rtl w:val="0"/>
      </w:rPr>
      <w:t xml:space="preserve"> </w:t>
    </w:r>
    <w:r w:rsidDel="00000000" w:rsidR="00000000" w:rsidRPr="00000000">
      <w:rPr>
        <w:rFonts w:ascii="IBM Plex Serif" w:cs="IBM Plex Serif" w:eastAsia="IBM Plex Serif" w:hAnsi="IBM Plex Serif"/>
        <w:b w:val="1"/>
        <w:color w:val="d9d9d9"/>
        <w:sz w:val="18"/>
        <w:szCs w:val="18"/>
        <w:rtl w:val="0"/>
      </w:rPr>
      <w:t xml:space="preserve">Software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BM Plex Serif" w:cs="IBM Plex Serif" w:eastAsia="IBM Plex Serif" w:hAnsi="IBM Plex Serif"/>
        <w:sz w:val="22"/>
        <w:szCs w:val="22"/>
        <w:lang w:val="es_419"/>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IBM Plex Serif" w:cs="IBM Plex Serif" w:eastAsia="IBM Plex Serif" w:hAnsi="IBM Plex Serif"/>
      <w:b w:val="1"/>
    </w:rPr>
  </w:style>
  <w:style w:type="paragraph" w:styleId="Heading2">
    <w:name w:val="heading 2"/>
    <w:basedOn w:val="Normal"/>
    <w:next w:val="Normal"/>
    <w:pPr>
      <w:keepNext w:val="1"/>
      <w:keepLines w:val="1"/>
    </w:pPr>
    <w:rPr>
      <w:rFonts w:ascii="IBM Plex Serif" w:cs="IBM Plex Serif" w:eastAsia="IBM Plex Serif" w:hAnsi="IBM Plex Serif"/>
      <w:b w:val="1"/>
      <w:i w:val="1"/>
    </w:rPr>
  </w:style>
  <w:style w:type="paragraph" w:styleId="Heading3">
    <w:name w:val="heading 3"/>
    <w:basedOn w:val="Normal"/>
    <w:next w:val="Normal"/>
    <w:pPr>
      <w:keepNext w:val="1"/>
      <w:keepLines w:val="1"/>
      <w:jc w:val="both"/>
    </w:pPr>
    <w:rPr>
      <w:rFonts w:ascii="IBM Plex Serif" w:cs="IBM Plex Serif" w:eastAsia="IBM Plex Serif" w:hAnsi="IBM Plex Serif"/>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mantine.dev/" TargetMode="External"/><Relationship Id="rId8" Type="http://schemas.openxmlformats.org/officeDocument/2006/relationships/hyperlink" Target="https://tinyurl.com/uxuipractic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 Id="rId11" Type="http://schemas.openxmlformats.org/officeDocument/2006/relationships/font" Target="fonts/IBMPlexSerifMedium-italic.ttf"/><Relationship Id="rId10" Type="http://schemas.openxmlformats.org/officeDocument/2006/relationships/font" Target="fonts/IBMPlexSerifMedium-bold.ttf"/><Relationship Id="rId12" Type="http://schemas.openxmlformats.org/officeDocument/2006/relationships/font" Target="fonts/IBMPlexSerifMedium-boldItalic.ttf"/><Relationship Id="rId9" Type="http://schemas.openxmlformats.org/officeDocument/2006/relationships/font" Target="fonts/IBMPlexSerifMedium-regular.ttf"/><Relationship Id="rId5" Type="http://schemas.openxmlformats.org/officeDocument/2006/relationships/font" Target="fonts/IBMPlexSerif-regular.ttf"/><Relationship Id="rId6" Type="http://schemas.openxmlformats.org/officeDocument/2006/relationships/font" Target="fonts/IBMPlexSerif-bold.ttf"/><Relationship Id="rId7" Type="http://schemas.openxmlformats.org/officeDocument/2006/relationships/font" Target="fonts/IBMPlexSerif-italic.ttf"/><Relationship Id="rId8" Type="http://schemas.openxmlformats.org/officeDocument/2006/relationships/font" Target="fonts/IBMPlex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