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2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Acta de Cierre del Proyecto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leader="dot" w:pos="12000"/>
        </w:tabs>
        <w:spacing w:after="0" w:before="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vx6dt5t2d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 de cierre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eskiix0cf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Aceptación de los productos o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jftdfly9m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 proyecto aceptados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9unw2bfl2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200" w:before="200" w:lineRule="auto"/>
        <w:rPr>
          <w:rFonts w:ascii="IBM Plex Serif" w:cs="IBM Plex Serif" w:eastAsia="IBM Plex Serif" w:hAnsi="IBM Plex Serif"/>
        </w:rPr>
      </w:pPr>
      <w:bookmarkStart w:colFirst="0" w:colLast="0" w:name="_7tw7ohdx5aq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2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11">
      <w:pPr>
        <w:pStyle w:val="Heading2"/>
        <w:spacing w:after="200" w:before="200" w:lineRule="auto"/>
        <w:rPr/>
      </w:pPr>
      <w:bookmarkStart w:colFirst="0" w:colLast="0" w:name="_phvx6dt5t2dn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5955"/>
        <w:tblGridChange w:id="0">
          <w:tblGrid>
            <w:gridCol w:w="2910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2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Empresa /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MAI-solutions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4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TPC (toolkit de productividad corporativa)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Fecha de</w:t>
            </w:r>
            <w:r w:rsidDel="00000000" w:rsidR="00000000" w:rsidRPr="00000000">
              <w:rPr>
                <w:rtl w:val="0"/>
              </w:rPr>
              <w:t xml:space="preserve">l tercer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22/05/2024 - 13/06/2024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8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Kalhec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Patrocinador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Martín García Oyola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C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Zegarra Medina, José Antonio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spacing w:after="200" w:before="200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Patrocinador / Patrocinadores</w:t>
      </w:r>
    </w:p>
    <w:tbl>
      <w:tblPr>
        <w:tblStyle w:val="Table2"/>
        <w:tblW w:w="8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3345"/>
        <w:gridCol w:w="3390"/>
        <w:tblGridChange w:id="0">
          <w:tblGrid>
            <w:gridCol w:w="1845"/>
            <w:gridCol w:w="3345"/>
            <w:gridCol w:w="3390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1347.75999999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Martín García Oyola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 de área de proyectos internos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Departamento de inversión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7.75999999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  <w:t xml:space="preserve">Verónica Zárate Toscano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Jefatura de área de recursos humanos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 de inversión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200" w:before="200" w:lineRule="auto"/>
        <w:rPr/>
      </w:pPr>
      <w:bookmarkStart w:colFirst="0" w:colLast="0" w:name="_hkeik24xmz3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before="200" w:lineRule="auto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Razón de cierre</w:t>
      </w:r>
    </w:p>
    <w:p w:rsidR="00000000" w:rsidDel="00000000" w:rsidP="00000000" w:rsidRDefault="00000000" w:rsidRPr="00000000" w14:paraId="0000002A">
      <w:pPr>
        <w:tabs>
          <w:tab w:val="left" w:leader="none" w:pos="-720"/>
          <w:tab w:val="left" w:leader="none" w:pos="0"/>
          <w:tab w:val="left" w:leader="none" w:pos="720"/>
        </w:tabs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medio de la presente, se da cierre formal al proyecto, por las razones especificadas en la siguiente ficha:</w:t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  <w:sz w:val="40"/>
                <w:szCs w:val="40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40"/>
                <w:szCs w:val="40"/>
                <w:rtl w:val="0"/>
              </w:rPr>
              <w:t xml:space="preserve">X</w:t>
            </w:r>
          </w:p>
        </w:tc>
      </w:tr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-720"/>
              </w:tabs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before="200" w:lineRule="auto"/>
        <w:rPr/>
      </w:pPr>
      <w:bookmarkStart w:colFirst="0" w:colLast="0" w:name="_smeskiix0cf0" w:id="7"/>
      <w:bookmarkEnd w:id="7"/>
      <w:r w:rsidDel="00000000" w:rsidR="00000000" w:rsidRPr="00000000">
        <w:rPr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38">
      <w:pPr>
        <w:pStyle w:val="Heading2"/>
        <w:spacing w:after="200" w:before="200" w:lineRule="auto"/>
        <w:rPr/>
      </w:pPr>
      <w:bookmarkStart w:colFirst="0" w:colLast="0" w:name="_dtjftdfly9mj" w:id="8"/>
      <w:bookmarkEnd w:id="8"/>
      <w:r w:rsidDel="00000000" w:rsidR="00000000" w:rsidRPr="00000000">
        <w:rPr>
          <w:rtl w:val="0"/>
        </w:rPr>
        <w:t xml:space="preserve">Entregables de proyecto aceptados</w:t>
      </w:r>
    </w:p>
    <w:tbl>
      <w:tblPr>
        <w:tblStyle w:val="Table4"/>
        <w:tblW w:w="6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0"/>
        <w:gridCol w:w="1860"/>
        <w:tblGridChange w:id="0">
          <w:tblGrid>
            <w:gridCol w:w="450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39">
            <w:pPr>
              <w:spacing w:after="200" w:before="200" w:line="240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Entregable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3A">
            <w:pPr>
              <w:spacing w:after="200" w:before="200" w:line="240" w:lineRule="auto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Aceptación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(Si o No)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Proyecto (PROJECT CHARTER)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Guía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la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del Primer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  <w:t xml:space="preserve"> Página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Autenticación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del Segundo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Guía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Pruebas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del Tercer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de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F">
      <w:pPr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7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7D">
      <w:pPr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w49unw2bfl2w" w:id="9"/>
      <w:bookmarkEnd w:id="9"/>
      <w:r w:rsidDel="00000000" w:rsidR="00000000" w:rsidRPr="00000000">
        <w:rPr>
          <w:rtl w:val="0"/>
        </w:rPr>
        <w:t xml:space="preserve">Aprobaciones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Martín García Oyola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771650" cy="4826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73160" y="1881325"/>
                                <a:ext cx="2820525" cy="753225"/>
                              </a:xfrm>
                              <a:custGeom>
                                <a:rect b="b" l="l" r="r" t="t"/>
                                <a:pathLst>
                                  <a:path extrusionOk="0" h="30129" w="112821">
                                    <a:moveTo>
                                      <a:pt x="16753" y="0"/>
                                    </a:moveTo>
                                    <a:cubicBezTo>
                                      <a:pt x="18464" y="9126"/>
                                      <a:pt x="19397" y="20750"/>
                                      <a:pt x="13151" y="27620"/>
                                    </a:cubicBezTo>
                                    <a:cubicBezTo>
                                      <a:pt x="11347" y="29604"/>
                                      <a:pt x="7689" y="29269"/>
                                      <a:pt x="5145" y="28421"/>
                                    </a:cubicBezTo>
                                    <a:cubicBezTo>
                                      <a:pt x="75" y="26731"/>
                                      <a:pt x="876" y="14099"/>
                                      <a:pt x="5946" y="12409"/>
                                    </a:cubicBezTo>
                                    <a:cubicBezTo>
                                      <a:pt x="10257" y="10972"/>
                                      <a:pt x="15039" y="12708"/>
                                      <a:pt x="19555" y="13210"/>
                                    </a:cubicBezTo>
                                    <a:cubicBezTo>
                                      <a:pt x="24187" y="13724"/>
                                      <a:pt x="28309" y="9904"/>
                                      <a:pt x="32364" y="7606"/>
                                    </a:cubicBezTo>
                                    <a:cubicBezTo>
                                      <a:pt x="35360" y="5908"/>
                                      <a:pt x="39061" y="4591"/>
                                      <a:pt x="40770" y="1602"/>
                                    </a:cubicBezTo>
                                    <a:cubicBezTo>
                                      <a:pt x="41084" y="1053"/>
                                      <a:pt x="40198" y="1123"/>
                                      <a:pt x="39570" y="1201"/>
                                    </a:cubicBezTo>
                                    <a:cubicBezTo>
                                      <a:pt x="31486" y="2211"/>
                                      <a:pt x="26791" y="12672"/>
                                      <a:pt x="18755" y="14010"/>
                                    </a:cubicBezTo>
                                    <a:cubicBezTo>
                                      <a:pt x="12885" y="14987"/>
                                      <a:pt x="12067" y="-1863"/>
                                      <a:pt x="6746" y="801"/>
                                    </a:cubicBezTo>
                                    <a:cubicBezTo>
                                      <a:pt x="5350" y="1500"/>
                                      <a:pt x="7622" y="3821"/>
                                      <a:pt x="8347" y="5204"/>
                                    </a:cubicBezTo>
                                    <a:cubicBezTo>
                                      <a:pt x="11233" y="10714"/>
                                      <a:pt x="19155" y="14195"/>
                                      <a:pt x="19155" y="20415"/>
                                    </a:cubicBezTo>
                                    <a:cubicBezTo>
                                      <a:pt x="19155" y="21082"/>
                                      <a:pt x="17807" y="20551"/>
                                      <a:pt x="17154" y="20415"/>
                                    </a:cubicBezTo>
                                    <a:cubicBezTo>
                                      <a:pt x="12321" y="19408"/>
                                      <a:pt x="7517" y="17903"/>
                                      <a:pt x="3144" y="15612"/>
                                    </a:cubicBezTo>
                                    <a:cubicBezTo>
                                      <a:pt x="1714" y="14863"/>
                                      <a:pt x="-798" y="15153"/>
                                      <a:pt x="342" y="14010"/>
                                    </a:cubicBezTo>
                                    <a:cubicBezTo>
                                      <a:pt x="382" y="13970"/>
                                      <a:pt x="6893" y="16667"/>
                                      <a:pt x="8748" y="17213"/>
                                    </a:cubicBezTo>
                                    <a:cubicBezTo>
                                      <a:pt x="18995" y="20227"/>
                                      <a:pt x="29289" y="24418"/>
                                      <a:pt x="39970" y="24418"/>
                                    </a:cubicBezTo>
                                    <a:cubicBezTo>
                                      <a:pt x="40991" y="24418"/>
                                      <a:pt x="38962" y="24250"/>
                                      <a:pt x="37968" y="24018"/>
                                    </a:cubicBezTo>
                                    <a:cubicBezTo>
                                      <a:pt x="32327" y="22702"/>
                                      <a:pt x="21733" y="25378"/>
                                      <a:pt x="21157" y="19614"/>
                                    </a:cubicBezTo>
                                    <a:cubicBezTo>
                                      <a:pt x="20783" y="15875"/>
                                      <a:pt x="20999" y="10487"/>
                                      <a:pt x="24359" y="8807"/>
                                    </a:cubicBezTo>
                                    <a:cubicBezTo>
                                      <a:pt x="27155" y="7409"/>
                                      <a:pt x="28362" y="13610"/>
                                      <a:pt x="30363" y="16012"/>
                                    </a:cubicBezTo>
                                    <a:cubicBezTo>
                                      <a:pt x="35798" y="22535"/>
                                      <a:pt x="44011" y="27386"/>
                                      <a:pt x="52379" y="28821"/>
                                    </a:cubicBezTo>
                                    <a:cubicBezTo>
                                      <a:pt x="72575" y="32284"/>
                                      <a:pt x="95775" y="28983"/>
                                      <a:pt x="112822" y="17613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71650" cy="4826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1650" cy="48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Verónica Zárate Toscano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771650" cy="610634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603139" y="1700482"/>
                                <a:ext cx="2320350" cy="1191550"/>
                              </a:xfrm>
                              <a:custGeom>
                                <a:rect b="b" l="l" r="r" t="t"/>
                                <a:pathLst>
                                  <a:path extrusionOk="0" h="47662" w="92814">
                                    <a:moveTo>
                                      <a:pt x="27167" y="34854"/>
                                    </a:moveTo>
                                    <a:cubicBezTo>
                                      <a:pt x="22856" y="23356"/>
                                      <a:pt x="26916" y="710"/>
                                      <a:pt x="39176" y="29"/>
                                    </a:cubicBezTo>
                                    <a:cubicBezTo>
                                      <a:pt x="43312" y="-201"/>
                                      <a:pt x="42378" y="7895"/>
                                      <a:pt x="42378" y="12038"/>
                                    </a:cubicBezTo>
                                    <a:cubicBezTo>
                                      <a:pt x="42378" y="23445"/>
                                      <a:pt x="39649" y="44952"/>
                                      <a:pt x="28368" y="43260"/>
                                    </a:cubicBezTo>
                                    <a:cubicBezTo>
                                      <a:pt x="23292" y="42498"/>
                                      <a:pt x="18522" y="34052"/>
                                      <a:pt x="21163" y="29650"/>
                                    </a:cubicBezTo>
                                    <a:cubicBezTo>
                                      <a:pt x="23224" y="26216"/>
                                      <a:pt x="27754" y="24860"/>
                                      <a:pt x="31570" y="23646"/>
                                    </a:cubicBezTo>
                                    <a:cubicBezTo>
                                      <a:pt x="32867" y="23233"/>
                                      <a:pt x="36259" y="23272"/>
                                      <a:pt x="35573" y="24447"/>
                                    </a:cubicBezTo>
                                    <a:cubicBezTo>
                                      <a:pt x="30056" y="33904"/>
                                      <a:pt x="11392" y="32370"/>
                                      <a:pt x="2750" y="25648"/>
                                    </a:cubicBezTo>
                                    <a:cubicBezTo>
                                      <a:pt x="884" y="24196"/>
                                      <a:pt x="-1046" y="20382"/>
                                      <a:pt x="749" y="18843"/>
                                    </a:cubicBezTo>
                                    <a:cubicBezTo>
                                      <a:pt x="3614" y="16387"/>
                                      <a:pt x="8473" y="18992"/>
                                      <a:pt x="11957" y="20444"/>
                                    </a:cubicBezTo>
                                    <a:cubicBezTo>
                                      <a:pt x="18819" y="23303"/>
                                      <a:pt x="25750" y="26008"/>
                                      <a:pt x="32771" y="28450"/>
                                    </a:cubicBezTo>
                                    <a:cubicBezTo>
                                      <a:pt x="112348" y="56130"/>
                                      <a:pt x="-22195" y="10531"/>
                                      <a:pt x="65194" y="40458"/>
                                    </a:cubicBezTo>
                                    <a:cubicBezTo>
                                      <a:pt x="74196" y="43541"/>
                                      <a:pt x="84895" y="42388"/>
                                      <a:pt x="92814" y="47663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71650" cy="610634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1650" cy="6106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erif" w:cs="IBM Plex Serif" w:eastAsia="IBM Plex Serif" w:hAnsi="IBM Plex Serif"/>
        <w:sz w:val="22"/>
        <w:szCs w:val="22"/>
        <w:lang w:val="es_419"/>
      </w:rPr>
    </w:rPrDefault>
    <w:pPrDefault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