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237" w:rsidRDefault="00A6337D">
      <w:pPr>
        <w:pStyle w:val="Heading1"/>
        <w:ind w:left="324" w:hanging="330"/>
      </w:pPr>
      <w:bookmarkStart w:id="0" w:name="_GoBack"/>
      <w:r>
        <w:t>PROBLEM DEFINITION</w:t>
      </w:r>
    </w:p>
    <w:p w:rsidR="00825237" w:rsidRDefault="00A6337D">
      <w:pPr>
        <w:ind w:left="-3" w:right="14"/>
      </w:pPr>
      <w:r>
        <w:t xml:space="preserve">A Twitter bot is a type of bot software that controls a Twitter account via automated programs and the Twitter API. In this paper, we study the problem of Twitter bot detection to identify Twitter bots that pursue malicious goals since they pose threat to </w:t>
      </w:r>
      <w:r>
        <w:t>the online discourse.</w:t>
      </w:r>
    </w:p>
    <w:p w:rsidR="00825237" w:rsidRDefault="00A6337D">
      <w:pPr>
        <w:ind w:left="-6" w:right="14" w:firstLine="206"/>
      </w:pPr>
      <w:r>
        <w:t xml:space="preserve">Let </w:t>
      </w:r>
      <w:r>
        <w:rPr>
          <w:i/>
        </w:rPr>
        <w:t>𝑈</w:t>
      </w:r>
      <w:r>
        <w:rPr>
          <w:i/>
        </w:rPr>
        <w:t xml:space="preserve"> </w:t>
      </w:r>
      <w:r>
        <w:t xml:space="preserve">be a Twitter user, consisting of three aspects of user information: semantic </w:t>
      </w:r>
      <w:r>
        <w:rPr>
          <w:i/>
        </w:rPr>
        <w:t>𝑇</w:t>
      </w:r>
      <w:r>
        <w:t xml:space="preserve">, property </w:t>
      </w:r>
      <w:r>
        <w:rPr>
          <w:i/>
        </w:rPr>
        <w:t>𝑃</w:t>
      </w:r>
      <w:r>
        <w:rPr>
          <w:i/>
        </w:rPr>
        <w:t xml:space="preserve"> </w:t>
      </w:r>
      <w:r>
        <w:t xml:space="preserve">and neighborhood </w:t>
      </w:r>
      <w:r>
        <w:rPr>
          <w:i/>
        </w:rPr>
        <w:t>𝑁</w:t>
      </w:r>
      <w:r>
        <w:t xml:space="preserve">. Semantic information of Twitter users </w:t>
      </w:r>
      <w:proofErr w:type="gramStart"/>
      <w:r>
        <w:t>are</w:t>
      </w:r>
      <w:proofErr w:type="gramEnd"/>
      <w:r>
        <w:t xml:space="preserve"> user-generated natural language posts and texts, such as tweets and rep</w:t>
      </w:r>
      <w:r>
        <w:t>lies. Property information of Twitter users are numerical and categorical user features such as follower count and whether the user is verified. Neighborhood information of Twitter users are their followers and followings, which form the graph structure of</w:t>
      </w:r>
      <w:r>
        <w:t xml:space="preserve"> the Twittersphere. Similar to previous research [14, 32], we treat Twitter bot detection as a binary classification problem, where each user could either be human</w:t>
      </w:r>
    </w:p>
    <w:p w:rsidR="00825237" w:rsidRDefault="00A6337D">
      <w:pPr>
        <w:ind w:left="-3" w:right="14"/>
      </w:pPr>
      <w:r>
        <w:t>(</w:t>
      </w:r>
      <w:r>
        <w:rPr>
          <w:i/>
        </w:rPr>
        <w:t>𝑦</w:t>
      </w:r>
      <w:r>
        <w:rPr>
          <w:i/>
        </w:rPr>
        <w:t xml:space="preserve"> </w:t>
      </w:r>
      <w:r>
        <w:t xml:space="preserve">= </w:t>
      </w:r>
      <w:r>
        <w:t>0) or bot (</w:t>
      </w:r>
      <w:r>
        <w:rPr>
          <w:i/>
        </w:rPr>
        <w:t>𝑦</w:t>
      </w:r>
      <w:r>
        <w:rPr>
          <w:i/>
        </w:rPr>
        <w:t xml:space="preserve"> </w:t>
      </w:r>
      <w:r>
        <w:t xml:space="preserve">= </w:t>
      </w:r>
      <w:r>
        <w:t>1).</w:t>
      </w:r>
    </w:p>
    <w:p w:rsidR="00825237" w:rsidRDefault="00A6337D">
      <w:pPr>
        <w:spacing w:after="343"/>
        <w:ind w:left="-6" w:right="14" w:firstLine="199"/>
      </w:pPr>
      <w:r>
        <w:t>Formally, we can define the Twitter bot detection task as follows.</w:t>
      </w:r>
      <w:r>
        <w:t xml:space="preserve"> Given a Twitter user </w:t>
      </w:r>
      <w:r>
        <w:rPr>
          <w:i/>
        </w:rPr>
        <w:t>𝑈</w:t>
      </w:r>
      <w:r>
        <w:rPr>
          <w:i/>
        </w:rPr>
        <w:t xml:space="preserve"> </w:t>
      </w:r>
      <w:r>
        <w:t xml:space="preserve">and its information </w:t>
      </w:r>
      <w:r>
        <w:rPr>
          <w:i/>
        </w:rPr>
        <w:t>𝑇</w:t>
      </w:r>
      <w:r>
        <w:t xml:space="preserve">, </w:t>
      </w:r>
      <w:r>
        <w:rPr>
          <w:i/>
        </w:rPr>
        <w:t>𝑃</w:t>
      </w:r>
      <w:r>
        <w:rPr>
          <w:i/>
        </w:rPr>
        <w:t xml:space="preserve"> </w:t>
      </w:r>
      <w:r>
        <w:t xml:space="preserve">and </w:t>
      </w:r>
      <w:r>
        <w:rPr>
          <w:i/>
        </w:rPr>
        <w:t>𝑁</w:t>
      </w:r>
      <w:r>
        <w:t xml:space="preserve">, learn a bot detection function </w:t>
      </w:r>
      <w:proofErr w:type="gramStart"/>
      <w:r>
        <w:rPr>
          <w:i/>
        </w:rPr>
        <w:t>𝑓</w:t>
      </w:r>
      <w:r>
        <w:rPr>
          <w:i/>
        </w:rPr>
        <w:t xml:space="preserve"> </w:t>
      </w:r>
      <w:r>
        <w:t>:</w:t>
      </w:r>
      <w:proofErr w:type="gramEnd"/>
      <w:r>
        <w:t xml:space="preserve"> </w:t>
      </w:r>
      <w:r>
        <w:rPr>
          <w:i/>
        </w:rPr>
        <w:t>𝑓</w:t>
      </w:r>
      <w:r>
        <w:rPr>
          <w:i/>
        </w:rPr>
        <w:t xml:space="preserve"> </w:t>
      </w:r>
      <w:r>
        <w:t>(</w:t>
      </w:r>
      <w:r>
        <w:rPr>
          <w:i/>
        </w:rPr>
        <w:t>𝑈</w:t>
      </w:r>
      <w:r>
        <w:rPr>
          <w:i/>
        </w:rPr>
        <w:t xml:space="preserve"> </w:t>
      </w:r>
      <w:r>
        <w:t>(</w:t>
      </w:r>
      <w:r>
        <w:rPr>
          <w:i/>
        </w:rPr>
        <w:t>𝑇</w:t>
      </w:r>
      <w:r>
        <w:rPr>
          <w:i/>
        </w:rPr>
        <w:t xml:space="preserve">, </w:t>
      </w:r>
      <w:r>
        <w:rPr>
          <w:i/>
        </w:rPr>
        <w:t>𝑃</w:t>
      </w:r>
      <w:r>
        <w:rPr>
          <w:i/>
        </w:rPr>
        <w:t xml:space="preserve">, </w:t>
      </w:r>
      <w:r>
        <w:rPr>
          <w:i/>
        </w:rPr>
        <w:t>𝑁</w:t>
      </w:r>
      <w:r>
        <w:t xml:space="preserve">)) → </w:t>
      </w:r>
      <w:r>
        <w:rPr>
          <w:i/>
        </w:rPr>
        <w:t>𝑦</w:t>
      </w:r>
      <w:r>
        <w:t>ˆ, such that</w:t>
      </w:r>
      <w:r>
        <w:rPr>
          <w:i/>
        </w:rPr>
        <w:t>𝑦</w:t>
      </w:r>
      <w:r>
        <w:t xml:space="preserve">ˆ approximates ground truth </w:t>
      </w:r>
      <w:r>
        <w:rPr>
          <w:i/>
        </w:rPr>
        <w:t>𝑦</w:t>
      </w:r>
      <w:r>
        <w:rPr>
          <w:i/>
        </w:rPr>
        <w:t xml:space="preserve"> </w:t>
      </w:r>
      <w:r>
        <w:t>to maximize prediction accuracy.</w:t>
      </w:r>
    </w:p>
    <w:p w:rsidR="00825237" w:rsidRDefault="00A6337D">
      <w:pPr>
        <w:pStyle w:val="Heading1"/>
        <w:ind w:left="324" w:hanging="330"/>
      </w:pPr>
      <w:r>
        <w:t>DATA COLLECTION</w:t>
      </w:r>
    </w:p>
    <w:p w:rsidR="00825237" w:rsidRDefault="00A6337D">
      <w:pPr>
        <w:ind w:left="-3" w:right="14"/>
      </w:pPr>
      <w:r>
        <w:t>In this section, we present how to select Twitter users from the</w:t>
      </w:r>
    </w:p>
    <w:p w:rsidR="00825237" w:rsidRDefault="00A6337D">
      <w:pPr>
        <w:spacing w:after="3" w:line="248" w:lineRule="auto"/>
        <w:ind w:left="-3" w:right="7"/>
        <w:jc w:val="left"/>
      </w:pPr>
      <w:r>
        <w:t>Twittersphere, retrieve multi-modal user information and derive trustworthy annotations to construct the benchmark. TwiBot-20 was collected in this way from July to September 2020.</w:t>
      </w:r>
    </w:p>
    <w:p w:rsidR="00825237" w:rsidRDefault="00A6337D">
      <w:pPr>
        <w:pStyle w:val="Heading2"/>
        <w:ind w:left="490" w:hanging="496"/>
      </w:pPr>
      <w:r>
        <w:t>User Selection Strategy</w:t>
      </w:r>
    </w:p>
    <w:p w:rsidR="00825237" w:rsidRDefault="00A6337D">
      <w:pPr>
        <w:ind w:left="-3" w:right="14"/>
      </w:pPr>
      <w:r>
        <w:t>To diversify user sampling in order to better approximate the current Twittersphere, TwiBot-20 employs breadth-first search starting from different root nodes, which is named seed users in our algorithm. Specifically, we treat users</w:t>
      </w:r>
      <w:r>
        <w:t xml:space="preserve"> on the Twittersphere as nodes and their follow relationship as edges to form a directed graph. For each seed user, it is placed in layer 0 of that user cluster. Users in layer </w:t>
      </w:r>
      <w:r>
        <w:rPr>
          <w:i/>
        </w:rPr>
        <w:t>𝑖</w:t>
      </w:r>
      <w:r>
        <w:rPr>
          <w:i/>
        </w:rPr>
        <w:t xml:space="preserve"> </w:t>
      </w:r>
      <w:r>
        <w:t xml:space="preserve">+ </w:t>
      </w:r>
      <w:r>
        <w:t xml:space="preserve">1 are expanded from users in layer </w:t>
      </w:r>
      <w:r>
        <w:rPr>
          <w:i/>
        </w:rPr>
        <w:t>𝑖</w:t>
      </w:r>
      <w:r>
        <w:rPr>
          <w:i/>
        </w:rPr>
        <w:t xml:space="preserve"> </w:t>
      </w:r>
      <w:r>
        <w:t>along their follow edges. Such an ex</w:t>
      </w:r>
      <w:r>
        <w:t>pansion process ends at layer 3 and forms a user cluster. TwiBot-20 merges user clusters starting from different seed users to form the complete dataset. TwiBot-20’s user selection strategy is presented in Algorithm 1, following notations defined in Sectio</w:t>
      </w:r>
      <w:r>
        <w:t>n 3.</w:t>
      </w:r>
    </w:p>
    <w:p w:rsidR="00825237" w:rsidRDefault="00A6337D">
      <w:pPr>
        <w:spacing w:after="334"/>
        <w:ind w:left="-6" w:right="14" w:firstLine="199"/>
      </w:pPr>
      <w:r>
        <w:t>TwiBot-20’s user selection strategy is different from previous benchmarks in that it does not demand selected users to follow any given pattern or restrict them to any specific topic. Such a relaxation of constraints is crucial for TwiBot-20 to better</w:t>
      </w:r>
      <w:r>
        <w:t xml:space="preserve"> represent the diversified Twittersphere and evaluate bot detectors’ ability to capture multiple types of bots that co-exist on online social media.</w:t>
      </w:r>
    </w:p>
    <w:p w:rsidR="00825237" w:rsidRDefault="00A6337D">
      <w:pPr>
        <w:pStyle w:val="Heading2"/>
        <w:ind w:left="490" w:hanging="496"/>
      </w:pPr>
      <w:r>
        <w:t>Seed User Selection</w:t>
      </w:r>
    </w:p>
    <w:p w:rsidR="00825237" w:rsidRDefault="00A6337D">
      <w:pPr>
        <w:spacing w:after="162"/>
        <w:ind w:left="-3" w:right="14"/>
      </w:pPr>
      <w:r>
        <w:t>As detailed in Section 4.1, TwiBot-20 is obtained by controlled breadth-first search ex</w:t>
      </w:r>
      <w:r>
        <w:t xml:space="preserve">panded from different seed users. The goal </w:t>
      </w:r>
      <w:r>
        <w:t xml:space="preserve">of TwiBot-20 is to accurately represent the diversified Twittersphere to benchmark generalizable bot detection, thus the search algorithm should be designed to cover diverse user groups and communities. Politics, </w:t>
      </w:r>
      <w:r>
        <w:t>business, entertainment and sports are four interest domains that would overlap with everyone’s online engagements. Thus, unlike previous bot detection datasets which are limited to a specific topic or hashtag, TwiBot-20 selects diverse seed users from the</w:t>
      </w:r>
      <w:r>
        <w:t>se domains to result in a representative collection of the current Twittersphere. Specifically, 40 seed users come from these four distinct disciplines:</w:t>
      </w:r>
    </w:p>
    <w:p w:rsidR="00825237" w:rsidRDefault="00A6337D">
      <w:pPr>
        <w:numPr>
          <w:ilvl w:val="0"/>
          <w:numId w:val="2"/>
        </w:numPr>
        <w:ind w:right="14" w:hanging="169"/>
      </w:pPr>
      <w:r>
        <w:t>Politics: We select national and local politicians from diverse ideological spectrum, major media outle</w:t>
      </w:r>
      <w:r>
        <w:t xml:space="preserve">ts and influential political commentators as seed users. e.g. </w:t>
      </w:r>
      <w:r>
        <w:t>@</w:t>
      </w:r>
      <w:proofErr w:type="spellStart"/>
      <w:r>
        <w:t>SpeakerPelosi</w:t>
      </w:r>
      <w:proofErr w:type="spellEnd"/>
    </w:p>
    <w:p w:rsidR="00825237" w:rsidRDefault="00A6337D">
      <w:pPr>
        <w:numPr>
          <w:ilvl w:val="0"/>
          <w:numId w:val="2"/>
        </w:numPr>
        <w:ind w:right="14" w:hanging="169"/>
      </w:pPr>
      <w:r>
        <w:t xml:space="preserve">Business: We select corporations, financial media outlets and influential business pundits as seed users. e.g. </w:t>
      </w:r>
      <w:r>
        <w:t>@amazon</w:t>
      </w:r>
    </w:p>
    <w:p w:rsidR="00825237" w:rsidRDefault="00A6337D">
      <w:pPr>
        <w:numPr>
          <w:ilvl w:val="0"/>
          <w:numId w:val="2"/>
        </w:numPr>
        <w:ind w:right="14" w:hanging="169"/>
      </w:pPr>
      <w:r>
        <w:t>Entertainment: We select well-known artists, comedians and v</w:t>
      </w:r>
      <w:r>
        <w:t xml:space="preserve">ideo game streamers as seed users. e.g. </w:t>
      </w:r>
      <w:r>
        <w:t>@</w:t>
      </w:r>
      <w:proofErr w:type="spellStart"/>
      <w:r>
        <w:t>samsmith</w:t>
      </w:r>
      <w:proofErr w:type="spellEnd"/>
    </w:p>
    <w:p w:rsidR="00825237" w:rsidRDefault="00A6337D">
      <w:pPr>
        <w:numPr>
          <w:ilvl w:val="0"/>
          <w:numId w:val="2"/>
        </w:numPr>
        <w:spacing w:after="142"/>
        <w:ind w:right="14" w:hanging="169"/>
      </w:pPr>
      <w:r>
        <w:t xml:space="preserve">Sports: We select athletes, sports team and sports news outlets from various types of sports as seed users. e.g. </w:t>
      </w:r>
      <w:r>
        <w:t>@StephenCurry30</w:t>
      </w:r>
    </w:p>
    <w:p w:rsidR="00825237" w:rsidRDefault="00A6337D">
      <w:pPr>
        <w:spacing w:after="334"/>
        <w:ind w:left="-6" w:right="14" w:firstLine="206"/>
      </w:pPr>
      <w:r>
        <w:t>In addition to the big names in each area, we also sample users who comment u</w:t>
      </w:r>
      <w:r>
        <w:t>nder relevant tweets and active users in relevant hashtags as seed users to provide another view of the community and ensure exhaustiveness. A complete list of all seed users is available in the full dataset TwiBot-20. By using a large number of seed users</w:t>
      </w:r>
      <w:r>
        <w:t xml:space="preserve"> from different interest domains, we ensure that TwiBot-20 covers diversified users to better represent the current Twittersphere.</w:t>
      </w:r>
    </w:p>
    <w:p w:rsidR="00825237" w:rsidRDefault="00A6337D">
      <w:pPr>
        <w:pStyle w:val="Heading2"/>
        <w:ind w:left="490" w:hanging="496"/>
      </w:pPr>
      <w:r>
        <w:t>User Information Selection</w:t>
      </w:r>
    </w:p>
    <w:p w:rsidR="00825237" w:rsidRDefault="00A6337D">
      <w:pPr>
        <w:ind w:left="-3" w:right="14"/>
      </w:pPr>
      <w:r>
        <w:t xml:space="preserve">After determining the user list of TwiBot-20, we use Twitter API to retrieve all three aspects of </w:t>
      </w:r>
      <w:r>
        <w:t>user information as defined in Section 3.</w:t>
      </w:r>
    </w:p>
    <w:p w:rsidR="00825237" w:rsidRDefault="00A6337D">
      <w:pPr>
        <w:ind w:left="-3" w:right="14"/>
      </w:pPr>
      <w:r>
        <w:t>Specifically,</w:t>
      </w:r>
    </w:p>
    <w:p w:rsidR="00825237" w:rsidRDefault="00A6337D">
      <w:pPr>
        <w:numPr>
          <w:ilvl w:val="0"/>
          <w:numId w:val="3"/>
        </w:numPr>
        <w:ind w:right="7" w:hanging="169"/>
        <w:jc w:val="left"/>
      </w:pPr>
      <w:r>
        <w:t xml:space="preserve">For semantic information, we retrieve the most recent 200 tweets of each Twitter user to capture its recent activities. We preserve the original form of the multilingual tweet content, leaving emojis, </w:t>
      </w:r>
      <w:proofErr w:type="spellStart"/>
      <w:r>
        <w:t>urls</w:t>
      </w:r>
      <w:proofErr w:type="spellEnd"/>
      <w:r>
        <w:t xml:space="preserve"> and retweets intact for bot detectors to process t</w:t>
      </w:r>
      <w:r>
        <w:t>weet text in ways they see fit.</w:t>
      </w:r>
    </w:p>
    <w:p w:rsidR="00825237" w:rsidRDefault="00A6337D">
      <w:pPr>
        <w:numPr>
          <w:ilvl w:val="0"/>
          <w:numId w:val="3"/>
        </w:numPr>
        <w:spacing w:after="3" w:line="248" w:lineRule="auto"/>
        <w:ind w:right="7" w:hanging="169"/>
        <w:jc w:val="left"/>
      </w:pPr>
      <w:r>
        <w:t>For property information, we incorporate all property items provided by the Twitter API for each user. As a result, each user has 38 property items recorded in TwiBot-20.</w:t>
      </w:r>
    </w:p>
    <w:p w:rsidR="00825237" w:rsidRDefault="00A6337D">
      <w:pPr>
        <w:numPr>
          <w:ilvl w:val="0"/>
          <w:numId w:val="3"/>
        </w:numPr>
        <w:spacing w:after="68" w:line="248" w:lineRule="auto"/>
        <w:ind w:right="7" w:hanging="169"/>
        <w:jc w:val="left"/>
      </w:pPr>
      <w:r>
        <w:t>For neighborhood information, we retrieve followers a</w:t>
      </w:r>
      <w:r>
        <w:t>nd followings of a Twitter user and record follow relationships between users in TwiBot-20.</w:t>
      </w:r>
    </w:p>
    <w:p w:rsidR="00825237" w:rsidRDefault="00A6337D">
      <w:pPr>
        <w:spacing w:after="257"/>
        <w:ind w:left="-6" w:right="14" w:firstLine="206"/>
      </w:pPr>
      <w:r>
        <w:t>Existing bot detection datasets mostly leave out neighborhood information and contains only a fraction of property items or user tweets. In comparison, TwiBot-20 in</w:t>
      </w:r>
      <w:r>
        <w:t>cludes all user information that is directly retrievable from the Twitter API so that future bot detectors could leverage whatever user information they see fit without being constrained to the scope of the dataset.</w:t>
      </w:r>
    </w:p>
    <w:p w:rsidR="00825237" w:rsidRDefault="00A6337D">
      <w:pPr>
        <w:pStyle w:val="Heading2"/>
        <w:ind w:left="490" w:hanging="496"/>
      </w:pPr>
      <w:r>
        <w:lastRenderedPageBreak/>
        <w:t>Data Annotation Strategy</w:t>
      </w:r>
    </w:p>
    <w:p w:rsidR="00825237" w:rsidRDefault="00A6337D">
      <w:pPr>
        <w:spacing w:after="88"/>
        <w:ind w:left="-3" w:right="14"/>
      </w:pPr>
      <w:r>
        <w:t>Data annotation</w:t>
      </w:r>
      <w:r>
        <w:t xml:space="preserve"> in Twitter bot detection is particularly difficult and prone to bias, thus we employ a specialized data annotation strategy that draws on conclusions of previous research efforts and emphasize trustworthiness. Firstly, we summarize previous literature and</w:t>
      </w:r>
      <w:r>
        <w:t xml:space="preserve"> propose general criteria to identify a bot user, which are listed as follows:</w:t>
      </w:r>
    </w:p>
    <w:p w:rsidR="00825237" w:rsidRDefault="00A6337D">
      <w:pPr>
        <w:numPr>
          <w:ilvl w:val="0"/>
          <w:numId w:val="4"/>
        </w:numPr>
        <w:ind w:right="14" w:hanging="169"/>
      </w:pPr>
      <w:r>
        <w:t>Lack of pertinence and originality in tweets.</w:t>
      </w:r>
    </w:p>
    <w:p w:rsidR="00825237" w:rsidRDefault="00A6337D">
      <w:pPr>
        <w:numPr>
          <w:ilvl w:val="0"/>
          <w:numId w:val="4"/>
        </w:numPr>
        <w:ind w:right="14" w:hanging="169"/>
      </w:pPr>
      <w:r>
        <w:t>Highly automated activity and API usage.</w:t>
      </w:r>
    </w:p>
    <w:p w:rsidR="00825237" w:rsidRDefault="00A6337D">
      <w:pPr>
        <w:numPr>
          <w:ilvl w:val="0"/>
          <w:numId w:val="4"/>
        </w:numPr>
        <w:ind w:right="14" w:hanging="169"/>
      </w:pPr>
      <w:r>
        <w:t>Tweets containing external link promoting phishing or commercials.</w:t>
      </w:r>
    </w:p>
    <w:p w:rsidR="00825237" w:rsidRDefault="00A6337D">
      <w:pPr>
        <w:numPr>
          <w:ilvl w:val="0"/>
          <w:numId w:val="4"/>
        </w:numPr>
        <w:ind w:right="14" w:hanging="169"/>
      </w:pPr>
      <w:r>
        <w:t>Repeated tweets with id</w:t>
      </w:r>
      <w:r>
        <w:t>entical content.</w:t>
      </w:r>
    </w:p>
    <w:p w:rsidR="00825237" w:rsidRDefault="00A6337D">
      <w:pPr>
        <w:numPr>
          <w:ilvl w:val="0"/>
          <w:numId w:val="4"/>
        </w:numPr>
        <w:spacing w:after="66"/>
        <w:ind w:right="14" w:hanging="169"/>
      </w:pPr>
      <w:r>
        <w:t>Tweets containing irrelevant URLs.</w:t>
      </w:r>
    </w:p>
    <w:p w:rsidR="00825237" w:rsidRDefault="00A6337D">
      <w:pPr>
        <w:ind w:left="-6" w:right="14" w:firstLine="206"/>
      </w:pPr>
      <w:r>
        <w:t>Guided by these standards, we launch a crowdsourcing campaign at Appen</w:t>
      </w:r>
      <w:r>
        <w:rPr>
          <w:sz w:val="22"/>
          <w:vertAlign w:val="superscript"/>
        </w:rPr>
        <w:footnoteReference w:id="1"/>
      </w:r>
      <w:r>
        <w:t>. According to our contract, annotators should be active Twitter users and are required to read a guidelines document in which we exp</w:t>
      </w:r>
      <w:r>
        <w:t>lain the five characteristics of bots along with representative examples. Five annotators are then assigned to each user in TwiBot-20 to determine whether it is operated by bot or not. In order to identify potentially ambiguous cases, annotators are permit</w:t>
      </w:r>
      <w:r>
        <w:t>ted to report ‘undecided’ regarding a specific user. We also designed standard questions where the user is clearly a bot or human. We mix these standard questions with annotation inquiries to evaluate an annotator’s performance. Annotators who are more tha</w:t>
      </w:r>
      <w:r>
        <w:t>n 80% correct on standard questions are considered to be trustworthy and their annotation is adopted. As a result, the crowdsourcing campaign provided 63,816 annotation records and takes approximately 33 days.</w:t>
      </w:r>
    </w:p>
    <w:p w:rsidR="00825237" w:rsidRDefault="00A6337D">
      <w:pPr>
        <w:spacing w:after="88"/>
        <w:ind w:left="-6" w:right="14" w:firstLine="208"/>
      </w:pPr>
      <w:r>
        <w:t>Although we provided annotation guidelines, assigned five annotators to each user and designed standard questions for performance evaluation, the crowdsourcing results are not reliable on its own. We further take the following steps to reach the final anno</w:t>
      </w:r>
      <w:r>
        <w:t>tation of users in TwiBot-20:</w:t>
      </w:r>
    </w:p>
    <w:p w:rsidR="00825237" w:rsidRDefault="00A6337D">
      <w:pPr>
        <w:numPr>
          <w:ilvl w:val="0"/>
          <w:numId w:val="4"/>
        </w:numPr>
        <w:ind w:right="14" w:hanging="169"/>
      </w:pPr>
      <w:r>
        <w:t>Firstly, if a user is verified by Twitter, we consider it to be a genuine user.</w:t>
      </w:r>
    </w:p>
    <w:p w:rsidR="00825237" w:rsidRDefault="00A6337D">
      <w:pPr>
        <w:spacing w:after="41" w:line="250" w:lineRule="auto"/>
        <w:ind w:left="-3" w:right="132" w:hanging="5"/>
      </w:pPr>
      <w:r>
        <w:t xml:space="preserve">Table 1: Statistics of different bot detection benchmarks, from left to right, user count, user property item count, total tweet count and follow </w:t>
      </w:r>
      <w:r>
        <w:t>relationship count in each dataset.</w:t>
      </w:r>
    </w:p>
    <w:p w:rsidR="00825237" w:rsidRDefault="00A6337D">
      <w:pPr>
        <w:numPr>
          <w:ilvl w:val="0"/>
          <w:numId w:val="4"/>
        </w:numPr>
        <w:ind w:right="14" w:hanging="169"/>
      </w:pPr>
      <w:r>
        <w:t>For remaining users, if four out of five annotators believe that it is bot or human, we annotate the user accordingly.</w:t>
      </w:r>
    </w:p>
    <w:p w:rsidR="00825237" w:rsidRDefault="00A6337D">
      <w:pPr>
        <w:numPr>
          <w:ilvl w:val="0"/>
          <w:numId w:val="4"/>
        </w:numPr>
        <w:ind w:right="14" w:hanging="169"/>
      </w:pPr>
      <w:r>
        <w:t>For other users with less mutual agreement from crowdsourcing, we use Twitter’s direct message feature to send out simple questions in natural language, collect answers from users that respond and manually determine their annotations.</w:t>
      </w:r>
    </w:p>
    <w:p w:rsidR="00825237" w:rsidRDefault="00A6337D">
      <w:pPr>
        <w:numPr>
          <w:ilvl w:val="0"/>
          <w:numId w:val="4"/>
        </w:numPr>
        <w:spacing w:after="45"/>
        <w:ind w:right="14" w:hanging="169"/>
      </w:pPr>
      <w:r>
        <w:t>Finally, remaining un</w:t>
      </w:r>
      <w:r>
        <w:t>decided users are manually examined within our research team. To ensure the trustworthiness of these ambiguous users, we discard disputed cases and only annotate when we reach a consensus on a Twitter user.</w:t>
      </w:r>
    </w:p>
    <w:p w:rsidR="00825237" w:rsidRDefault="00A6337D">
      <w:pPr>
        <w:spacing w:after="233"/>
        <w:ind w:left="-6" w:right="123" w:firstLine="199"/>
      </w:pPr>
      <w:r>
        <w:t>Data annotation in Twitter bot detection is heavi</w:t>
      </w:r>
      <w:r>
        <w:t xml:space="preserve">ly influenced by underlying assumptions and subject to bias. We synthesize </w:t>
      </w:r>
      <w:r>
        <w:t>previous literature, launch a carefully designed crowdsourcing campaign and follow a meticulous process to reach the final annotation of a specific user. Further analysis in Section</w:t>
      </w:r>
      <w:r>
        <w:t xml:space="preserve"> 5.4 would further demonstrate the trustworthiness of TwiBot-20 annotations.</w:t>
      </w:r>
    </w:p>
    <w:p w:rsidR="00825237" w:rsidRDefault="00A6337D">
      <w:pPr>
        <w:pStyle w:val="Heading2"/>
        <w:ind w:left="490" w:hanging="496"/>
      </w:pPr>
      <w:r>
        <w:t>Data Release</w:t>
      </w:r>
    </w:p>
    <w:p w:rsidR="00825237" w:rsidRDefault="00A6337D">
      <w:pPr>
        <w:spacing w:after="66" w:line="248" w:lineRule="auto"/>
        <w:ind w:left="-3" w:right="7"/>
        <w:jc w:val="left"/>
      </w:pPr>
      <w:r>
        <w:t>Users in TwiBot-20 are determined in Section 4.1 and Section 4.2. Multi-modal user information is retrieved from Twitter API as described in Section 4.3 and Section 4.4 details how we created trustworthy annotations for TwiBot-20. We release these data acc</w:t>
      </w:r>
      <w:r>
        <w:t>ording to the following process:</w:t>
      </w:r>
    </w:p>
    <w:p w:rsidR="00825237" w:rsidRDefault="00A6337D">
      <w:pPr>
        <w:numPr>
          <w:ilvl w:val="0"/>
          <w:numId w:val="5"/>
        </w:numPr>
        <w:ind w:right="95" w:hanging="169"/>
      </w:pPr>
      <w:r>
        <w:t xml:space="preserve">We conduct a random partition of 7:2:1 on the labeled users to obtain the train, validation and test set of the TwiBot-20 benchmark. In order to preserve the dense graph </w:t>
      </w:r>
      <w:proofErr w:type="gramStart"/>
      <w:r>
        <w:t>structure</w:t>
      </w:r>
      <w:proofErr w:type="gramEnd"/>
      <w:r>
        <w:t xml:space="preserve"> follow relationship forms, we also provide </w:t>
      </w:r>
      <w:r>
        <w:t>unsupervised users as the support set of TwiBot-20.</w:t>
      </w:r>
    </w:p>
    <w:p w:rsidR="00825237" w:rsidRDefault="00A6337D">
      <w:pPr>
        <w:numPr>
          <w:ilvl w:val="0"/>
          <w:numId w:val="5"/>
        </w:numPr>
        <w:ind w:right="95" w:hanging="169"/>
      </w:pPr>
      <w:r>
        <w:t xml:space="preserve">We organize users in each set into the JSON format to obtain four data files: </w:t>
      </w:r>
      <w:proofErr w:type="spellStart"/>
      <w:proofErr w:type="gramStart"/>
      <w:r>
        <w:t>train.json</w:t>
      </w:r>
      <w:proofErr w:type="spellEnd"/>
      <w:proofErr w:type="gramEnd"/>
      <w:r>
        <w:t xml:space="preserve">, </w:t>
      </w:r>
      <w:proofErr w:type="spellStart"/>
      <w:r>
        <w:t>dev.json</w:t>
      </w:r>
      <w:proofErr w:type="spellEnd"/>
      <w:r>
        <w:t xml:space="preserve">, </w:t>
      </w:r>
      <w:proofErr w:type="spellStart"/>
      <w:r>
        <w:t>test.json</w:t>
      </w:r>
      <w:proofErr w:type="spellEnd"/>
      <w:r>
        <w:t xml:space="preserve"> </w:t>
      </w:r>
      <w:r>
        <w:t xml:space="preserve">and </w:t>
      </w:r>
      <w:proofErr w:type="spellStart"/>
      <w:r>
        <w:t>support.json</w:t>
      </w:r>
      <w:proofErr w:type="spellEnd"/>
      <w:r>
        <w:t>. For each user, we provide user IDs to identify users and all their semantic,</w:t>
      </w:r>
      <w:r>
        <w:t xml:space="preserve"> property and neighborhood information collected in Section 4.3.</w:t>
      </w:r>
    </w:p>
    <w:p w:rsidR="00825237" w:rsidRDefault="00A6337D">
      <w:pPr>
        <w:numPr>
          <w:ilvl w:val="0"/>
          <w:numId w:val="5"/>
        </w:numPr>
        <w:spacing w:after="45" w:line="250" w:lineRule="auto"/>
        <w:ind w:right="95" w:hanging="169"/>
      </w:pPr>
      <w:r>
        <w:t xml:space="preserve">We release TwiBot-20 with succinct documentation at </w:t>
      </w:r>
      <w:hyperlink r:id="rId7">
        <w:r>
          <w:t xml:space="preserve">https:// </w:t>
        </w:r>
      </w:hyperlink>
      <w:hyperlink r:id="rId8">
        <w:r>
          <w:t>github.com/</w:t>
        </w:r>
        <w:proofErr w:type="spellStart"/>
        <w:r>
          <w:t>B</w:t>
        </w:r>
        <w:r>
          <w:t>unsenFeng</w:t>
        </w:r>
        <w:proofErr w:type="spellEnd"/>
        <w:r>
          <w:t>/TwiBot-20</w:t>
        </w:r>
      </w:hyperlink>
      <w:hyperlink r:id="rId9">
        <w:r>
          <w:t>.</w:t>
        </w:r>
      </w:hyperlink>
      <w:r>
        <w:t xml:space="preserve"> A small sample of TwiBot20 is directly available at the </w:t>
      </w:r>
      <w:proofErr w:type="spellStart"/>
      <w:r>
        <w:t>github</w:t>
      </w:r>
      <w:proofErr w:type="spellEnd"/>
      <w:r>
        <w:t xml:space="preserve"> repository, while researchers </w:t>
      </w:r>
      <w:r>
        <w:t xml:space="preserve">Table 2: User information modalities that each bot detection dataset contains. The </w:t>
      </w:r>
      <w:r>
        <w:t xml:space="preserve">definition of semantic, property and neighborhood information </w:t>
      </w:r>
      <w:proofErr w:type="gramStart"/>
      <w:r>
        <w:t>follows</w:t>
      </w:r>
      <w:proofErr w:type="gramEnd"/>
      <w:r>
        <w:t xml:space="preserve"> that of Section 3. </w:t>
      </w:r>
      <w:proofErr w:type="spellStart"/>
      <w:r>
        <w:t>varolicwsm</w:t>
      </w:r>
      <w:proofErr w:type="spellEnd"/>
      <w:r>
        <w:t xml:space="preserve"> [27] is considered to not contain any aspect of user information since it is merely a list of user ids that are considered to be bots or human.</w:t>
      </w:r>
    </w:p>
    <w:p w:rsidR="00825237" w:rsidRDefault="00A6337D">
      <w:pPr>
        <w:spacing w:after="233"/>
        <w:ind w:left="178" w:right="14"/>
      </w:pPr>
      <w:r>
        <w:t>are also encouraged to download and use the full TwiBot-20 to facilitate bot detection research.</w:t>
      </w:r>
    </w:p>
    <w:p w:rsidR="00825237" w:rsidRDefault="00A6337D">
      <w:pPr>
        <w:pStyle w:val="Heading1"/>
        <w:ind w:left="324" w:hanging="330"/>
      </w:pPr>
      <w:r>
        <w:t>DATA ANALYSIS</w:t>
      </w:r>
    </w:p>
    <w:p w:rsidR="00825237" w:rsidRDefault="00A6337D">
      <w:pPr>
        <w:spacing w:after="234" w:line="248" w:lineRule="auto"/>
        <w:ind w:left="-3" w:right="7"/>
        <w:jc w:val="left"/>
      </w:pPr>
      <w:r>
        <w:t xml:space="preserve">In this section, we firstly contrast the size of different bot detection datasets. We then compare TwiBot-20’s information completeness and user diversity with other benchmarks. </w:t>
      </w:r>
      <w:proofErr w:type="gramStart"/>
      <w:r>
        <w:t>Finally</w:t>
      </w:r>
      <w:proofErr w:type="gramEnd"/>
      <w:r>
        <w:t xml:space="preserve"> we conduct annotation analysis to demonstrate the trustworthiness of T</w:t>
      </w:r>
      <w:r>
        <w:t>wiBot-20 annotations.</w:t>
      </w:r>
    </w:p>
    <w:p w:rsidR="00825237" w:rsidRDefault="00A6337D">
      <w:pPr>
        <w:pStyle w:val="Heading2"/>
        <w:ind w:left="490" w:hanging="496"/>
      </w:pPr>
      <w:r>
        <w:t>Dataset Size Analysis</w:t>
      </w:r>
    </w:p>
    <w:p w:rsidR="00825237" w:rsidRDefault="00A6337D">
      <w:pPr>
        <w:ind w:left="-3" w:right="14"/>
      </w:pPr>
      <w:r>
        <w:t>Bot detection on social media focuses on solving the real-world problem of online bot presence. In order to well represent real-world genuine users and Twitter bots, a bot detection dataset should be considerable</w:t>
      </w:r>
      <w:r>
        <w:t xml:space="preserve"> in size to achieve such purpose. We contrast TwiBot-20 and major bot detection datasets regarding dataset size in Table 1.</w:t>
      </w:r>
    </w:p>
    <w:p w:rsidR="00825237" w:rsidRDefault="00A6337D">
      <w:pPr>
        <w:spacing w:after="233"/>
        <w:ind w:left="-6" w:right="14" w:firstLine="205"/>
      </w:pPr>
      <w:r>
        <w:t>Table 1 demonstrates that TwiBot-20 leads with a total of 229,573 users, significantly outnumbering previous bot detection datasets.</w:t>
      </w:r>
      <w:r>
        <w:t xml:space="preserve"> TwiBot-20 also provides a support set that includes </w:t>
      </w:r>
      <w:r>
        <w:lastRenderedPageBreak/>
        <w:t xml:space="preserve">massive </w:t>
      </w:r>
      <w:proofErr w:type="gramStart"/>
      <w:r>
        <w:t>amount</w:t>
      </w:r>
      <w:proofErr w:type="gramEnd"/>
      <w:r>
        <w:t xml:space="preserve"> of unsupervised users. This support set enables novel trends such as semi-supervised learning to merge with bot detection research. To the best of our knowledge, TwiBot-20 establishes the </w:t>
      </w:r>
      <w:r>
        <w:t>largest bot detection benchmark to date and is the first to provide unsupervised users in a bot detection dataset.</w:t>
      </w:r>
    </w:p>
    <w:p w:rsidR="00825237" w:rsidRDefault="00A6337D">
      <w:pPr>
        <w:pStyle w:val="Heading2"/>
        <w:ind w:left="490" w:hanging="496"/>
      </w:pPr>
      <w:r>
        <w:t>User Information Analysis</w:t>
      </w:r>
    </w:p>
    <w:tbl>
      <w:tblPr>
        <w:tblStyle w:val="TableGrid"/>
        <w:tblpPr w:vertAnchor="text" w:horzAnchor="margin" w:tblpY="1483"/>
        <w:tblOverlap w:val="never"/>
        <w:tblW w:w="10127" w:type="dxa"/>
        <w:tblInd w:w="0" w:type="dxa"/>
        <w:tblCellMar>
          <w:top w:w="0" w:type="dxa"/>
          <w:left w:w="7" w:type="dxa"/>
          <w:bottom w:w="0" w:type="dxa"/>
          <w:right w:w="32" w:type="dxa"/>
        </w:tblCellMar>
        <w:tblLook w:val="04A0" w:firstRow="1" w:lastRow="0" w:firstColumn="1" w:lastColumn="0" w:noHBand="0" w:noVBand="1"/>
      </w:tblPr>
      <w:tblGrid>
        <w:gridCol w:w="10127"/>
      </w:tblGrid>
      <w:tr w:rsidR="00825237">
        <w:trPr>
          <w:trHeight w:val="407"/>
        </w:trPr>
        <w:tc>
          <w:tcPr>
            <w:tcW w:w="10088" w:type="dxa"/>
            <w:tcBorders>
              <w:top w:val="nil"/>
              <w:left w:val="nil"/>
              <w:bottom w:val="nil"/>
              <w:right w:val="nil"/>
            </w:tcBorders>
            <w:vAlign w:val="bottom"/>
          </w:tcPr>
          <w:p w:rsidR="00825237" w:rsidRDefault="00825237">
            <w:pPr>
              <w:spacing w:after="265" w:line="259" w:lineRule="auto"/>
              <w:ind w:left="0" w:firstLine="0"/>
              <w:jc w:val="left"/>
            </w:pPr>
          </w:p>
          <w:p w:rsidR="00825237" w:rsidRDefault="00A6337D">
            <w:pPr>
              <w:spacing w:after="0" w:line="259" w:lineRule="auto"/>
              <w:ind w:left="0" w:firstLine="0"/>
            </w:pPr>
            <w:r>
              <w:t xml:space="preserve">Figure 1: Illustration of a user cluster in TwiBot-20 with </w:t>
            </w:r>
            <w:r>
              <w:rPr>
                <w:i/>
              </w:rPr>
              <w:t>@</w:t>
            </w:r>
            <w:proofErr w:type="spellStart"/>
            <w:r>
              <w:rPr>
                <w:i/>
              </w:rPr>
              <w:t>SpeakerPelosi</w:t>
            </w:r>
            <w:proofErr w:type="spellEnd"/>
            <w:r>
              <w:rPr>
                <w:i/>
              </w:rPr>
              <w:t xml:space="preserve"> </w:t>
            </w:r>
            <w:r>
              <w:t>as the seed user. Green nodes represent human users in the user cluster, red nodes represent bot users and edges in the graph indicates that one user follows the other.</w:t>
            </w:r>
          </w:p>
        </w:tc>
      </w:tr>
    </w:tbl>
    <w:p w:rsidR="00825237" w:rsidRDefault="00A6337D">
      <w:pPr>
        <w:ind w:left="-3" w:right="14"/>
      </w:pPr>
      <w:r>
        <w:t>Online social media is becoming increasingly complex, with users generating huge volum</w:t>
      </w:r>
      <w:r>
        <w:t xml:space="preserve">es of multi-modal data every day. Twitter bots are also leveraging this information complexity to evade previous bot detection measures. Twitter users often generate large volumes of multi-modal </w:t>
      </w:r>
      <w:proofErr w:type="gramStart"/>
      <w:r>
        <w:t>data,</w:t>
      </w:r>
      <w:proofErr w:type="gramEnd"/>
      <w:r>
        <w:t xml:space="preserve"> thus bot detection datasets should incorporate all thre</w:t>
      </w:r>
      <w:r>
        <w:t xml:space="preserve">e </w:t>
      </w:r>
      <w:proofErr w:type="spellStart"/>
      <w:r>
        <w:t>modals</w:t>
      </w:r>
      <w:proofErr w:type="spellEnd"/>
      <w:r>
        <w:t xml:space="preserve"> of user information to allow comprehensive analysis of user’s </w:t>
      </w:r>
      <w:proofErr w:type="spellStart"/>
      <w:r>
        <w:t>behaviour</w:t>
      </w:r>
      <w:proofErr w:type="spellEnd"/>
      <w:r>
        <w:t>, which might boost bot detection performance and robustness. We study major bot detection datasets and depict their user information completeness in Table 2.</w:t>
      </w:r>
    </w:p>
    <w:p w:rsidR="00825237" w:rsidRDefault="00A6337D">
      <w:pPr>
        <w:spacing w:after="3" w:line="248" w:lineRule="auto"/>
        <w:ind w:left="-6" w:right="7" w:firstLine="199"/>
        <w:jc w:val="left"/>
      </w:pPr>
      <w:r>
        <w:t xml:space="preserve">Table 2 </w:t>
      </w:r>
      <w:proofErr w:type="spellStart"/>
      <w:r>
        <w:t>demonstat</w:t>
      </w:r>
      <w:r>
        <w:t>es</w:t>
      </w:r>
      <w:proofErr w:type="spellEnd"/>
      <w:r>
        <w:t xml:space="preserve"> that TwiBot-20 contains all three aspects of user information. Dataset cresci-17 [6] and </w:t>
      </w:r>
      <w:proofErr w:type="spellStart"/>
      <w:r>
        <w:t>caverlee</w:t>
      </w:r>
      <w:proofErr w:type="spellEnd"/>
      <w:r>
        <w:t xml:space="preserve"> [15] contain both semantic and property information, while all other existing baselines only include user semantic or property information. Further explora</w:t>
      </w:r>
      <w:r>
        <w:t>tion shows that datasets with only property information often leaves out certain property items, introducing inevitable bias in the process. To the best of our knowledge, TwiBot-20 is the first publicly available Twitter bot detection benchmark that incorp</w:t>
      </w:r>
      <w:r>
        <w:t>orates user neighborhood information. TwiBot-20’s information completeness enables novel bot detectors to leverage as much user information as it could be explicitly retrieved.</w:t>
      </w:r>
    </w:p>
    <w:p w:rsidR="00825237" w:rsidRDefault="00A6337D">
      <w:pPr>
        <w:spacing w:after="266"/>
        <w:ind w:left="-6" w:right="14" w:firstLine="206"/>
      </w:pPr>
      <w:r>
        <w:t xml:space="preserve">To further explore TwiBot-20’s user neighborhood information, we illustrate a </w:t>
      </w:r>
      <w:proofErr w:type="spellStart"/>
      <w:r>
        <w:t>c</w:t>
      </w:r>
      <w:r>
        <w:t>lutser</w:t>
      </w:r>
      <w:proofErr w:type="spellEnd"/>
      <w:r>
        <w:t xml:space="preserve"> of users in TwiBot-20 and their follow relationship in Figure 1. It is demonstrated that follow relationship in TwiBot-20 forms a dense graph structure to enable </w:t>
      </w:r>
      <w:proofErr w:type="spellStart"/>
      <w:r>
        <w:t>communitybased</w:t>
      </w:r>
      <w:proofErr w:type="spellEnd"/>
      <w:r>
        <w:t xml:space="preserve"> bot detection measures such as graph neural networks.</w:t>
      </w:r>
    </w:p>
    <w:p w:rsidR="00825237" w:rsidRDefault="00A6337D">
      <w:pPr>
        <w:pStyle w:val="Heading2"/>
        <w:ind w:left="490" w:hanging="496"/>
      </w:pPr>
      <w:r>
        <w:t>User Diversity Ana</w:t>
      </w:r>
      <w:r>
        <w:t>lysis</w:t>
      </w:r>
    </w:p>
    <w:p w:rsidR="00825237" w:rsidRDefault="00A6337D">
      <w:pPr>
        <w:ind w:left="-3" w:right="14"/>
      </w:pPr>
      <w:r>
        <w:t>An important aim of TwiBot-20 is to accurately represent the diversified Twittersphere and capture different types of bots that co-exist on social media. We study the distribution of profile locations and user interests to examine whether TwiBot-20 h</w:t>
      </w:r>
      <w:r>
        <w:t>as achieved the goal of user diversity.</w:t>
      </w:r>
    </w:p>
    <w:p w:rsidR="00825237" w:rsidRDefault="00A6337D">
      <w:pPr>
        <w:ind w:left="-3" w:right="14"/>
      </w:pPr>
      <w:r>
        <w:t xml:space="preserve">Geographic diversity. </w:t>
      </w:r>
      <w:r>
        <w:t xml:space="preserve">Figure 2 illustrates the geographic location of users in TwiBot-20. While the most frequent two countries are India and the United States, there are also a considerable </w:t>
      </w:r>
      <w:proofErr w:type="gramStart"/>
      <w:r>
        <w:t>amount</w:t>
      </w:r>
      <w:proofErr w:type="gramEnd"/>
      <w:r>
        <w:t xml:space="preserve"> of users from Euro</w:t>
      </w:r>
      <w:r>
        <w:t>pe and Africa.</w:t>
      </w:r>
    </w:p>
    <w:p w:rsidR="00825237" w:rsidRDefault="00A6337D">
      <w:pPr>
        <w:ind w:left="-3" w:right="14"/>
      </w:pPr>
      <w:r>
        <w:t xml:space="preserve">User interest diversity. </w:t>
      </w:r>
      <w:r>
        <w:t xml:space="preserve">Figure 3 illustrates the most frequently mentioned hashtags and their frequency. The #COVID19 hashtag ranks first due to the global health crisis at the time of data </w:t>
      </w:r>
      <w:r>
        <w:t>collection. It is demonstrated that TwiBot-20 captures political users</w:t>
      </w:r>
    </w:p>
    <w:p w:rsidR="00825237" w:rsidRDefault="00825237">
      <w:pPr>
        <w:spacing w:after="264" w:line="259" w:lineRule="auto"/>
        <w:ind w:left="7" w:firstLine="0"/>
        <w:jc w:val="left"/>
      </w:pPr>
    </w:p>
    <w:p w:rsidR="00825237" w:rsidRDefault="00A6337D">
      <w:pPr>
        <w:spacing w:after="632" w:line="250" w:lineRule="auto"/>
        <w:ind w:left="-3" w:right="12" w:hanging="5"/>
      </w:pPr>
      <w:r>
        <w:t>Figure 2: Most fr</w:t>
      </w:r>
      <w:r>
        <w:t>equent countries of user location in TwiBot20 and their number of appearances. There are 179 countries that appear less than 500 times and they collectively appear 11835 times in TwiBot-20, which are omitted in the figure to preserve clarity.</w:t>
      </w:r>
    </w:p>
    <w:p w:rsidR="00825237" w:rsidRDefault="00A6337D">
      <w:pPr>
        <w:spacing w:after="3" w:line="248" w:lineRule="auto"/>
        <w:ind w:left="-3" w:right="7"/>
        <w:jc w:val="left"/>
      </w:pPr>
      <w:r>
        <w:t>that often tweet with #Trump and #RNC2020, sports lovers with #</w:t>
      </w:r>
      <w:proofErr w:type="spellStart"/>
      <w:r>
        <w:t>SaintsFC</w:t>
      </w:r>
      <w:proofErr w:type="spellEnd"/>
      <w:r>
        <w:t>, business people with #business and #marketing, as well as ordinary users that tweet with #love and #travel.</w:t>
      </w:r>
    </w:p>
    <w:p w:rsidR="00825237" w:rsidRDefault="00A6337D">
      <w:pPr>
        <w:spacing w:after="294"/>
        <w:ind w:left="-6" w:right="14" w:firstLine="199"/>
      </w:pPr>
      <w:r>
        <w:t xml:space="preserve">Twitter users in TwiBot-20 are thus proved to be diversified in geographic </w:t>
      </w:r>
      <w:r>
        <w:t>locations and interest domains. TwiBot-20 contains diversified users to better represent the diversified Twittersphere rather than being toy examples of specific scenarios.</w:t>
      </w:r>
    </w:p>
    <w:p w:rsidR="00825237" w:rsidRDefault="00A6337D">
      <w:pPr>
        <w:pStyle w:val="Heading2"/>
        <w:ind w:left="490" w:hanging="496"/>
      </w:pPr>
      <w:r>
        <w:t>Annotation Quality Analysis</w:t>
      </w:r>
    </w:p>
    <w:p w:rsidR="00825237" w:rsidRDefault="00A6337D">
      <w:pPr>
        <w:spacing w:after="3" w:line="248" w:lineRule="auto"/>
        <w:ind w:left="-3" w:right="7"/>
        <w:jc w:val="left"/>
      </w:pPr>
      <w:r>
        <w:t>To prove that our annotation procedure leads to high qu</w:t>
      </w:r>
      <w:r>
        <w:t>ality annotation, we examine whether the annotation results are consistent with bot characteristics proposed in previous literature.</w:t>
      </w:r>
    </w:p>
    <w:p w:rsidR="00825237" w:rsidRDefault="00825237">
      <w:pPr>
        <w:spacing w:after="264" w:line="259" w:lineRule="auto"/>
        <w:ind w:left="7" w:firstLine="0"/>
        <w:jc w:val="left"/>
      </w:pPr>
    </w:p>
    <w:p w:rsidR="00825237" w:rsidRDefault="00A6337D">
      <w:pPr>
        <w:spacing w:after="385" w:line="250" w:lineRule="auto"/>
        <w:ind w:left="-3" w:right="12" w:hanging="5"/>
      </w:pPr>
      <w:r>
        <w:t xml:space="preserve">Figure 3: Most frequent </w:t>
      </w:r>
      <w:proofErr w:type="spellStart"/>
      <w:r>
        <w:t>hastags</w:t>
      </w:r>
      <w:proofErr w:type="spellEnd"/>
      <w:r>
        <w:t xml:space="preserve"> in user tweets in our proposed TwiBot-20. We merge similar hashtags such as #COVID19 and </w:t>
      </w:r>
      <w:r>
        <w:t>#coronavirus and select the 15 hashtags of highest frequency.</w:t>
      </w:r>
    </w:p>
    <w:p w:rsidR="00825237" w:rsidRDefault="00A6337D">
      <w:pPr>
        <w:spacing w:after="117"/>
        <w:ind w:left="-3" w:right="14"/>
      </w:pPr>
      <w:r>
        <w:t xml:space="preserve">Account Reputation. </w:t>
      </w:r>
      <w:r>
        <w:t>We explore the difference between the reputation score [3] of bot and genuine users in TwiBot-20. Reputation is a coefficient that measures a user’s follower count and friend</w:t>
      </w:r>
      <w:r>
        <w:t xml:space="preserve"> count, defined as follows:</w:t>
      </w:r>
    </w:p>
    <w:p w:rsidR="00825237" w:rsidRDefault="00A6337D">
      <w:pPr>
        <w:spacing w:after="0" w:line="259" w:lineRule="auto"/>
        <w:ind w:left="1255" w:hanging="10"/>
        <w:jc w:val="center"/>
      </w:pPr>
      <w:r>
        <w:t>|</w:t>
      </w:r>
      <w:r>
        <w:rPr>
          <w:i/>
        </w:rPr>
        <w:t>𝑁</w:t>
      </w:r>
      <w:r>
        <w:rPr>
          <w:i/>
          <w:sz w:val="22"/>
          <w:vertAlign w:val="superscript"/>
        </w:rPr>
        <w:t>𝑡</w:t>
      </w:r>
      <w:r>
        <w:rPr>
          <w:i/>
          <w:sz w:val="22"/>
          <w:vertAlign w:val="superscript"/>
        </w:rPr>
        <w:t xml:space="preserve"> </w:t>
      </w:r>
      <w:r>
        <w:t>(</w:t>
      </w:r>
      <w:r>
        <w:rPr>
          <w:i/>
        </w:rPr>
        <w:t>𝑢</w:t>
      </w:r>
      <w:r>
        <w:t>)|</w:t>
      </w:r>
    </w:p>
    <w:p w:rsidR="00825237" w:rsidRDefault="00A6337D">
      <w:pPr>
        <w:tabs>
          <w:tab w:val="center" w:pos="1699"/>
          <w:tab w:val="center" w:pos="3083"/>
          <w:tab w:val="right" w:pos="4842"/>
        </w:tabs>
        <w:spacing w:after="0" w:line="259" w:lineRule="auto"/>
        <w:ind w:left="0" w:firstLine="0"/>
        <w:jc w:val="left"/>
      </w:pPr>
      <w:r>
        <w:rPr>
          <w:sz w:val="22"/>
        </w:rPr>
        <w:tab/>
      </w:r>
      <w:r>
        <w:rPr>
          <w:i/>
        </w:rPr>
        <w:t>𝑅𝑒𝑝𝑢𝑡𝑎𝑡𝑖𝑜𝑛</w:t>
      </w:r>
      <w:r>
        <w:t>(</w:t>
      </w:r>
      <w:r>
        <w:rPr>
          <w:i/>
        </w:rPr>
        <w:t>𝑢</w:t>
      </w:r>
      <w:r>
        <w:t>) =</w:t>
      </w:r>
      <w:r>
        <w:tab/>
      </w:r>
      <w:r>
        <w:rPr>
          <w:noProof/>
          <w:sz w:val="22"/>
        </w:rPr>
        <mc:AlternateContent>
          <mc:Choice Requires="wpg">
            <w:drawing>
              <wp:inline distT="0" distB="0" distL="0" distR="0">
                <wp:extent cx="837146" cy="6375"/>
                <wp:effectExtent l="0" t="0" r="0" b="0"/>
                <wp:docPr id="23514" name="Group 23514"/>
                <wp:cNvGraphicFramePr/>
                <a:graphic xmlns:a="http://schemas.openxmlformats.org/drawingml/2006/main">
                  <a:graphicData uri="http://schemas.microsoft.com/office/word/2010/wordprocessingGroup">
                    <wpg:wgp>
                      <wpg:cNvGrpSpPr/>
                      <wpg:grpSpPr>
                        <a:xfrm>
                          <a:off x="0" y="0"/>
                          <a:ext cx="837146" cy="6375"/>
                          <a:chOff x="0" y="0"/>
                          <a:chExt cx="837146" cy="6375"/>
                        </a:xfrm>
                      </wpg:grpSpPr>
                      <wps:wsp>
                        <wps:cNvPr id="1021" name="Shape 1021"/>
                        <wps:cNvSpPr/>
                        <wps:spPr>
                          <a:xfrm>
                            <a:off x="0" y="0"/>
                            <a:ext cx="837146" cy="0"/>
                          </a:xfrm>
                          <a:custGeom>
                            <a:avLst/>
                            <a:gdLst/>
                            <a:ahLst/>
                            <a:cxnLst/>
                            <a:rect l="0" t="0" r="0" b="0"/>
                            <a:pathLst>
                              <a:path w="837146">
                                <a:moveTo>
                                  <a:pt x="0" y="0"/>
                                </a:moveTo>
                                <a:lnTo>
                                  <a:pt x="837146"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14" style="width:65.917pt;height:0.502pt;mso-position-horizontal-relative:char;mso-position-vertical-relative:line" coordsize="8371,63">
                <v:shape id="Shape 1021" style="position:absolute;width:8371;height:0;left:0;top:0;" coordsize="837146,0" path="m0,0l837146,0">
                  <v:stroke weight="0.502pt" endcap="flat" joinstyle="miter" miterlimit="10" on="true" color="#000000"/>
                  <v:fill on="false" color="#000000" opacity="0"/>
                </v:shape>
              </v:group>
            </w:pict>
          </mc:Fallback>
        </mc:AlternateContent>
      </w:r>
      <w:r>
        <w:tab/>
        <w:t>(1)</w:t>
      </w:r>
    </w:p>
    <w:p w:rsidR="00825237" w:rsidRDefault="00A6337D">
      <w:pPr>
        <w:spacing w:after="93" w:line="259" w:lineRule="auto"/>
        <w:ind w:left="1255" w:hanging="10"/>
        <w:jc w:val="center"/>
      </w:pPr>
      <w:r>
        <w:t>|</w:t>
      </w:r>
      <w:r>
        <w:rPr>
          <w:i/>
        </w:rPr>
        <w:t>𝑁</w:t>
      </w:r>
      <w:r>
        <w:rPr>
          <w:i/>
          <w:sz w:val="22"/>
          <w:vertAlign w:val="superscript"/>
        </w:rPr>
        <w:t>𝑡</w:t>
      </w:r>
      <w:r>
        <w:rPr>
          <w:i/>
          <w:sz w:val="22"/>
          <w:vertAlign w:val="superscript"/>
        </w:rPr>
        <w:t xml:space="preserve"> </w:t>
      </w:r>
      <w:r>
        <w:t>(</w:t>
      </w:r>
      <w:r>
        <w:rPr>
          <w:i/>
        </w:rPr>
        <w:t>𝑢</w:t>
      </w:r>
      <w:r>
        <w:t>)| + |</w:t>
      </w:r>
      <w:r>
        <w:rPr>
          <w:i/>
        </w:rPr>
        <w:t>𝑁</w:t>
      </w:r>
      <w:r>
        <w:rPr>
          <w:i/>
        </w:rPr>
        <w:t xml:space="preserve"> </w:t>
      </w:r>
      <w:r>
        <w:rPr>
          <w:i/>
          <w:sz w:val="22"/>
          <w:vertAlign w:val="superscript"/>
        </w:rPr>
        <w:t>𝑓</w:t>
      </w:r>
      <w:r>
        <w:rPr>
          <w:i/>
          <w:sz w:val="22"/>
          <w:vertAlign w:val="superscript"/>
        </w:rPr>
        <w:t xml:space="preserve"> </w:t>
      </w:r>
      <w:r>
        <w:t>(</w:t>
      </w:r>
      <w:r>
        <w:rPr>
          <w:i/>
        </w:rPr>
        <w:t>𝑢</w:t>
      </w:r>
      <w:r>
        <w:t>)|</w:t>
      </w:r>
    </w:p>
    <w:p w:rsidR="00825237" w:rsidRDefault="00A6337D">
      <w:pPr>
        <w:ind w:left="-3" w:right="14"/>
      </w:pPr>
      <w:r>
        <w:t xml:space="preserve">where </w:t>
      </w:r>
      <w:r>
        <w:t xml:space="preserve">|·| </w:t>
      </w:r>
      <w:r>
        <w:t xml:space="preserve">denotes the cardinality of a set, </w:t>
      </w:r>
      <w:r>
        <w:rPr>
          <w:i/>
        </w:rPr>
        <w:t>𝑁</w:t>
      </w:r>
      <w:r>
        <w:rPr>
          <w:i/>
          <w:sz w:val="22"/>
          <w:vertAlign w:val="superscript"/>
        </w:rPr>
        <w:t>𝑡</w:t>
      </w:r>
      <w:r>
        <w:rPr>
          <w:i/>
          <w:sz w:val="22"/>
          <w:vertAlign w:val="superscript"/>
        </w:rPr>
        <w:t xml:space="preserve"> </w:t>
      </w:r>
      <w:r>
        <w:t>(</w:t>
      </w:r>
      <w:r>
        <w:rPr>
          <w:i/>
        </w:rPr>
        <w:t>𝑢</w:t>
      </w:r>
      <w:r>
        <w:t xml:space="preserve">) </w:t>
      </w:r>
      <w:r>
        <w:t xml:space="preserve">denotes the follower set of </w:t>
      </w:r>
      <w:proofErr w:type="gramStart"/>
      <w:r>
        <w:t>user</w:t>
      </w:r>
      <w:proofErr w:type="gramEnd"/>
      <w:r>
        <w:t xml:space="preserve"> </w:t>
      </w:r>
      <w:r>
        <w:rPr>
          <w:i/>
        </w:rPr>
        <w:t>𝑢</w:t>
      </w:r>
      <w:r>
        <w:rPr>
          <w:i/>
        </w:rPr>
        <w:t xml:space="preserve"> </w:t>
      </w:r>
      <w:r>
        <w:t xml:space="preserve">and </w:t>
      </w:r>
      <w:r>
        <w:rPr>
          <w:i/>
        </w:rPr>
        <w:t>𝑁</w:t>
      </w:r>
      <w:r>
        <w:rPr>
          <w:i/>
        </w:rPr>
        <w:t xml:space="preserve"> </w:t>
      </w:r>
      <w:r>
        <w:rPr>
          <w:i/>
          <w:sz w:val="22"/>
          <w:vertAlign w:val="superscript"/>
        </w:rPr>
        <w:t>𝑓</w:t>
      </w:r>
      <w:r>
        <w:rPr>
          <w:i/>
          <w:sz w:val="22"/>
          <w:vertAlign w:val="superscript"/>
        </w:rPr>
        <w:t xml:space="preserve"> </w:t>
      </w:r>
      <w:r>
        <w:t>(</w:t>
      </w:r>
      <w:r>
        <w:rPr>
          <w:i/>
        </w:rPr>
        <w:t>𝑢</w:t>
      </w:r>
      <w:r>
        <w:t xml:space="preserve">) </w:t>
      </w:r>
      <w:r>
        <w:t xml:space="preserve">denotes the following set of user </w:t>
      </w:r>
      <w:r>
        <w:rPr>
          <w:i/>
        </w:rPr>
        <w:t>𝑢</w:t>
      </w:r>
      <w:r>
        <w:t>.</w:t>
      </w:r>
    </w:p>
    <w:p w:rsidR="00825237" w:rsidRDefault="00A6337D">
      <w:pPr>
        <w:ind w:left="-6" w:right="14" w:firstLine="205"/>
      </w:pPr>
      <w:r>
        <w:t xml:space="preserve">Chu </w:t>
      </w:r>
      <w:r>
        <w:rPr>
          <w:i/>
        </w:rPr>
        <w:t xml:space="preserve">et al. </w:t>
      </w:r>
      <w:r>
        <w:t xml:space="preserve">[3] observed that, human users are more likely to follow "famous" or "reputable" users. A celebrity usually has many followers and few friends, and his reputation is close to 1. In contrast, for a </w:t>
      </w:r>
      <w:proofErr w:type="spellStart"/>
      <w:r>
        <w:t>bot</w:t>
      </w:r>
      <w:proofErr w:type="spellEnd"/>
      <w:r>
        <w:t xml:space="preserve"> with few followers and many friends, its reputation is </w:t>
      </w:r>
      <w:r>
        <w:t xml:space="preserve">close to 0. We illustrate the cumulative distribution function (CDF) of account reputation for bot and human users in </w:t>
      </w:r>
      <w:r>
        <w:lastRenderedPageBreak/>
        <w:t xml:space="preserve">Figure 4(a). It is illustrated that genuine users in TwiBot-20 exhibit relatively higher reputation score than bots. Around 60 percent of </w:t>
      </w:r>
      <w:r>
        <w:t xml:space="preserve">bots in TwiBot-20 have fewer followers than friends, causing their reputation to be less than 0.5. The reputation score of users in TwiBot-20 matches the proposal of Chu </w:t>
      </w:r>
      <w:r>
        <w:rPr>
          <w:i/>
        </w:rPr>
        <w:t xml:space="preserve">et al. </w:t>
      </w:r>
      <w:r>
        <w:t>[3], which strengthens the claim that TwiBot-20 annotation is generally trustwo</w:t>
      </w:r>
      <w:r>
        <w:t>rthy.</w:t>
      </w:r>
    </w:p>
    <w:p w:rsidR="00825237" w:rsidRDefault="00A6337D">
      <w:pPr>
        <w:ind w:left="-3" w:right="14"/>
      </w:pPr>
      <w:r>
        <w:t xml:space="preserve">User Tweet Count. </w:t>
      </w:r>
      <w:r>
        <w:t xml:space="preserve">Perdana </w:t>
      </w:r>
      <w:r>
        <w:rPr>
          <w:i/>
        </w:rPr>
        <w:t xml:space="preserve">et al. </w:t>
      </w:r>
      <w:r>
        <w:t>[23] observed that bot users would generate a lot of repeated tweets, leading to a higher total tweet count. We explore the relationship between user annotation and its tweet count in TwiBot-20. Figure 4(b) shows the CDF of user tweet counts. It is surpris</w:t>
      </w:r>
      <w:r>
        <w:t>ing that bot users generate fewer tweets than human. This discrepancy with previous work could be attributed to the fact that bot users have evolved to escape feature-</w:t>
      </w:r>
    </w:p>
    <w:p w:rsidR="00825237" w:rsidRDefault="00A6337D">
      <w:pPr>
        <w:spacing w:after="173"/>
        <w:ind w:left="-3" w:right="14"/>
      </w:pPr>
      <w:r>
        <w:t>engineering based bot detection and they control the number of tweets now. To further ex</w:t>
      </w:r>
      <w:r>
        <w:t xml:space="preserve">plore this difference, we check the bot users in our dataset and find out the following fact: bot users tweet more frequently in a certain period with long-term hibernation to avoid detection by Twitter, which results in fewer tweets in general. </w:t>
      </w:r>
      <w:r>
        <w:t>Screen Nam</w:t>
      </w:r>
      <w:r>
        <w:t xml:space="preserve">e Likelihood. </w:t>
      </w:r>
      <w:r>
        <w:t xml:space="preserve">Yang </w:t>
      </w:r>
      <w:r>
        <w:rPr>
          <w:i/>
        </w:rPr>
        <w:t xml:space="preserve">et al. </w:t>
      </w:r>
      <w:r>
        <w:t>[32] observed that bot users sometimes use a random string as their screen name. To measure this feature, they proposed to evaluate the screen name likelihood of users. Twitter only allows letters (upper and lower case), digits an</w:t>
      </w:r>
      <w:r>
        <w:t>d underscores in the screen name field with a 15-character limit. We use the 229,573 screen names in TwiBot-20 and construct the likelihood of all 3,969 possible bigrams. The likelihood of a screen name is defined by the geometric-mean likelihood of all bi</w:t>
      </w:r>
      <w:r>
        <w:t xml:space="preserve">grams in it. For a screen name </w:t>
      </w:r>
      <w:r>
        <w:rPr>
          <w:i/>
        </w:rPr>
        <w:t>𝑋</w:t>
      </w:r>
      <w:r>
        <w:rPr>
          <w:i/>
        </w:rPr>
        <w:t xml:space="preserve"> </w:t>
      </w:r>
      <w:r>
        <w:t xml:space="preserve">with length </w:t>
      </w:r>
      <w:r>
        <w:rPr>
          <w:i/>
        </w:rPr>
        <w:t>𝑘</w:t>
      </w:r>
      <w:r>
        <w:t xml:space="preserve">, the likelihood </w:t>
      </w:r>
      <w:r>
        <w:rPr>
          <w:i/>
        </w:rPr>
        <w:t>𝐿</w:t>
      </w:r>
      <w:r>
        <w:t>(</w:t>
      </w:r>
      <w:r>
        <w:rPr>
          <w:i/>
        </w:rPr>
        <w:t>𝑥</w:t>
      </w:r>
      <w:r>
        <w:t xml:space="preserve">) </w:t>
      </w:r>
      <w:r>
        <w:t>is defined as follows:</w:t>
      </w:r>
    </w:p>
    <w:p w:rsidR="00825237" w:rsidRDefault="00A6337D">
      <w:pPr>
        <w:spacing w:after="10" w:line="259" w:lineRule="auto"/>
        <w:ind w:left="10" w:right="516" w:hanging="10"/>
        <w:jc w:val="center"/>
      </w:pPr>
      <w:r>
        <w:rPr>
          <w:i/>
          <w:sz w:val="15"/>
        </w:rPr>
        <w:t>𝑘</w:t>
      </w:r>
      <w:r>
        <w:rPr>
          <w:sz w:val="15"/>
        </w:rPr>
        <w:t>−</w:t>
      </w:r>
      <w:r>
        <w:rPr>
          <w:sz w:val="15"/>
        </w:rPr>
        <w:t>1</w:t>
      </w:r>
    </w:p>
    <w:p w:rsidR="00825237" w:rsidRDefault="00A6337D">
      <w:pPr>
        <w:tabs>
          <w:tab w:val="center" w:pos="2168"/>
          <w:tab w:val="center" w:pos="3266"/>
        </w:tabs>
        <w:spacing w:after="0" w:line="259" w:lineRule="auto"/>
        <w:ind w:left="0" w:firstLine="0"/>
        <w:jc w:val="left"/>
      </w:pPr>
      <w:r>
        <w:rPr>
          <w:sz w:val="22"/>
        </w:rPr>
        <w:tab/>
      </w:r>
      <w:r>
        <w:t>Ö</w:t>
      </w:r>
      <w:r>
        <w:tab/>
      </w:r>
      <w:r>
        <w:rPr>
          <w:sz w:val="11"/>
          <w:u w:val="single" w:color="000000"/>
        </w:rPr>
        <w:t>1</w:t>
      </w:r>
    </w:p>
    <w:p w:rsidR="00825237" w:rsidRDefault="00A6337D">
      <w:pPr>
        <w:tabs>
          <w:tab w:val="center" w:pos="1733"/>
          <w:tab w:val="center" w:pos="2839"/>
          <w:tab w:val="right" w:pos="4844"/>
        </w:tabs>
        <w:spacing w:after="0" w:line="259" w:lineRule="auto"/>
        <w:ind w:left="0" w:firstLine="0"/>
        <w:jc w:val="left"/>
      </w:pPr>
      <w:r>
        <w:rPr>
          <w:sz w:val="22"/>
        </w:rPr>
        <w:tab/>
      </w:r>
      <w:r>
        <w:rPr>
          <w:i/>
        </w:rPr>
        <w:t>𝐿</w:t>
      </w:r>
      <w:r>
        <w:t>(</w:t>
      </w:r>
      <w:r>
        <w:rPr>
          <w:i/>
        </w:rPr>
        <w:t>𝑥</w:t>
      </w:r>
      <w:r>
        <w:t>) = [</w:t>
      </w:r>
      <w:r>
        <w:tab/>
      </w:r>
      <w:r>
        <w:rPr>
          <w:i/>
        </w:rPr>
        <w:t>𝑃</w:t>
      </w:r>
      <w:r>
        <w:rPr>
          <w:i/>
        </w:rPr>
        <w:t xml:space="preserve"> </w:t>
      </w:r>
      <w:r>
        <w:t>(</w:t>
      </w:r>
      <w:proofErr w:type="gramStart"/>
      <w:r>
        <w:rPr>
          <w:i/>
        </w:rPr>
        <w:t>𝑥</w:t>
      </w:r>
      <w:r>
        <w:rPr>
          <w:i/>
          <w:sz w:val="22"/>
          <w:vertAlign w:val="subscript"/>
        </w:rPr>
        <w:t>𝑖</w:t>
      </w:r>
      <w:r>
        <w:rPr>
          <w:i/>
        </w:rPr>
        <w:t>,</w:t>
      </w:r>
      <w:r>
        <w:rPr>
          <w:i/>
        </w:rPr>
        <w:t>𝑥</w:t>
      </w:r>
      <w:r>
        <w:rPr>
          <w:i/>
          <w:sz w:val="22"/>
          <w:vertAlign w:val="subscript"/>
        </w:rPr>
        <w:t>𝑖</w:t>
      </w:r>
      <w:proofErr w:type="gramEnd"/>
      <w:r>
        <w:rPr>
          <w:sz w:val="15"/>
        </w:rPr>
        <w:t>+</w:t>
      </w:r>
      <w:r>
        <w:rPr>
          <w:sz w:val="15"/>
        </w:rPr>
        <w:t>1</w:t>
      </w:r>
      <w:r>
        <w:t xml:space="preserve">)] </w:t>
      </w:r>
      <w:r>
        <w:rPr>
          <w:i/>
          <w:sz w:val="11"/>
        </w:rPr>
        <w:t>𝑘</w:t>
      </w:r>
      <w:r>
        <w:rPr>
          <w:sz w:val="11"/>
        </w:rPr>
        <w:t>−</w:t>
      </w:r>
      <w:r>
        <w:rPr>
          <w:sz w:val="11"/>
        </w:rPr>
        <w:t>1</w:t>
      </w:r>
      <w:r>
        <w:rPr>
          <w:sz w:val="11"/>
        </w:rPr>
        <w:tab/>
      </w:r>
      <w:r>
        <w:t>(2)</w:t>
      </w:r>
    </w:p>
    <w:p w:rsidR="00825237" w:rsidRDefault="00A6337D">
      <w:pPr>
        <w:spacing w:after="88" w:line="259" w:lineRule="auto"/>
        <w:ind w:left="10" w:right="516" w:hanging="10"/>
        <w:jc w:val="center"/>
      </w:pPr>
      <w:r>
        <w:rPr>
          <w:i/>
          <w:sz w:val="15"/>
        </w:rPr>
        <w:t>𝑖</w:t>
      </w:r>
      <w:r>
        <w:rPr>
          <w:sz w:val="15"/>
        </w:rPr>
        <w:t>=</w:t>
      </w:r>
      <w:r>
        <w:rPr>
          <w:sz w:val="15"/>
        </w:rPr>
        <w:t>1</w:t>
      </w:r>
    </w:p>
    <w:p w:rsidR="00825237" w:rsidRDefault="00A6337D">
      <w:pPr>
        <w:ind w:left="-3" w:right="14"/>
      </w:pPr>
      <w:r>
        <w:t xml:space="preserve">where </w:t>
      </w:r>
      <w:r>
        <w:rPr>
          <w:i/>
        </w:rPr>
        <w:t>𝑥</w:t>
      </w:r>
      <w:r>
        <w:rPr>
          <w:i/>
          <w:sz w:val="22"/>
          <w:vertAlign w:val="subscript"/>
        </w:rPr>
        <w:t>𝑖</w:t>
      </w:r>
      <w:r>
        <w:rPr>
          <w:i/>
          <w:sz w:val="22"/>
          <w:vertAlign w:val="subscript"/>
        </w:rPr>
        <w:t xml:space="preserve"> </w:t>
      </w:r>
      <w:r>
        <w:t xml:space="preserve">denotes the </w:t>
      </w:r>
      <w:proofErr w:type="spellStart"/>
      <w:r>
        <w:t>i-th</w:t>
      </w:r>
      <w:proofErr w:type="spellEnd"/>
      <w:r>
        <w:t xml:space="preserve"> character of </w:t>
      </w:r>
      <w:r>
        <w:rPr>
          <w:i/>
        </w:rPr>
        <w:t>𝑋</w:t>
      </w:r>
      <w:r>
        <w:rPr>
          <w:i/>
        </w:rPr>
        <w:t xml:space="preserve"> </w:t>
      </w:r>
      <w:r>
        <w:t xml:space="preserve">and </w:t>
      </w:r>
      <w:r>
        <w:rPr>
          <w:i/>
        </w:rPr>
        <w:t>𝑃</w:t>
      </w:r>
      <w:r>
        <w:rPr>
          <w:i/>
        </w:rPr>
        <w:t xml:space="preserve"> </w:t>
      </w:r>
      <w:r>
        <w:t>(</w:t>
      </w:r>
      <w:proofErr w:type="gramStart"/>
      <w:r>
        <w:rPr>
          <w:i/>
        </w:rPr>
        <w:t>𝑥</w:t>
      </w:r>
      <w:r>
        <w:rPr>
          <w:i/>
          <w:sz w:val="22"/>
          <w:vertAlign w:val="subscript"/>
        </w:rPr>
        <w:t>𝑖</w:t>
      </w:r>
      <w:r>
        <w:rPr>
          <w:i/>
        </w:rPr>
        <w:t>,</w:t>
      </w:r>
      <w:r>
        <w:rPr>
          <w:i/>
        </w:rPr>
        <w:t>𝑥</w:t>
      </w:r>
      <w:r>
        <w:rPr>
          <w:i/>
          <w:sz w:val="22"/>
          <w:vertAlign w:val="subscript"/>
        </w:rPr>
        <w:t>𝑖</w:t>
      </w:r>
      <w:proofErr w:type="gramEnd"/>
      <w:r>
        <w:rPr>
          <w:sz w:val="15"/>
        </w:rPr>
        <w:t>+</w:t>
      </w:r>
      <w:r>
        <w:rPr>
          <w:sz w:val="15"/>
        </w:rPr>
        <w:t>1</w:t>
      </w:r>
      <w:r>
        <w:t xml:space="preserve">) </w:t>
      </w:r>
      <w:r>
        <w:t xml:space="preserve">denotes the likelihood of bigram </w:t>
      </w:r>
      <w:r>
        <w:t>(</w:t>
      </w:r>
      <w:r>
        <w:rPr>
          <w:i/>
        </w:rPr>
        <w:t>𝑥</w:t>
      </w:r>
      <w:r>
        <w:rPr>
          <w:i/>
          <w:sz w:val="22"/>
          <w:vertAlign w:val="subscript"/>
        </w:rPr>
        <w:t>𝑖</w:t>
      </w:r>
      <w:r>
        <w:rPr>
          <w:i/>
        </w:rPr>
        <w:t>,</w:t>
      </w:r>
      <w:r>
        <w:rPr>
          <w:i/>
        </w:rPr>
        <w:t>𝑥</w:t>
      </w:r>
      <w:r>
        <w:rPr>
          <w:i/>
          <w:sz w:val="22"/>
          <w:vertAlign w:val="subscript"/>
        </w:rPr>
        <w:t>𝑖</w:t>
      </w:r>
      <w:r>
        <w:rPr>
          <w:sz w:val="22"/>
          <w:vertAlign w:val="subscript"/>
        </w:rPr>
        <w:t>+</w:t>
      </w:r>
      <w:r>
        <w:rPr>
          <w:sz w:val="15"/>
        </w:rPr>
        <w:t>1</w:t>
      </w:r>
      <w:r>
        <w:t xml:space="preserve">) </w:t>
      </w:r>
      <w:r>
        <w:t>obtained from the user screen names.</w:t>
      </w:r>
    </w:p>
    <w:p w:rsidR="00825237" w:rsidRDefault="00A6337D">
      <w:pPr>
        <w:spacing w:after="3" w:line="248" w:lineRule="auto"/>
        <w:ind w:left="-6" w:right="7" w:firstLine="206"/>
        <w:jc w:val="left"/>
      </w:pPr>
      <w:r>
        <w:t>Figure 4(c) illustrates the difference between bot users and human users in screen name likelihood. The results indicate that bot users in TwiBot-20 do have slightly lower screen name likelihood, which is compatib</w:t>
      </w:r>
      <w:r>
        <w:t xml:space="preserve">le with the findings in Yang </w:t>
      </w:r>
      <w:r>
        <w:rPr>
          <w:i/>
        </w:rPr>
        <w:t xml:space="preserve">et al. </w:t>
      </w:r>
      <w:r>
        <w:t xml:space="preserve">[32]. We examine some bot users and find that they do have random strings as their screen name such as </w:t>
      </w:r>
      <w:r>
        <w:rPr>
          <w:i/>
        </w:rPr>
        <w:t>@Abolfaz54075615</w:t>
      </w:r>
      <w:r>
        <w:t xml:space="preserve">. Data annotation in TwiBot-20 also matches Yang </w:t>
      </w:r>
      <w:r>
        <w:rPr>
          <w:i/>
        </w:rPr>
        <w:t xml:space="preserve">et al. </w:t>
      </w:r>
      <w:r>
        <w:t>[32]’s observation, which lends support to Tw</w:t>
      </w:r>
      <w:r>
        <w:t>iBot-20’s annotation credibility.</w:t>
      </w:r>
    </w:p>
    <w:p w:rsidR="00825237" w:rsidRDefault="00A6337D">
      <w:pPr>
        <w:spacing w:after="234"/>
        <w:ind w:left="-6" w:right="14" w:firstLine="199"/>
      </w:pPr>
      <w:r>
        <w:t>To sum up, TwiBot-20’s annotation generally matches previously proposed bot characteristics.</w:t>
      </w:r>
    </w:p>
    <w:p w:rsidR="00825237" w:rsidRDefault="00825237">
      <w:pPr>
        <w:ind w:left="-3" w:right="14"/>
      </w:pPr>
    </w:p>
    <w:tbl>
      <w:tblPr>
        <w:tblStyle w:val="TableGrid"/>
        <w:tblpPr w:vertAnchor="text" w:horzAnchor="margin"/>
        <w:tblOverlap w:val="never"/>
        <w:tblW w:w="10124" w:type="dxa"/>
        <w:tblInd w:w="0" w:type="dxa"/>
        <w:tblCellMar>
          <w:top w:w="0" w:type="dxa"/>
          <w:left w:w="65" w:type="dxa"/>
          <w:bottom w:w="0" w:type="dxa"/>
          <w:right w:w="90" w:type="dxa"/>
        </w:tblCellMar>
        <w:tblLook w:val="04A0" w:firstRow="1" w:lastRow="0" w:firstColumn="1" w:lastColumn="0" w:noHBand="0" w:noVBand="1"/>
      </w:tblPr>
      <w:tblGrid>
        <w:gridCol w:w="10124"/>
      </w:tblGrid>
      <w:tr w:rsidR="00825237">
        <w:trPr>
          <w:trHeight w:val="680"/>
        </w:trPr>
        <w:tc>
          <w:tcPr>
            <w:tcW w:w="9969" w:type="dxa"/>
            <w:tcBorders>
              <w:top w:val="nil"/>
              <w:left w:val="nil"/>
              <w:bottom w:val="nil"/>
              <w:right w:val="nil"/>
            </w:tcBorders>
            <w:vAlign w:val="bottom"/>
          </w:tcPr>
          <w:p w:rsidR="00825237" w:rsidRDefault="00825237">
            <w:pPr>
              <w:spacing w:after="0" w:line="259" w:lineRule="auto"/>
              <w:ind w:left="0" w:firstLine="0"/>
            </w:pPr>
          </w:p>
        </w:tc>
      </w:tr>
    </w:tbl>
    <w:p w:rsidR="00825237" w:rsidRDefault="00A6337D">
      <w:pPr>
        <w:spacing w:after="4" w:line="250" w:lineRule="auto"/>
        <w:ind w:left="-3" w:right="12" w:hanging="5"/>
      </w:pPr>
      <w:r>
        <w:t>Table 3: Overview of three adopted bot detection datasets. S, P and N info stands for semantic, property and neighborhood information respectively.</w:t>
      </w:r>
    </w:p>
    <w:tbl>
      <w:tblPr>
        <w:tblStyle w:val="TableGrid"/>
        <w:tblW w:w="4443" w:type="dxa"/>
        <w:tblInd w:w="166" w:type="dxa"/>
        <w:tblCellMar>
          <w:top w:w="8" w:type="dxa"/>
          <w:left w:w="0" w:type="dxa"/>
          <w:bottom w:w="0" w:type="dxa"/>
          <w:right w:w="9" w:type="dxa"/>
        </w:tblCellMar>
        <w:tblLook w:val="04A0" w:firstRow="1" w:lastRow="0" w:firstColumn="1" w:lastColumn="0" w:noHBand="0" w:noVBand="1"/>
      </w:tblPr>
      <w:tblGrid>
        <w:gridCol w:w="1089"/>
        <w:gridCol w:w="669"/>
        <w:gridCol w:w="883"/>
        <w:gridCol w:w="705"/>
        <w:gridCol w:w="638"/>
        <w:gridCol w:w="459"/>
      </w:tblGrid>
      <w:tr w:rsidR="00825237">
        <w:trPr>
          <w:trHeight w:val="531"/>
        </w:trPr>
        <w:tc>
          <w:tcPr>
            <w:tcW w:w="1089" w:type="dxa"/>
            <w:tcBorders>
              <w:top w:val="single" w:sz="6" w:space="0" w:color="000000"/>
              <w:left w:val="nil"/>
              <w:bottom w:val="single" w:sz="4" w:space="0" w:color="000000"/>
              <w:right w:val="nil"/>
            </w:tcBorders>
            <w:vAlign w:val="center"/>
          </w:tcPr>
          <w:p w:rsidR="00825237" w:rsidRDefault="00825237">
            <w:pPr>
              <w:spacing w:after="0" w:line="259" w:lineRule="auto"/>
              <w:ind w:left="213" w:firstLine="0"/>
              <w:jc w:val="left"/>
            </w:pPr>
          </w:p>
        </w:tc>
        <w:tc>
          <w:tcPr>
            <w:tcW w:w="669" w:type="dxa"/>
            <w:tcBorders>
              <w:top w:val="single" w:sz="6" w:space="0" w:color="000000"/>
              <w:left w:val="nil"/>
              <w:bottom w:val="single" w:sz="4" w:space="0" w:color="000000"/>
              <w:right w:val="nil"/>
            </w:tcBorders>
          </w:tcPr>
          <w:p w:rsidR="00825237" w:rsidRDefault="00825237">
            <w:pPr>
              <w:spacing w:after="0" w:line="259" w:lineRule="auto"/>
              <w:ind w:left="42" w:firstLine="60"/>
              <w:jc w:val="left"/>
            </w:pPr>
          </w:p>
        </w:tc>
        <w:tc>
          <w:tcPr>
            <w:tcW w:w="883" w:type="dxa"/>
            <w:tcBorders>
              <w:top w:val="single" w:sz="6" w:space="0" w:color="000000"/>
              <w:left w:val="nil"/>
              <w:bottom w:val="single" w:sz="4" w:space="0" w:color="000000"/>
              <w:right w:val="nil"/>
            </w:tcBorders>
          </w:tcPr>
          <w:p w:rsidR="00825237" w:rsidRDefault="00825237">
            <w:pPr>
              <w:spacing w:after="0" w:line="259" w:lineRule="auto"/>
              <w:ind w:left="187" w:hanging="187"/>
              <w:jc w:val="left"/>
            </w:pPr>
          </w:p>
        </w:tc>
        <w:tc>
          <w:tcPr>
            <w:tcW w:w="1802" w:type="dxa"/>
            <w:gridSpan w:val="3"/>
            <w:tcBorders>
              <w:top w:val="single" w:sz="6" w:space="0" w:color="000000"/>
              <w:left w:val="nil"/>
              <w:bottom w:val="single" w:sz="4" w:space="0" w:color="000000"/>
              <w:right w:val="nil"/>
            </w:tcBorders>
          </w:tcPr>
          <w:p w:rsidR="00825237" w:rsidRDefault="00825237">
            <w:pPr>
              <w:tabs>
                <w:tab w:val="center" w:pos="853"/>
                <w:tab w:val="right" w:pos="1792"/>
              </w:tabs>
              <w:spacing w:after="0" w:line="259" w:lineRule="auto"/>
              <w:ind w:left="0" w:firstLine="0"/>
              <w:jc w:val="left"/>
            </w:pPr>
          </w:p>
        </w:tc>
      </w:tr>
      <w:tr w:rsidR="00825237">
        <w:trPr>
          <w:trHeight w:val="265"/>
        </w:trPr>
        <w:tc>
          <w:tcPr>
            <w:tcW w:w="1089" w:type="dxa"/>
            <w:tcBorders>
              <w:top w:val="single" w:sz="4" w:space="0" w:color="000000"/>
              <w:left w:val="nil"/>
              <w:bottom w:val="nil"/>
              <w:right w:val="nil"/>
            </w:tcBorders>
          </w:tcPr>
          <w:p w:rsidR="00825237" w:rsidRDefault="00825237">
            <w:pPr>
              <w:spacing w:after="0" w:line="259" w:lineRule="auto"/>
              <w:ind w:left="132" w:firstLine="0"/>
              <w:jc w:val="left"/>
            </w:pPr>
          </w:p>
        </w:tc>
        <w:tc>
          <w:tcPr>
            <w:tcW w:w="669" w:type="dxa"/>
            <w:tcBorders>
              <w:top w:val="single" w:sz="4" w:space="0" w:color="000000"/>
              <w:left w:val="nil"/>
              <w:bottom w:val="nil"/>
              <w:right w:val="nil"/>
            </w:tcBorders>
          </w:tcPr>
          <w:p w:rsidR="00825237" w:rsidRDefault="00825237">
            <w:pPr>
              <w:spacing w:after="0" w:line="259" w:lineRule="auto"/>
              <w:ind w:left="0" w:firstLine="0"/>
              <w:jc w:val="left"/>
            </w:pPr>
          </w:p>
        </w:tc>
        <w:tc>
          <w:tcPr>
            <w:tcW w:w="883" w:type="dxa"/>
            <w:tcBorders>
              <w:top w:val="single" w:sz="4" w:space="0" w:color="000000"/>
              <w:left w:val="nil"/>
              <w:bottom w:val="nil"/>
              <w:right w:val="nil"/>
            </w:tcBorders>
          </w:tcPr>
          <w:p w:rsidR="00825237" w:rsidRDefault="00825237">
            <w:pPr>
              <w:spacing w:after="0" w:line="259" w:lineRule="auto"/>
              <w:ind w:left="291" w:firstLine="0"/>
              <w:jc w:val="left"/>
            </w:pPr>
          </w:p>
        </w:tc>
        <w:tc>
          <w:tcPr>
            <w:tcW w:w="705" w:type="dxa"/>
            <w:tcBorders>
              <w:top w:val="single" w:sz="4" w:space="0" w:color="000000"/>
              <w:left w:val="nil"/>
              <w:bottom w:val="nil"/>
              <w:right w:val="nil"/>
            </w:tcBorders>
          </w:tcPr>
          <w:p w:rsidR="00825237" w:rsidRDefault="00825237">
            <w:pPr>
              <w:spacing w:after="0" w:line="259" w:lineRule="auto"/>
              <w:ind w:left="104" w:firstLine="0"/>
              <w:jc w:val="left"/>
            </w:pPr>
          </w:p>
        </w:tc>
        <w:tc>
          <w:tcPr>
            <w:tcW w:w="638" w:type="dxa"/>
            <w:tcBorders>
              <w:top w:val="single" w:sz="4" w:space="0" w:color="000000"/>
              <w:left w:val="nil"/>
              <w:bottom w:val="nil"/>
              <w:right w:val="nil"/>
            </w:tcBorders>
          </w:tcPr>
          <w:p w:rsidR="00825237" w:rsidRDefault="00825237">
            <w:pPr>
              <w:spacing w:after="0" w:line="259" w:lineRule="auto"/>
              <w:ind w:left="104" w:firstLine="0"/>
              <w:jc w:val="left"/>
            </w:pPr>
          </w:p>
        </w:tc>
        <w:tc>
          <w:tcPr>
            <w:tcW w:w="459" w:type="dxa"/>
            <w:tcBorders>
              <w:top w:val="single" w:sz="4" w:space="0" w:color="000000"/>
              <w:left w:val="nil"/>
              <w:bottom w:val="nil"/>
              <w:right w:val="nil"/>
            </w:tcBorders>
          </w:tcPr>
          <w:p w:rsidR="00825237" w:rsidRDefault="00825237">
            <w:pPr>
              <w:spacing w:after="0" w:line="259" w:lineRule="auto"/>
              <w:ind w:left="0" w:firstLine="0"/>
              <w:jc w:val="left"/>
            </w:pPr>
          </w:p>
        </w:tc>
      </w:tr>
      <w:tr w:rsidR="00825237">
        <w:trPr>
          <w:trHeight w:val="214"/>
        </w:trPr>
        <w:tc>
          <w:tcPr>
            <w:tcW w:w="1089" w:type="dxa"/>
            <w:tcBorders>
              <w:top w:val="nil"/>
              <w:left w:val="nil"/>
              <w:bottom w:val="nil"/>
              <w:right w:val="nil"/>
            </w:tcBorders>
          </w:tcPr>
          <w:p w:rsidR="00825237" w:rsidRDefault="00825237">
            <w:pPr>
              <w:spacing w:after="0" w:line="259" w:lineRule="auto"/>
              <w:ind w:left="20" w:firstLine="0"/>
              <w:jc w:val="left"/>
            </w:pPr>
          </w:p>
        </w:tc>
        <w:tc>
          <w:tcPr>
            <w:tcW w:w="669" w:type="dxa"/>
            <w:tcBorders>
              <w:top w:val="nil"/>
              <w:left w:val="nil"/>
              <w:bottom w:val="nil"/>
              <w:right w:val="nil"/>
            </w:tcBorders>
          </w:tcPr>
          <w:p w:rsidR="00825237" w:rsidRDefault="00825237">
            <w:pPr>
              <w:spacing w:after="0" w:line="259" w:lineRule="auto"/>
              <w:ind w:left="83" w:firstLine="0"/>
              <w:jc w:val="left"/>
            </w:pPr>
          </w:p>
        </w:tc>
        <w:tc>
          <w:tcPr>
            <w:tcW w:w="883" w:type="dxa"/>
            <w:tcBorders>
              <w:top w:val="nil"/>
              <w:left w:val="nil"/>
              <w:bottom w:val="nil"/>
              <w:right w:val="nil"/>
            </w:tcBorders>
          </w:tcPr>
          <w:p w:rsidR="00825237" w:rsidRDefault="00825237">
            <w:pPr>
              <w:spacing w:after="0" w:line="259" w:lineRule="auto"/>
              <w:ind w:left="268" w:firstLine="0"/>
              <w:jc w:val="left"/>
            </w:pPr>
          </w:p>
        </w:tc>
        <w:tc>
          <w:tcPr>
            <w:tcW w:w="705" w:type="dxa"/>
            <w:tcBorders>
              <w:top w:val="nil"/>
              <w:left w:val="nil"/>
              <w:bottom w:val="nil"/>
              <w:right w:val="nil"/>
            </w:tcBorders>
          </w:tcPr>
          <w:p w:rsidR="00825237" w:rsidRDefault="00825237">
            <w:pPr>
              <w:spacing w:after="0" w:line="259" w:lineRule="auto"/>
              <w:ind w:left="82" w:firstLine="0"/>
              <w:jc w:val="left"/>
            </w:pPr>
          </w:p>
        </w:tc>
        <w:tc>
          <w:tcPr>
            <w:tcW w:w="638" w:type="dxa"/>
            <w:tcBorders>
              <w:top w:val="nil"/>
              <w:left w:val="nil"/>
              <w:bottom w:val="nil"/>
              <w:right w:val="nil"/>
            </w:tcBorders>
          </w:tcPr>
          <w:p w:rsidR="00825237" w:rsidRDefault="00825237">
            <w:pPr>
              <w:spacing w:after="160" w:line="259" w:lineRule="auto"/>
              <w:ind w:left="0" w:firstLine="0"/>
              <w:jc w:val="left"/>
            </w:pPr>
          </w:p>
        </w:tc>
        <w:tc>
          <w:tcPr>
            <w:tcW w:w="459" w:type="dxa"/>
            <w:tcBorders>
              <w:top w:val="nil"/>
              <w:left w:val="nil"/>
              <w:bottom w:val="nil"/>
              <w:right w:val="nil"/>
            </w:tcBorders>
          </w:tcPr>
          <w:p w:rsidR="00825237" w:rsidRDefault="00825237">
            <w:pPr>
              <w:spacing w:after="0" w:line="259" w:lineRule="auto"/>
              <w:ind w:left="0" w:firstLine="0"/>
              <w:jc w:val="left"/>
            </w:pPr>
          </w:p>
        </w:tc>
      </w:tr>
      <w:tr w:rsidR="00825237">
        <w:trPr>
          <w:trHeight w:val="273"/>
        </w:trPr>
        <w:tc>
          <w:tcPr>
            <w:tcW w:w="1089" w:type="dxa"/>
            <w:tcBorders>
              <w:top w:val="nil"/>
              <w:left w:val="nil"/>
              <w:bottom w:val="single" w:sz="6" w:space="0" w:color="000000"/>
              <w:right w:val="nil"/>
            </w:tcBorders>
          </w:tcPr>
          <w:p w:rsidR="00825237" w:rsidRDefault="00825237">
            <w:pPr>
              <w:spacing w:after="0" w:line="259" w:lineRule="auto"/>
              <w:ind w:left="169" w:firstLine="0"/>
              <w:jc w:val="left"/>
            </w:pPr>
          </w:p>
        </w:tc>
        <w:tc>
          <w:tcPr>
            <w:tcW w:w="669" w:type="dxa"/>
            <w:tcBorders>
              <w:top w:val="nil"/>
              <w:left w:val="nil"/>
              <w:bottom w:val="single" w:sz="6" w:space="0" w:color="000000"/>
              <w:right w:val="nil"/>
            </w:tcBorders>
          </w:tcPr>
          <w:p w:rsidR="00825237" w:rsidRDefault="00825237">
            <w:pPr>
              <w:spacing w:after="0" w:line="259" w:lineRule="auto"/>
              <w:ind w:left="42" w:firstLine="0"/>
              <w:jc w:val="left"/>
            </w:pPr>
          </w:p>
        </w:tc>
        <w:tc>
          <w:tcPr>
            <w:tcW w:w="883" w:type="dxa"/>
            <w:tcBorders>
              <w:top w:val="nil"/>
              <w:left w:val="nil"/>
              <w:bottom w:val="single" w:sz="6" w:space="0" w:color="000000"/>
              <w:right w:val="nil"/>
            </w:tcBorders>
          </w:tcPr>
          <w:p w:rsidR="00825237" w:rsidRDefault="00825237">
            <w:pPr>
              <w:spacing w:after="0" w:line="259" w:lineRule="auto"/>
              <w:ind w:left="268" w:firstLine="0"/>
              <w:jc w:val="left"/>
            </w:pPr>
          </w:p>
        </w:tc>
        <w:tc>
          <w:tcPr>
            <w:tcW w:w="705" w:type="dxa"/>
            <w:tcBorders>
              <w:top w:val="nil"/>
              <w:left w:val="nil"/>
              <w:bottom w:val="single" w:sz="6" w:space="0" w:color="000000"/>
              <w:right w:val="nil"/>
            </w:tcBorders>
          </w:tcPr>
          <w:p w:rsidR="00825237" w:rsidRDefault="00825237">
            <w:pPr>
              <w:spacing w:after="160" w:line="259" w:lineRule="auto"/>
              <w:ind w:left="0" w:firstLine="0"/>
              <w:jc w:val="left"/>
            </w:pPr>
          </w:p>
        </w:tc>
        <w:tc>
          <w:tcPr>
            <w:tcW w:w="638" w:type="dxa"/>
            <w:tcBorders>
              <w:top w:val="nil"/>
              <w:left w:val="nil"/>
              <w:bottom w:val="single" w:sz="6" w:space="0" w:color="000000"/>
              <w:right w:val="nil"/>
            </w:tcBorders>
          </w:tcPr>
          <w:p w:rsidR="00825237" w:rsidRDefault="00825237">
            <w:pPr>
              <w:spacing w:after="160" w:line="259" w:lineRule="auto"/>
              <w:ind w:left="0" w:firstLine="0"/>
              <w:jc w:val="left"/>
            </w:pPr>
          </w:p>
        </w:tc>
        <w:tc>
          <w:tcPr>
            <w:tcW w:w="459" w:type="dxa"/>
            <w:tcBorders>
              <w:top w:val="nil"/>
              <w:left w:val="nil"/>
              <w:bottom w:val="single" w:sz="6" w:space="0" w:color="000000"/>
              <w:right w:val="nil"/>
            </w:tcBorders>
          </w:tcPr>
          <w:p w:rsidR="00825237" w:rsidRDefault="00825237">
            <w:pPr>
              <w:spacing w:after="0" w:line="259" w:lineRule="auto"/>
              <w:ind w:left="0" w:firstLine="0"/>
              <w:jc w:val="left"/>
            </w:pPr>
          </w:p>
        </w:tc>
      </w:tr>
    </w:tbl>
    <w:p w:rsidR="00825237" w:rsidRDefault="00A6337D">
      <w:pPr>
        <w:numPr>
          <w:ilvl w:val="0"/>
          <w:numId w:val="6"/>
        </w:numPr>
        <w:ind w:right="14" w:hanging="169"/>
      </w:pPr>
      <w:r>
        <w:t xml:space="preserve">Lee </w:t>
      </w:r>
      <w:r>
        <w:rPr>
          <w:i/>
        </w:rPr>
        <w:t xml:space="preserve">et al. </w:t>
      </w:r>
      <w:r>
        <w:t xml:space="preserve">[16]: Lee </w:t>
      </w:r>
      <w:r>
        <w:rPr>
          <w:i/>
        </w:rPr>
        <w:t xml:space="preserve">et al. </w:t>
      </w:r>
      <w:r>
        <w:t>use random forest classifier with feature engineering.</w:t>
      </w:r>
    </w:p>
    <w:p w:rsidR="00825237" w:rsidRDefault="00A6337D">
      <w:pPr>
        <w:numPr>
          <w:ilvl w:val="0"/>
          <w:numId w:val="6"/>
        </w:numPr>
        <w:ind w:right="14" w:hanging="169"/>
      </w:pPr>
      <w:r>
        <w:t xml:space="preserve">Yang </w:t>
      </w:r>
      <w:r>
        <w:rPr>
          <w:i/>
        </w:rPr>
        <w:t xml:space="preserve">et al. </w:t>
      </w:r>
      <w:r>
        <w:t xml:space="preserve">[32]: Yang </w:t>
      </w:r>
      <w:r>
        <w:rPr>
          <w:i/>
        </w:rPr>
        <w:t xml:space="preserve">et al. </w:t>
      </w:r>
      <w:r>
        <w:t>use random forest with user metadata and derived secondary features.</w:t>
      </w:r>
    </w:p>
    <w:p w:rsidR="00825237" w:rsidRDefault="00A6337D">
      <w:pPr>
        <w:numPr>
          <w:ilvl w:val="0"/>
          <w:numId w:val="6"/>
        </w:numPr>
        <w:ind w:right="14" w:hanging="169"/>
      </w:pPr>
      <w:proofErr w:type="spellStart"/>
      <w:r>
        <w:t>Kudugunta</w:t>
      </w:r>
      <w:proofErr w:type="spellEnd"/>
      <w:r>
        <w:t xml:space="preserve"> </w:t>
      </w:r>
      <w:r>
        <w:rPr>
          <w:i/>
        </w:rPr>
        <w:t xml:space="preserve">et al. </w:t>
      </w:r>
      <w:r>
        <w:t xml:space="preserve">[14]: </w:t>
      </w:r>
      <w:proofErr w:type="spellStart"/>
      <w:r>
        <w:t>Kudugunta</w:t>
      </w:r>
      <w:proofErr w:type="spellEnd"/>
      <w:r>
        <w:t xml:space="preserve"> </w:t>
      </w:r>
      <w:r>
        <w:rPr>
          <w:i/>
        </w:rPr>
        <w:t xml:space="preserve">et al. </w:t>
      </w:r>
      <w:r>
        <w:t>propose to use LSTM and fully connected neural networks to jointly leverage tweet semantics and user metadata.</w:t>
      </w:r>
    </w:p>
    <w:p w:rsidR="00825237" w:rsidRDefault="00A6337D">
      <w:pPr>
        <w:numPr>
          <w:ilvl w:val="0"/>
          <w:numId w:val="6"/>
        </w:numPr>
        <w:ind w:right="14" w:hanging="169"/>
      </w:pPr>
      <w:r>
        <w:t xml:space="preserve">Wei </w:t>
      </w:r>
      <w:r>
        <w:rPr>
          <w:i/>
        </w:rPr>
        <w:t xml:space="preserve">et al. </w:t>
      </w:r>
      <w:r>
        <w:t xml:space="preserve">[29]: Wei </w:t>
      </w:r>
      <w:r>
        <w:rPr>
          <w:i/>
        </w:rPr>
        <w:t xml:space="preserve">et al. </w:t>
      </w:r>
      <w:r>
        <w:t xml:space="preserve">use word embeddings and a three-layer </w:t>
      </w:r>
      <w:proofErr w:type="spellStart"/>
      <w:r>
        <w:t>BiLSTM</w:t>
      </w:r>
      <w:proofErr w:type="spellEnd"/>
      <w:r>
        <w:t xml:space="preserve"> to encode tweets and identify bots.</w:t>
      </w:r>
    </w:p>
    <w:p w:rsidR="00825237" w:rsidRDefault="00A6337D">
      <w:pPr>
        <w:numPr>
          <w:ilvl w:val="0"/>
          <w:numId w:val="6"/>
        </w:numPr>
        <w:ind w:right="14" w:hanging="169"/>
      </w:pPr>
      <w:r>
        <w:t xml:space="preserve">Miller </w:t>
      </w:r>
      <w:r>
        <w:rPr>
          <w:i/>
        </w:rPr>
        <w:t>et al.</w:t>
      </w:r>
      <w:r>
        <w:rPr>
          <w:i/>
        </w:rPr>
        <w:t xml:space="preserve"> </w:t>
      </w:r>
      <w:r>
        <w:t xml:space="preserve">[21]: Miller </w:t>
      </w:r>
      <w:r>
        <w:rPr>
          <w:i/>
        </w:rPr>
        <w:t xml:space="preserve">et al. </w:t>
      </w:r>
      <w:r>
        <w:t>use 107 features and modified stream clustering algorithm for bot detection.</w:t>
      </w:r>
    </w:p>
    <w:p w:rsidR="00825237" w:rsidRDefault="00A6337D">
      <w:pPr>
        <w:numPr>
          <w:ilvl w:val="0"/>
          <w:numId w:val="6"/>
        </w:numPr>
        <w:ind w:right="14" w:hanging="169"/>
      </w:pPr>
      <w:proofErr w:type="spellStart"/>
      <w:r>
        <w:t>Cresci</w:t>
      </w:r>
      <w:proofErr w:type="spellEnd"/>
      <w:r>
        <w:t xml:space="preserve"> </w:t>
      </w:r>
      <w:r>
        <w:rPr>
          <w:i/>
        </w:rPr>
        <w:t xml:space="preserve">et al. </w:t>
      </w:r>
      <w:r>
        <w:t xml:space="preserve">[5]: </w:t>
      </w:r>
      <w:proofErr w:type="spellStart"/>
      <w:r>
        <w:t>Cresci</w:t>
      </w:r>
      <w:proofErr w:type="spellEnd"/>
      <w:r>
        <w:t xml:space="preserve"> </w:t>
      </w:r>
      <w:r>
        <w:rPr>
          <w:i/>
        </w:rPr>
        <w:t xml:space="preserve">et al. </w:t>
      </w:r>
      <w:r>
        <w:t xml:space="preserve">encodes user activities with strings and computes longest common substring to capture bot in groups. </w:t>
      </w:r>
      <w:r>
        <w:t xml:space="preserve">• </w:t>
      </w:r>
      <w:proofErr w:type="spellStart"/>
      <w:r>
        <w:t>Botometer</w:t>
      </w:r>
      <w:proofErr w:type="spellEnd"/>
      <w:r>
        <w:t xml:space="preserve"> [9]: </w:t>
      </w:r>
      <w:proofErr w:type="spellStart"/>
      <w:r>
        <w:t>Botomet</w:t>
      </w:r>
      <w:r>
        <w:t>er</w:t>
      </w:r>
      <w:proofErr w:type="spellEnd"/>
      <w:r>
        <w:t xml:space="preserve"> is a publicly available demo that leverages more than one thousand features to identify Twitter bots on demand.</w:t>
      </w:r>
    </w:p>
    <w:p w:rsidR="00825237" w:rsidRDefault="00A6337D">
      <w:pPr>
        <w:numPr>
          <w:ilvl w:val="0"/>
          <w:numId w:val="6"/>
        </w:numPr>
        <w:spacing w:after="65"/>
        <w:ind w:right="14" w:hanging="169"/>
      </w:pPr>
      <w:proofErr w:type="spellStart"/>
      <w:r>
        <w:t>Alhosseini</w:t>
      </w:r>
      <w:proofErr w:type="spellEnd"/>
      <w:r>
        <w:t xml:space="preserve"> </w:t>
      </w:r>
      <w:r>
        <w:rPr>
          <w:i/>
        </w:rPr>
        <w:t xml:space="preserve">et al. </w:t>
      </w:r>
      <w:r>
        <w:t xml:space="preserve">[1]: </w:t>
      </w:r>
      <w:proofErr w:type="spellStart"/>
      <w:r>
        <w:t>Alhosseini</w:t>
      </w:r>
      <w:proofErr w:type="spellEnd"/>
      <w:r>
        <w:t xml:space="preserve"> </w:t>
      </w:r>
      <w:r>
        <w:rPr>
          <w:i/>
        </w:rPr>
        <w:t xml:space="preserve">et al. </w:t>
      </w:r>
      <w:r>
        <w:t>adopt graph convolutional network for bot detection.</w:t>
      </w:r>
    </w:p>
    <w:p w:rsidR="00825237" w:rsidRDefault="00A6337D">
      <w:pPr>
        <w:spacing w:after="234" w:line="248" w:lineRule="auto"/>
        <w:ind w:left="-3" w:right="7"/>
        <w:jc w:val="left"/>
      </w:pPr>
      <w:r>
        <w:t xml:space="preserve">Evaluation Metrics. </w:t>
      </w:r>
      <w:r>
        <w:t>We adopt Accuracy, F1-score and MCC [18] as evaluation metrics. Accuracy is a straightforward metric while F1-score and MCC are more balanced alternatives.</w:t>
      </w:r>
    </w:p>
    <w:p w:rsidR="00825237" w:rsidRDefault="00A6337D">
      <w:pPr>
        <w:pStyle w:val="Heading2"/>
        <w:ind w:left="490" w:hanging="496"/>
      </w:pPr>
      <w:r>
        <w:t>Benchmark performance</w:t>
      </w:r>
    </w:p>
    <w:p w:rsidR="00825237" w:rsidRDefault="00A6337D">
      <w:pPr>
        <w:spacing w:after="65"/>
        <w:ind w:left="-3" w:right="14"/>
      </w:pPr>
      <w:r>
        <w:t>Table 4 reports bot detection performance of different methods on two public datasets cresci-17, PAN-19</w:t>
      </w:r>
      <w:r>
        <w:rPr>
          <w:sz w:val="22"/>
          <w:vertAlign w:val="superscript"/>
        </w:rPr>
        <w:t xml:space="preserve">3 </w:t>
      </w:r>
      <w:r>
        <w:t>and our proposed TwiBot-20. Table 4 demonstrates that:</w:t>
      </w:r>
    </w:p>
    <w:p w:rsidR="00825237" w:rsidRDefault="00A6337D">
      <w:pPr>
        <w:numPr>
          <w:ilvl w:val="0"/>
          <w:numId w:val="7"/>
        </w:numPr>
        <w:ind w:right="14" w:hanging="169"/>
      </w:pPr>
      <w:r>
        <w:t>All bot detection baselines achieve significantly lower performance on TwiBot-20 than on cresci-</w:t>
      </w:r>
      <w:r>
        <w:t>17 or PAN-19</w:t>
      </w:r>
      <w:r>
        <w:rPr>
          <w:sz w:val="22"/>
          <w:vertAlign w:val="superscript"/>
        </w:rPr>
        <w:t>3</w:t>
      </w:r>
      <w:r>
        <w:t>. This indicates that our TwiBot-20 is more challenging and social media bot detection is still an open problem.</w:t>
      </w:r>
    </w:p>
    <w:p w:rsidR="00825237" w:rsidRDefault="00A6337D">
      <w:pPr>
        <w:numPr>
          <w:ilvl w:val="0"/>
          <w:numId w:val="7"/>
        </w:numPr>
        <w:ind w:right="14" w:hanging="169"/>
      </w:pPr>
      <w:proofErr w:type="spellStart"/>
      <w:r>
        <w:t>Alhosseini</w:t>
      </w:r>
      <w:proofErr w:type="spellEnd"/>
      <w:r>
        <w:t xml:space="preserve"> </w:t>
      </w:r>
      <w:r>
        <w:rPr>
          <w:i/>
        </w:rPr>
        <w:t xml:space="preserve">et al. </w:t>
      </w:r>
      <w:r>
        <w:t>[1] applies graph convolutional network to the task of Twitter bot detection, which demands that bot detection d</w:t>
      </w:r>
      <w:r>
        <w:t xml:space="preserve">atasets include user neighborhood information. As </w:t>
      </w:r>
      <w:proofErr w:type="spellStart"/>
      <w:r>
        <w:t>Cresci</w:t>
      </w:r>
      <w:proofErr w:type="spellEnd"/>
      <w:r>
        <w:t xml:space="preserve"> </w:t>
      </w:r>
      <w:r>
        <w:rPr>
          <w:i/>
        </w:rPr>
        <w:t xml:space="preserve">et al. </w:t>
      </w:r>
      <w:r>
        <w:t>[8] points out, studying user communities is essential in future bot detection endeavors, where TwiBot-20 enables it by providing users’ neighborhood information and the two other datasets fal</w:t>
      </w:r>
      <w:r>
        <w:t>l short.</w:t>
      </w:r>
    </w:p>
    <w:p w:rsidR="00825237" w:rsidRDefault="00A6337D">
      <w:pPr>
        <w:numPr>
          <w:ilvl w:val="0"/>
          <w:numId w:val="7"/>
        </w:numPr>
        <w:ind w:right="14" w:hanging="169"/>
      </w:pPr>
      <w:r>
        <w:t xml:space="preserve">From the comparison between Wei </w:t>
      </w:r>
      <w:r>
        <w:rPr>
          <w:i/>
        </w:rPr>
        <w:t xml:space="preserve">et al. </w:t>
      </w:r>
      <w:r>
        <w:t xml:space="preserve">[29] and </w:t>
      </w:r>
      <w:proofErr w:type="spellStart"/>
      <w:r>
        <w:t>Kudugunta</w:t>
      </w:r>
      <w:proofErr w:type="spellEnd"/>
      <w:r>
        <w:t xml:space="preserve"> </w:t>
      </w:r>
      <w:r>
        <w:rPr>
          <w:i/>
        </w:rPr>
        <w:t xml:space="preserve">et al. </w:t>
      </w:r>
      <w:r>
        <w:t xml:space="preserve">[14], where both baselines use semantic information but the </w:t>
      </w:r>
      <w:r>
        <w:lastRenderedPageBreak/>
        <w:t>latter method also leverages user properties, it is demonstrated that the performance gap between two baselines is signifi</w:t>
      </w:r>
      <w:r>
        <w:t>cantly larger on our proposed TwiBot-20 than on cresci-17. This indicates that apart from being a toy example, TwiBot-20 is relatively more complex, where bot detectors need to leverage more user information in order to perform well.</w:t>
      </w:r>
    </w:p>
    <w:p w:rsidR="00825237" w:rsidRDefault="00A6337D">
      <w:pPr>
        <w:numPr>
          <w:ilvl w:val="0"/>
          <w:numId w:val="7"/>
        </w:numPr>
        <w:ind w:right="14" w:hanging="169"/>
      </w:pPr>
      <w:proofErr w:type="spellStart"/>
      <w:r>
        <w:t>Botometer</w:t>
      </w:r>
      <w:proofErr w:type="spellEnd"/>
      <w:r>
        <w:t xml:space="preserve"> [9] is a pub</w:t>
      </w:r>
      <w:r>
        <w:t>licly available bot detection demo. Although it succeeds in capturing bots in cresci-17 where users in the dataset were collected back in 2017, it fails to match its previous performance on TwiBot-20, where users are collected in 2020. This demonstrates th</w:t>
      </w:r>
      <w:r>
        <w:t>at the real-world Twittersphere has shifted and Twitter bots have evolved to evade previous detection methods, which calls for new research efforts and more up-to-date benchmarks like TwiBot-20.</w:t>
      </w:r>
    </w:p>
    <w:p w:rsidR="00825237" w:rsidRDefault="00A6337D">
      <w:pPr>
        <w:numPr>
          <w:ilvl w:val="0"/>
          <w:numId w:val="7"/>
        </w:numPr>
        <w:spacing w:after="275"/>
        <w:ind w:right="14" w:hanging="169"/>
      </w:pPr>
      <w:r>
        <w:t xml:space="preserve">For feature </w:t>
      </w:r>
      <w:proofErr w:type="gramStart"/>
      <w:r>
        <w:t>engineering based</w:t>
      </w:r>
      <w:proofErr w:type="gramEnd"/>
      <w:r>
        <w:t xml:space="preserve"> methods such as Lee </w:t>
      </w:r>
      <w:r>
        <w:rPr>
          <w:i/>
        </w:rPr>
        <w:t xml:space="preserve">et al. </w:t>
      </w:r>
      <w:r>
        <w:t>[16]</w:t>
      </w:r>
      <w:r>
        <w:t xml:space="preserve"> and Yang </w:t>
      </w:r>
      <w:r>
        <w:rPr>
          <w:i/>
        </w:rPr>
        <w:t xml:space="preserve">et al. </w:t>
      </w:r>
      <w:r>
        <w:t>[32], their performance drops significantly from cresci17 to TwiBot-20. This trend indicates that failing to incorporate semantic and neighborhood information leads to worse performance on more recent datasets. This could again be attribut</w:t>
      </w:r>
      <w:r>
        <w:t xml:space="preserve">ed to the evolution of Twitter </w:t>
      </w:r>
      <w:proofErr w:type="gramStart"/>
      <w:r>
        <w:t>bots,</w:t>
      </w:r>
      <w:proofErr w:type="gramEnd"/>
      <w:r>
        <w:t xml:space="preserve"> thus future bot detection methods should leverage increasingly diversified and multi-modal user information to achieve desirable performance.</w:t>
      </w:r>
    </w:p>
    <w:p w:rsidR="00825237" w:rsidRDefault="00A6337D">
      <w:pPr>
        <w:pStyle w:val="Heading2"/>
        <w:ind w:left="490" w:hanging="496"/>
      </w:pPr>
      <w:r>
        <w:t>Dataset Size Study</w:t>
      </w:r>
    </w:p>
    <w:p w:rsidR="00825237" w:rsidRDefault="00A6337D">
      <w:pPr>
        <w:ind w:left="-3" w:right="14"/>
      </w:pPr>
      <w:r>
        <w:t>TwiBot-20 contains more Twitter users than any other known</w:t>
      </w:r>
      <w:r>
        <w:t xml:space="preserve"> bot detection dataset and covers more types of accounts compared with existing bot detection benchmarks. In this section, we analyze the benefits of the enlarged scale and the challenge of more diversified users. We randomly choose different proportions o</w:t>
      </w:r>
      <w:r>
        <w:t>f users from the Twibot-20 training set and compare the model performances trained with different data sizes in Figure 5.</w:t>
      </w:r>
    </w:p>
    <w:p w:rsidR="00825237" w:rsidRDefault="00825237">
      <w:pPr>
        <w:spacing w:after="264" w:line="259" w:lineRule="auto"/>
        <w:ind w:left="7" w:firstLine="0"/>
        <w:jc w:val="left"/>
      </w:pPr>
    </w:p>
    <w:p w:rsidR="00825237" w:rsidRDefault="00A6337D">
      <w:pPr>
        <w:spacing w:after="4" w:line="250" w:lineRule="auto"/>
        <w:ind w:left="-3" w:right="12" w:hanging="5"/>
      </w:pPr>
      <w:r>
        <w:t xml:space="preserve">Figure 5: Baseline performance when trained on different percentage of the TwiBot-20 training set. Note that bot detection performance is evaluated on the full test set of </w:t>
      </w:r>
      <w:proofErr w:type="spellStart"/>
      <w:r>
        <w:t>TwiBot</w:t>
      </w:r>
      <w:proofErr w:type="spellEnd"/>
      <w:r>
        <w:t>-</w:t>
      </w:r>
    </w:p>
    <w:p w:rsidR="00825237" w:rsidRDefault="00A6337D">
      <w:pPr>
        <w:spacing w:after="731" w:line="250" w:lineRule="auto"/>
        <w:ind w:left="-3" w:right="12" w:hanging="5"/>
      </w:pPr>
      <w:r>
        <w:t>20.</w:t>
      </w:r>
    </w:p>
    <w:p w:rsidR="00825237" w:rsidRDefault="00A6337D">
      <w:pPr>
        <w:ind w:left="-6" w:right="14" w:firstLine="199"/>
      </w:pPr>
      <w:r>
        <w:t>Figure 5 demonstrates that even trained on a small portion of our propos</w:t>
      </w:r>
      <w:r>
        <w:t xml:space="preserve">ed TwiBot-20, competitive baselines like Yang </w:t>
      </w:r>
      <w:r>
        <w:rPr>
          <w:i/>
        </w:rPr>
        <w:t xml:space="preserve">et al. </w:t>
      </w:r>
      <w:r>
        <w:t>[32] still maintain their performance. This indicates that TwiBot-20 can sufficiently train bot detectors, while other datasets with significantly fewer users would not stably benchmark bot detection met</w:t>
      </w:r>
      <w:r>
        <w:t>hods.</w:t>
      </w:r>
    </w:p>
    <w:p w:rsidR="00825237" w:rsidRDefault="00A6337D">
      <w:pPr>
        <w:pStyle w:val="Heading2"/>
        <w:ind w:left="490" w:hanging="496"/>
      </w:pPr>
      <w:r>
        <w:t>User Information Study</w:t>
      </w:r>
    </w:p>
    <w:p w:rsidR="00825237" w:rsidRDefault="00A6337D">
      <w:pPr>
        <w:ind w:left="-3" w:right="14"/>
      </w:pPr>
      <w:r>
        <w:t>The task of Twitter bot detection is different from the standardized tasks in computer vision and natural language processing in that the input of bot detectors greatly vary from one another. Previous methods rely heavily on ei</w:t>
      </w:r>
      <w:r>
        <w:t xml:space="preserve">ther tweet semantics analysis or user profile feature extraction, while methods that stress following </w:t>
      </w:r>
      <w:proofErr w:type="spellStart"/>
      <w:r>
        <w:t>behaviour</w:t>
      </w:r>
      <w:proofErr w:type="spellEnd"/>
      <w:r>
        <w:t xml:space="preserve"> and the graph structure it forms is on the rise. We </w:t>
      </w:r>
      <w:r>
        <w:t>summarize competitive bot detection baselines and their usage of multi-modal user informatio</w:t>
      </w:r>
      <w:r>
        <w:t>n in Table 5.</w:t>
      </w:r>
    </w:p>
    <w:p w:rsidR="00825237" w:rsidRDefault="00A6337D">
      <w:pPr>
        <w:spacing w:after="553"/>
        <w:ind w:left="-6" w:right="14" w:firstLine="199"/>
      </w:pPr>
      <w:r>
        <w:t>Along with the experiment results in Table 4, we make the following observations:</w:t>
      </w:r>
    </w:p>
    <w:p w:rsidR="00825237" w:rsidRDefault="00A6337D">
      <w:pPr>
        <w:numPr>
          <w:ilvl w:val="0"/>
          <w:numId w:val="8"/>
        </w:numPr>
        <w:ind w:right="14" w:hanging="169"/>
      </w:pPr>
      <w:r>
        <w:t>To the best of our knowledge, TwiBot-20 is the first publicly available Twitter bot detection dataset to provide follow relationships between users to allow com</w:t>
      </w:r>
      <w:r>
        <w:t>munity-based detection measures. By providing multi-modal semantic, property and neighborhood user information, TwiBot-20 successfully supports all baseline bot detectors with varying demand of user information, while previous benchmarks fail to support ne</w:t>
      </w:r>
      <w:r>
        <w:t xml:space="preserve">wer research efforts such as </w:t>
      </w:r>
      <w:proofErr w:type="spellStart"/>
      <w:r>
        <w:t>Alhosseini</w:t>
      </w:r>
      <w:proofErr w:type="spellEnd"/>
      <w:r>
        <w:t xml:space="preserve"> </w:t>
      </w:r>
      <w:r>
        <w:rPr>
          <w:i/>
        </w:rPr>
        <w:t xml:space="preserve">et al. </w:t>
      </w:r>
      <w:r>
        <w:t>[1].</w:t>
      </w:r>
    </w:p>
    <w:p w:rsidR="00825237" w:rsidRDefault="00A6337D">
      <w:pPr>
        <w:numPr>
          <w:ilvl w:val="0"/>
          <w:numId w:val="8"/>
        </w:numPr>
        <w:ind w:right="14" w:hanging="169"/>
      </w:pPr>
      <w:r>
        <w:t xml:space="preserve">According to Table 5, </w:t>
      </w:r>
      <w:proofErr w:type="spellStart"/>
      <w:r>
        <w:t>Kudugunta</w:t>
      </w:r>
      <w:proofErr w:type="spellEnd"/>
      <w:r>
        <w:t xml:space="preserve"> </w:t>
      </w:r>
      <w:r>
        <w:rPr>
          <w:i/>
        </w:rPr>
        <w:t xml:space="preserve">et al. </w:t>
      </w:r>
      <w:r>
        <w:t xml:space="preserve">[14] leverages semantic and property information while Wei </w:t>
      </w:r>
      <w:r>
        <w:rPr>
          <w:i/>
        </w:rPr>
        <w:t xml:space="preserve">et al. </w:t>
      </w:r>
      <w:r>
        <w:t xml:space="preserve">[29] only uses semantic information. It is demonstrated in Table 4 that </w:t>
      </w:r>
      <w:proofErr w:type="spellStart"/>
      <w:r>
        <w:t>Kudugunta</w:t>
      </w:r>
      <w:proofErr w:type="spellEnd"/>
      <w:r>
        <w:t xml:space="preserve"> </w:t>
      </w:r>
      <w:r>
        <w:rPr>
          <w:i/>
        </w:rPr>
        <w:t xml:space="preserve">et al. </w:t>
      </w:r>
      <w:r>
        <w:t>[14] outpe</w:t>
      </w:r>
      <w:r>
        <w:t xml:space="preserve">rforms Wei </w:t>
      </w:r>
      <w:r>
        <w:rPr>
          <w:i/>
        </w:rPr>
        <w:t xml:space="preserve">et al. </w:t>
      </w:r>
      <w:r>
        <w:t xml:space="preserve">[29] on our proposed TwiBot-20. A similar contrast could be found between </w:t>
      </w:r>
      <w:proofErr w:type="spellStart"/>
      <w:r>
        <w:t>Alhosseini</w:t>
      </w:r>
      <w:proofErr w:type="spellEnd"/>
      <w:r>
        <w:t xml:space="preserve"> </w:t>
      </w:r>
      <w:r>
        <w:rPr>
          <w:i/>
        </w:rPr>
        <w:t xml:space="preserve">et al. </w:t>
      </w:r>
      <w:r>
        <w:t xml:space="preserve">[1] and Miller </w:t>
      </w:r>
      <w:r>
        <w:rPr>
          <w:i/>
        </w:rPr>
        <w:t xml:space="preserve">et al. </w:t>
      </w:r>
      <w:r>
        <w:t>[21]. These performance gaps suggest that robust bot detection methods should leverage as much user information as possible.</w:t>
      </w:r>
    </w:p>
    <w:p w:rsidR="00825237" w:rsidRDefault="00A6337D">
      <w:pPr>
        <w:spacing w:after="219"/>
        <w:ind w:left="-6" w:right="14" w:firstLine="199"/>
      </w:pPr>
      <w:r>
        <w:t>Therefore, TwiBot-20 would be the ideal dataset to suffice the need for multi-modal user information and fairly evaluate any previous or future bot detectors.</w:t>
      </w:r>
    </w:p>
    <w:p w:rsidR="00825237" w:rsidRDefault="00A6337D">
      <w:pPr>
        <w:pStyle w:val="Heading2"/>
        <w:ind w:left="490" w:hanging="496"/>
      </w:pPr>
      <w:r>
        <w:t>User Diversity Study</w:t>
      </w:r>
    </w:p>
    <w:p w:rsidR="00825237" w:rsidRDefault="00A6337D">
      <w:pPr>
        <w:ind w:left="-3" w:right="14"/>
      </w:pPr>
      <w:r>
        <w:t>Previous datasets often focus on several specific types of Twitter bots and fall short of comprehensiveness. Another important aim of our proposed TwiBot-20 is to provide a stable benchmark that evaluates bot detectors’ ability to identify diversified bots</w:t>
      </w:r>
      <w:r>
        <w:t xml:space="preserve"> that co-exist on online social media. To prove that achieving good performance on one type of bot doesn’t necessarily indicate the ability to identify diversified bots, we train the community-based bot detector </w:t>
      </w:r>
      <w:proofErr w:type="spellStart"/>
      <w:r>
        <w:t>Alhosseini</w:t>
      </w:r>
      <w:proofErr w:type="spellEnd"/>
      <w:r>
        <w:t xml:space="preserve"> </w:t>
      </w:r>
      <w:r>
        <w:rPr>
          <w:i/>
        </w:rPr>
        <w:t xml:space="preserve">et al. </w:t>
      </w:r>
      <w:r>
        <w:t>[1] on only one of the fou</w:t>
      </w:r>
      <w:r>
        <w:t>r interest domains in TwiBot-20 and evaluate it on the full test set. We present its performance in Figure 6.</w:t>
      </w:r>
    </w:p>
    <w:p w:rsidR="00825237" w:rsidRDefault="00825237">
      <w:pPr>
        <w:spacing w:after="265" w:line="259" w:lineRule="auto"/>
        <w:ind w:left="7" w:firstLine="0"/>
        <w:jc w:val="left"/>
      </w:pPr>
    </w:p>
    <w:p w:rsidR="00825237" w:rsidRDefault="00A6337D">
      <w:pPr>
        <w:spacing w:after="219"/>
        <w:ind w:left="-6" w:right="14" w:firstLine="205"/>
      </w:pPr>
      <w:r>
        <w:t xml:space="preserve">Figure 6 illustrates that when the method is trained on one of the user interest domains, </w:t>
      </w:r>
      <w:proofErr w:type="spellStart"/>
      <w:r>
        <w:t>Alhosseini</w:t>
      </w:r>
      <w:proofErr w:type="spellEnd"/>
      <w:r>
        <w:t xml:space="preserve"> </w:t>
      </w:r>
      <w:r>
        <w:rPr>
          <w:i/>
        </w:rPr>
        <w:t xml:space="preserve">et al. </w:t>
      </w:r>
      <w:r>
        <w:t xml:space="preserve">[1] fails to match its performance when it is trained on </w:t>
      </w:r>
      <w:r>
        <w:t>the full TwiBot-20. As a result, TwiBot-20 could better evaluate bot detection measures in that it contains diversified bots and genuine users, which demands bot detectors to jointly capture different types of bots rather than being limited to a specific b</w:t>
      </w:r>
      <w:r>
        <w:t>ot detection scenario.</w:t>
      </w:r>
    </w:p>
    <w:bookmarkEnd w:id="0"/>
    <w:p w:rsidR="00825237" w:rsidRDefault="00825237" w:rsidP="00E67B54">
      <w:pPr>
        <w:spacing w:after="5" w:line="242" w:lineRule="auto"/>
        <w:ind w:left="309" w:right="17" w:firstLine="0"/>
      </w:pPr>
    </w:p>
    <w:sectPr w:rsidR="00825237">
      <w:footerReference w:type="even" r:id="rId10"/>
      <w:footerReference w:type="default" r:id="rId11"/>
      <w:footerReference w:type="first" r:id="rId12"/>
      <w:type w:val="continuous"/>
      <w:pgSz w:w="12240" w:h="15840"/>
      <w:pgMar w:top="1674" w:right="1044" w:bottom="1651" w:left="1069" w:header="720" w:footer="720" w:gutter="0"/>
      <w:cols w:num="2" w:space="4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37D" w:rsidRDefault="00A6337D">
      <w:pPr>
        <w:spacing w:after="0" w:line="240" w:lineRule="auto"/>
      </w:pPr>
      <w:r>
        <w:separator/>
      </w:r>
    </w:p>
  </w:endnote>
  <w:endnote w:type="continuationSeparator" w:id="0">
    <w:p w:rsidR="00A6337D" w:rsidRDefault="00A6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37" w:rsidRDefault="00A6337D">
    <w:pPr>
      <w:spacing w:after="0" w:line="259" w:lineRule="auto"/>
      <w:ind w:left="0"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37" w:rsidRDefault="00A6337D">
    <w:pPr>
      <w:spacing w:after="0" w:line="259" w:lineRule="auto"/>
      <w:ind w:left="0"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37" w:rsidRDefault="0082523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37D" w:rsidRDefault="00A6337D">
      <w:pPr>
        <w:spacing w:after="0" w:line="259" w:lineRule="auto"/>
        <w:ind w:firstLine="0"/>
        <w:jc w:val="left"/>
      </w:pPr>
      <w:r>
        <w:separator/>
      </w:r>
    </w:p>
  </w:footnote>
  <w:footnote w:type="continuationSeparator" w:id="0">
    <w:p w:rsidR="00A6337D" w:rsidRDefault="00A6337D">
      <w:pPr>
        <w:spacing w:after="0" w:line="259" w:lineRule="auto"/>
        <w:ind w:firstLine="0"/>
        <w:jc w:val="left"/>
      </w:pPr>
      <w:r>
        <w:continuationSeparator/>
      </w:r>
    </w:p>
  </w:footnote>
  <w:footnote w:id="1">
    <w:p w:rsidR="00825237" w:rsidRDefault="00A6337D">
      <w:pPr>
        <w:pStyle w:val="footnotedescription"/>
      </w:pPr>
      <w:r>
        <w:rPr>
          <w:rStyle w:val="footnotemark"/>
        </w:rPr>
        <w:footnoteRef/>
      </w:r>
      <w:r>
        <w:t xml:space="preserve"> </w:t>
      </w:r>
      <w:hyperlink r:id="rId1">
        <w:r>
          <w:t>https://ww</w:t>
        </w:r>
        <w:r>
          <w:t>w.appen.com/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78A"/>
    <w:multiLevelType w:val="hybridMultilevel"/>
    <w:tmpl w:val="89144136"/>
    <w:lvl w:ilvl="0" w:tplc="38F6858A">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33C604A">
      <w:start w:val="1"/>
      <w:numFmt w:val="lowerLetter"/>
      <w:lvlText w:val="%2"/>
      <w:lvlJc w:val="left"/>
      <w:pPr>
        <w:ind w:left="113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9AAC63A">
      <w:start w:val="1"/>
      <w:numFmt w:val="lowerRoman"/>
      <w:lvlText w:val="%3"/>
      <w:lvlJc w:val="left"/>
      <w:pPr>
        <w:ind w:left="185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27C1E56">
      <w:start w:val="1"/>
      <w:numFmt w:val="decimal"/>
      <w:lvlText w:val="%4"/>
      <w:lvlJc w:val="left"/>
      <w:pPr>
        <w:ind w:left="257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1A942578">
      <w:start w:val="1"/>
      <w:numFmt w:val="lowerLetter"/>
      <w:lvlText w:val="%5"/>
      <w:lvlJc w:val="left"/>
      <w:pPr>
        <w:ind w:left="329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2D49A8E">
      <w:start w:val="1"/>
      <w:numFmt w:val="lowerRoman"/>
      <w:lvlText w:val="%6"/>
      <w:lvlJc w:val="left"/>
      <w:pPr>
        <w:ind w:left="401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C685E32">
      <w:start w:val="1"/>
      <w:numFmt w:val="decimal"/>
      <w:lvlText w:val="%7"/>
      <w:lvlJc w:val="left"/>
      <w:pPr>
        <w:ind w:left="473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24369970">
      <w:start w:val="1"/>
      <w:numFmt w:val="lowerLetter"/>
      <w:lvlText w:val="%8"/>
      <w:lvlJc w:val="left"/>
      <w:pPr>
        <w:ind w:left="545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89E083A">
      <w:start w:val="1"/>
      <w:numFmt w:val="lowerRoman"/>
      <w:lvlText w:val="%9"/>
      <w:lvlJc w:val="left"/>
      <w:pPr>
        <w:ind w:left="617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8331984"/>
    <w:multiLevelType w:val="hybridMultilevel"/>
    <w:tmpl w:val="48240AC0"/>
    <w:lvl w:ilvl="0" w:tplc="BE6CE13E">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9DE15F4">
      <w:start w:val="1"/>
      <w:numFmt w:val="bullet"/>
      <w:lvlText w:val="o"/>
      <w:lvlJc w:val="left"/>
      <w:pPr>
        <w:ind w:left="1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081644">
      <w:start w:val="1"/>
      <w:numFmt w:val="bullet"/>
      <w:lvlText w:val="▪"/>
      <w:lvlJc w:val="left"/>
      <w:pPr>
        <w:ind w:left="1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6DCE10A">
      <w:start w:val="1"/>
      <w:numFmt w:val="bullet"/>
      <w:lvlText w:val="•"/>
      <w:lvlJc w:val="left"/>
      <w:pPr>
        <w:ind w:left="2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C61260">
      <w:start w:val="1"/>
      <w:numFmt w:val="bullet"/>
      <w:lvlText w:val="o"/>
      <w:lvlJc w:val="left"/>
      <w:pPr>
        <w:ind w:left="3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BBE09A8">
      <w:start w:val="1"/>
      <w:numFmt w:val="bullet"/>
      <w:lvlText w:val="▪"/>
      <w:lvlJc w:val="left"/>
      <w:pPr>
        <w:ind w:left="39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B4E1A68">
      <w:start w:val="1"/>
      <w:numFmt w:val="bullet"/>
      <w:lvlText w:val="•"/>
      <w:lvlJc w:val="left"/>
      <w:pPr>
        <w:ind w:left="46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506F652">
      <w:start w:val="1"/>
      <w:numFmt w:val="bullet"/>
      <w:lvlText w:val="o"/>
      <w:lvlJc w:val="left"/>
      <w:pPr>
        <w:ind w:left="5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3A410EE">
      <w:start w:val="1"/>
      <w:numFmt w:val="bullet"/>
      <w:lvlText w:val="▪"/>
      <w:lvlJc w:val="left"/>
      <w:pPr>
        <w:ind w:left="6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CF7006F"/>
    <w:multiLevelType w:val="hybridMultilevel"/>
    <w:tmpl w:val="9C4A5C0C"/>
    <w:lvl w:ilvl="0" w:tplc="8FF29F8C">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B6A5A0">
      <w:start w:val="1"/>
      <w:numFmt w:val="bullet"/>
      <w:lvlText w:val="o"/>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87E4A8C">
      <w:start w:val="1"/>
      <w:numFmt w:val="bullet"/>
      <w:lvlText w:val="▪"/>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790F0BA">
      <w:start w:val="1"/>
      <w:numFmt w:val="bullet"/>
      <w:lvlText w:val="•"/>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080EF04">
      <w:start w:val="1"/>
      <w:numFmt w:val="bullet"/>
      <w:lvlText w:val="o"/>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6384262">
      <w:start w:val="1"/>
      <w:numFmt w:val="bullet"/>
      <w:lvlText w:val="▪"/>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DB807BA">
      <w:start w:val="1"/>
      <w:numFmt w:val="bullet"/>
      <w:lvlText w:val="•"/>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668DF72">
      <w:start w:val="1"/>
      <w:numFmt w:val="bullet"/>
      <w:lvlText w:val="o"/>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7EC6ED4">
      <w:start w:val="1"/>
      <w:numFmt w:val="bullet"/>
      <w:lvlText w:val="▪"/>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23E0045"/>
    <w:multiLevelType w:val="hybridMultilevel"/>
    <w:tmpl w:val="0074C04C"/>
    <w:lvl w:ilvl="0" w:tplc="D99011B6">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B98E5F2">
      <w:start w:val="1"/>
      <w:numFmt w:val="bullet"/>
      <w:lvlText w:val="o"/>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B269A3E">
      <w:start w:val="1"/>
      <w:numFmt w:val="bullet"/>
      <w:lvlText w:val="▪"/>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F8017B6">
      <w:start w:val="1"/>
      <w:numFmt w:val="bullet"/>
      <w:lvlText w:val="•"/>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85E0F72">
      <w:start w:val="1"/>
      <w:numFmt w:val="bullet"/>
      <w:lvlText w:val="o"/>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8A9C58">
      <w:start w:val="1"/>
      <w:numFmt w:val="bullet"/>
      <w:lvlText w:val="▪"/>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4BAFEC6">
      <w:start w:val="1"/>
      <w:numFmt w:val="bullet"/>
      <w:lvlText w:val="•"/>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28E63E">
      <w:start w:val="1"/>
      <w:numFmt w:val="bullet"/>
      <w:lvlText w:val="o"/>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2026826">
      <w:start w:val="1"/>
      <w:numFmt w:val="bullet"/>
      <w:lvlText w:val="▪"/>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3775C5A"/>
    <w:multiLevelType w:val="hybridMultilevel"/>
    <w:tmpl w:val="497A1F04"/>
    <w:lvl w:ilvl="0" w:tplc="67C2D872">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6349198">
      <w:start w:val="1"/>
      <w:numFmt w:val="bullet"/>
      <w:lvlText w:val="o"/>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49A8706">
      <w:start w:val="1"/>
      <w:numFmt w:val="bullet"/>
      <w:lvlText w:val="▪"/>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69C6DBC">
      <w:start w:val="1"/>
      <w:numFmt w:val="bullet"/>
      <w:lvlText w:val="•"/>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29E021A">
      <w:start w:val="1"/>
      <w:numFmt w:val="bullet"/>
      <w:lvlText w:val="o"/>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E749E16">
      <w:start w:val="1"/>
      <w:numFmt w:val="bullet"/>
      <w:lvlText w:val="▪"/>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A568546">
      <w:start w:val="1"/>
      <w:numFmt w:val="bullet"/>
      <w:lvlText w:val="•"/>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0EABC9A">
      <w:start w:val="1"/>
      <w:numFmt w:val="bullet"/>
      <w:lvlText w:val="o"/>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7D250A0">
      <w:start w:val="1"/>
      <w:numFmt w:val="bullet"/>
      <w:lvlText w:val="▪"/>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1682B6D"/>
    <w:multiLevelType w:val="multilevel"/>
    <w:tmpl w:val="77100858"/>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165075"/>
    <w:multiLevelType w:val="hybridMultilevel"/>
    <w:tmpl w:val="A0045016"/>
    <w:lvl w:ilvl="0" w:tplc="C53656C2">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7CA37DA">
      <w:start w:val="1"/>
      <w:numFmt w:val="bullet"/>
      <w:lvlText w:val="o"/>
      <w:lvlJc w:val="left"/>
      <w:pPr>
        <w:ind w:left="10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349D18">
      <w:start w:val="1"/>
      <w:numFmt w:val="bullet"/>
      <w:lvlText w:val="▪"/>
      <w:lvlJc w:val="left"/>
      <w:pPr>
        <w:ind w:left="18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263800">
      <w:start w:val="1"/>
      <w:numFmt w:val="bullet"/>
      <w:lvlText w:val="•"/>
      <w:lvlJc w:val="left"/>
      <w:pPr>
        <w:ind w:left="25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6E832B4">
      <w:start w:val="1"/>
      <w:numFmt w:val="bullet"/>
      <w:lvlText w:val="o"/>
      <w:lvlJc w:val="left"/>
      <w:pPr>
        <w:ind w:left="32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AEC4214">
      <w:start w:val="1"/>
      <w:numFmt w:val="bullet"/>
      <w:lvlText w:val="▪"/>
      <w:lvlJc w:val="left"/>
      <w:pPr>
        <w:ind w:left="39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9321B42">
      <w:start w:val="1"/>
      <w:numFmt w:val="bullet"/>
      <w:lvlText w:val="•"/>
      <w:lvlJc w:val="left"/>
      <w:pPr>
        <w:ind w:left="46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74AB9A4">
      <w:start w:val="1"/>
      <w:numFmt w:val="bullet"/>
      <w:lvlText w:val="o"/>
      <w:lvlJc w:val="left"/>
      <w:pPr>
        <w:ind w:left="5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144F0EE">
      <w:start w:val="1"/>
      <w:numFmt w:val="bullet"/>
      <w:lvlText w:val="▪"/>
      <w:lvlJc w:val="left"/>
      <w:pPr>
        <w:ind w:left="6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9036139"/>
    <w:multiLevelType w:val="hybridMultilevel"/>
    <w:tmpl w:val="1070EA74"/>
    <w:lvl w:ilvl="0" w:tplc="FF88A0E8">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FED6AA">
      <w:start w:val="1"/>
      <w:numFmt w:val="bullet"/>
      <w:lvlText w:val="o"/>
      <w:lvlJc w:val="left"/>
      <w:pPr>
        <w:ind w:left="1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E492E2">
      <w:start w:val="1"/>
      <w:numFmt w:val="bullet"/>
      <w:lvlText w:val="▪"/>
      <w:lvlJc w:val="left"/>
      <w:pPr>
        <w:ind w:left="1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E14260E">
      <w:start w:val="1"/>
      <w:numFmt w:val="bullet"/>
      <w:lvlText w:val="•"/>
      <w:lvlJc w:val="left"/>
      <w:pPr>
        <w:ind w:left="2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8FCE3BA">
      <w:start w:val="1"/>
      <w:numFmt w:val="bullet"/>
      <w:lvlText w:val="o"/>
      <w:lvlJc w:val="left"/>
      <w:pPr>
        <w:ind w:left="3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220D426">
      <w:start w:val="1"/>
      <w:numFmt w:val="bullet"/>
      <w:lvlText w:val="▪"/>
      <w:lvlJc w:val="left"/>
      <w:pPr>
        <w:ind w:left="39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9AD2A2">
      <w:start w:val="1"/>
      <w:numFmt w:val="bullet"/>
      <w:lvlText w:val="•"/>
      <w:lvlJc w:val="left"/>
      <w:pPr>
        <w:ind w:left="46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286E5E4">
      <w:start w:val="1"/>
      <w:numFmt w:val="bullet"/>
      <w:lvlText w:val="o"/>
      <w:lvlJc w:val="left"/>
      <w:pPr>
        <w:ind w:left="5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C08D466">
      <w:start w:val="1"/>
      <w:numFmt w:val="bullet"/>
      <w:lvlText w:val="▪"/>
      <w:lvlJc w:val="left"/>
      <w:pPr>
        <w:ind w:left="6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AFA4AF4"/>
    <w:multiLevelType w:val="hybridMultilevel"/>
    <w:tmpl w:val="748EF5DA"/>
    <w:lvl w:ilvl="0" w:tplc="5238A38A">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4D084C4">
      <w:start w:val="1"/>
      <w:numFmt w:val="bullet"/>
      <w:lvlText w:val="o"/>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BE25E08">
      <w:start w:val="1"/>
      <w:numFmt w:val="bullet"/>
      <w:lvlText w:val="▪"/>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6A269A8">
      <w:start w:val="1"/>
      <w:numFmt w:val="bullet"/>
      <w:lvlText w:val="•"/>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CAFE12">
      <w:start w:val="1"/>
      <w:numFmt w:val="bullet"/>
      <w:lvlText w:val="o"/>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D78A642">
      <w:start w:val="1"/>
      <w:numFmt w:val="bullet"/>
      <w:lvlText w:val="▪"/>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F61756">
      <w:start w:val="1"/>
      <w:numFmt w:val="bullet"/>
      <w:lvlText w:val="•"/>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6F09C44">
      <w:start w:val="1"/>
      <w:numFmt w:val="bullet"/>
      <w:lvlText w:val="o"/>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52A258E">
      <w:start w:val="1"/>
      <w:numFmt w:val="bullet"/>
      <w:lvlText w:val="▪"/>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13D026C"/>
    <w:multiLevelType w:val="hybridMultilevel"/>
    <w:tmpl w:val="37B45F6A"/>
    <w:lvl w:ilvl="0" w:tplc="C164C90E">
      <w:start w:val="12"/>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BADC33B6">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7FCB4AA">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AF8A1A6">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9F2C716">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2EE80410">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48EC29A">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1ECA8DF4">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639CEDBC">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7DAC02E4"/>
    <w:multiLevelType w:val="hybridMultilevel"/>
    <w:tmpl w:val="19D68A42"/>
    <w:lvl w:ilvl="0" w:tplc="9994469E">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B0C93FE">
      <w:start w:val="1"/>
      <w:numFmt w:val="bullet"/>
      <w:lvlText w:val="o"/>
      <w:lvlJc w:val="left"/>
      <w:pPr>
        <w:ind w:left="10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15694CE">
      <w:start w:val="1"/>
      <w:numFmt w:val="bullet"/>
      <w:lvlText w:val="▪"/>
      <w:lvlJc w:val="left"/>
      <w:pPr>
        <w:ind w:left="18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E4C9E16">
      <w:start w:val="1"/>
      <w:numFmt w:val="bullet"/>
      <w:lvlText w:val="•"/>
      <w:lvlJc w:val="left"/>
      <w:pPr>
        <w:ind w:left="25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1A04AA8">
      <w:start w:val="1"/>
      <w:numFmt w:val="bullet"/>
      <w:lvlText w:val="o"/>
      <w:lvlJc w:val="left"/>
      <w:pPr>
        <w:ind w:left="32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2E06BBC">
      <w:start w:val="1"/>
      <w:numFmt w:val="bullet"/>
      <w:lvlText w:val="▪"/>
      <w:lvlJc w:val="left"/>
      <w:pPr>
        <w:ind w:left="39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589C52">
      <w:start w:val="1"/>
      <w:numFmt w:val="bullet"/>
      <w:lvlText w:val="•"/>
      <w:lvlJc w:val="left"/>
      <w:pPr>
        <w:ind w:left="46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BCA0E0">
      <w:start w:val="1"/>
      <w:numFmt w:val="bullet"/>
      <w:lvlText w:val="o"/>
      <w:lvlJc w:val="left"/>
      <w:pPr>
        <w:ind w:left="54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5E48D6">
      <w:start w:val="1"/>
      <w:numFmt w:val="bullet"/>
      <w:lvlText w:val="▪"/>
      <w:lvlJc w:val="left"/>
      <w:pPr>
        <w:ind w:left="6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8"/>
  </w:num>
  <w:num w:numId="3">
    <w:abstractNumId w:val="10"/>
  </w:num>
  <w:num w:numId="4">
    <w:abstractNumId w:val="6"/>
  </w:num>
  <w:num w:numId="5">
    <w:abstractNumId w:val="4"/>
  </w:num>
  <w:num w:numId="6">
    <w:abstractNumId w:val="2"/>
  </w:num>
  <w:num w:numId="7">
    <w:abstractNumId w:val="1"/>
  </w:num>
  <w:num w:numId="8">
    <w:abstractNumId w:val="7"/>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37"/>
    <w:rsid w:val="00825237"/>
    <w:rsid w:val="00A6337D"/>
    <w:rsid w:val="00DF7BFA"/>
    <w:rsid w:val="00E6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A240"/>
  <w15:docId w15:val="{6B59A99D-6828-4B52-8025-4E49E146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9" w:lineRule="auto"/>
      <w:ind w:left="5" w:hanging="3"/>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11"/>
      </w:numPr>
      <w:spacing w:after="5"/>
      <w:ind w:left="17"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11"/>
      </w:numPr>
      <w:spacing w:after="5"/>
      <w:ind w:left="17"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9"/>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unsenFeng/TwiBot-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unsenFeng/TwiBot-2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unsenFeng/TwiBot-2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pp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4095</Words>
  <Characters>21827</Characters>
  <Application>Microsoft Office Word</Application>
  <DocSecurity>0</DocSecurity>
  <Lines>661</Lines>
  <Paragraphs>350</Paragraphs>
  <ScaleCrop>false</ScaleCrop>
  <HeadingPairs>
    <vt:vector size="2" baseType="variant">
      <vt:variant>
        <vt:lpstr>Title</vt:lpstr>
      </vt:variant>
      <vt:variant>
        <vt:i4>1</vt:i4>
      </vt:variant>
    </vt:vector>
  </HeadingPairs>
  <TitlesOfParts>
    <vt:vector size="1" baseType="lpstr">
      <vt:lpstr>TwiBot-20: A Comprehensive Twitter Bot Detection Benchmark</vt:lpstr>
    </vt:vector>
  </TitlesOfParts>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TwiBot-20: A Comprehensive Twitter Bot Detection Benchmark</dc:title>
  <dc:subject/>
  <dc:creator>MERT BAYRAKTAR</dc:creator>
  <cp:keywords/>
  <cp:lastModifiedBy>MERT BAYRAKTAR</cp:lastModifiedBy>
  <cp:revision>2</cp:revision>
  <dcterms:created xsi:type="dcterms:W3CDTF">2023-05-28T23:06:00Z</dcterms:created>
  <dcterms:modified xsi:type="dcterms:W3CDTF">2023-05-28T23:06:00Z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a6f61b6603014dcaf1f71e4a7d6fcf189d1ce8a565fb168a0316116fc863efc0</vt:lpwstr>
  </property>
</Properties>
</file>