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F91" w:rsidRDefault="001711BD">
      <w:pPr>
        <w:spacing w:after="117" w:line="258" w:lineRule="auto"/>
        <w:ind w:right="0"/>
        <w:jc w:val="center"/>
      </w:pPr>
      <w:bookmarkStart w:id="0" w:name="_GoBack"/>
      <w:r>
        <w:t>II. B</w:t>
      </w:r>
      <w:r>
        <w:rPr>
          <w:sz w:val="16"/>
        </w:rPr>
        <w:t>OT</w:t>
      </w:r>
      <w:r>
        <w:t>RGCN M</w:t>
      </w:r>
      <w:r>
        <w:rPr>
          <w:sz w:val="16"/>
        </w:rPr>
        <w:t>ETHODOLOGY</w:t>
      </w:r>
    </w:p>
    <w:p w:rsidR="00440F91" w:rsidRDefault="001711BD">
      <w:pPr>
        <w:pStyle w:val="Heading1"/>
        <w:ind w:left="-5" w:right="0"/>
      </w:pPr>
      <w:r>
        <w:t>A. Problem Definition</w:t>
      </w:r>
    </w:p>
    <w:p w:rsidR="00440F91" w:rsidRDefault="001711BD">
      <w:pPr>
        <w:spacing w:after="2" w:line="259" w:lineRule="auto"/>
        <w:ind w:right="-15"/>
        <w:jc w:val="right"/>
      </w:pPr>
      <w:r>
        <w:rPr>
          <w:noProof/>
        </w:rPr>
        <w:drawing>
          <wp:inline distT="0" distB="0" distL="0" distR="0">
            <wp:extent cx="856488" cy="216408"/>
            <wp:effectExtent l="0" t="0" r="0" b="0"/>
            <wp:docPr id="13708" name="Picture 13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" name="Picture 137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488" cy="21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denotes a user’s description with </w:t>
      </w:r>
      <w:r>
        <w:rPr>
          <w:rFonts w:ascii="Cambria" w:eastAsia="Cambria" w:hAnsi="Cambria" w:cs="Cambria"/>
          <w:i/>
        </w:rPr>
        <w:t xml:space="preserve">L </w:t>
      </w:r>
      <w:r>
        <w:t>words.</w:t>
      </w:r>
    </w:p>
    <w:p w:rsidR="00440F91" w:rsidRDefault="001711BD">
      <w:pPr>
        <w:ind w:left="-5" w:right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-25116</wp:posOffset>
            </wp:positionH>
            <wp:positionV relativeFrom="paragraph">
              <wp:posOffset>56099</wp:posOffset>
            </wp:positionV>
            <wp:extent cx="865632" cy="237744"/>
            <wp:effectExtent l="0" t="0" r="0" b="0"/>
            <wp:wrapSquare wrapText="bothSides"/>
            <wp:docPr id="13709" name="Picture 13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" name="Picture 137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5632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Let </w:t>
      </w:r>
      <w:r>
        <w:rPr>
          <w:rFonts w:ascii="Cambria" w:eastAsia="Cambria" w:hAnsi="Cambria" w:cs="Cambria"/>
          <w:i/>
        </w:rPr>
        <w:t xml:space="preserve">T </w:t>
      </w:r>
      <w:r>
        <w:rPr>
          <w:rFonts w:ascii="Cambria" w:eastAsia="Cambria" w:hAnsi="Cambria" w:cs="Cambria"/>
        </w:rPr>
        <w:t>= {</w:t>
      </w:r>
      <w:proofErr w:type="spellStart"/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</w:rPr>
        <w:t>}</w:t>
      </w:r>
      <w:proofErr w:type="spellStart"/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be a user’s </w:t>
      </w:r>
      <w:r>
        <w:rPr>
          <w:rFonts w:ascii="Cambria" w:eastAsia="Cambria" w:hAnsi="Cambria" w:cs="Cambria"/>
          <w:i/>
        </w:rPr>
        <w:t xml:space="preserve">M </w:t>
      </w:r>
      <w:r>
        <w:t xml:space="preserve">tweets and each tweet </w:t>
      </w:r>
      <w:proofErr w:type="spellStart"/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r>
        <w:t xml:space="preserve">contains </w:t>
      </w:r>
      <w:r>
        <w:rPr>
          <w:rFonts w:ascii="Cambria" w:eastAsia="Cambria" w:hAnsi="Cambria" w:cs="Cambria"/>
          <w:i/>
        </w:rPr>
        <w:t>Q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t xml:space="preserve">words. Let </w:t>
      </w:r>
      <w:r>
        <w:rPr>
          <w:rFonts w:ascii="Cambria" w:eastAsia="Cambria" w:hAnsi="Cambria" w:cs="Cambria"/>
          <w:i/>
        </w:rPr>
        <w:t xml:space="preserve">P </w:t>
      </w:r>
      <w:r>
        <w:rPr>
          <w:rFonts w:ascii="Cambria" w:eastAsia="Cambria" w:hAnsi="Cambria" w:cs="Cambria"/>
        </w:rPr>
        <w:t>= {</w:t>
      </w:r>
      <w:proofErr w:type="spellStart"/>
      <w:proofErr w:type="gramStart"/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i/>
          <w:vertAlign w:val="superscript"/>
        </w:rPr>
        <w:t>num</w:t>
      </w:r>
      <w:r>
        <w:rPr>
          <w:rFonts w:ascii="Cambria" w:eastAsia="Cambria" w:hAnsi="Cambria" w:cs="Cambria"/>
          <w:i/>
        </w:rPr>
        <w:t>,P</w:t>
      </w:r>
      <w:r>
        <w:rPr>
          <w:rFonts w:ascii="Cambria" w:eastAsia="Cambria" w:hAnsi="Cambria" w:cs="Cambria"/>
          <w:i/>
          <w:vertAlign w:val="superscript"/>
        </w:rPr>
        <w:t>cat</w:t>
      </w:r>
      <w:proofErr w:type="spellEnd"/>
      <w:proofErr w:type="gramEnd"/>
      <w:r>
        <w:rPr>
          <w:rFonts w:ascii="Cambria" w:eastAsia="Cambria" w:hAnsi="Cambria" w:cs="Cambria"/>
        </w:rPr>
        <w:t xml:space="preserve">} </w:t>
      </w:r>
      <w:r>
        <w:t>be a user’s numerical and categorical user property set. Let</w:t>
      </w:r>
    </w:p>
    <w:p w:rsidR="00440F91" w:rsidRDefault="001711BD">
      <w:pPr>
        <w:spacing w:after="238"/>
        <w:ind w:left="-5" w:right="0"/>
      </w:pP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>= {</w:t>
      </w:r>
      <w:proofErr w:type="spellStart"/>
      <w:proofErr w:type="gramStart"/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i/>
          <w:vertAlign w:val="superscript"/>
        </w:rPr>
        <w:t>f</w:t>
      </w:r>
      <w:r>
        <w:rPr>
          <w:rFonts w:ascii="Cambria" w:eastAsia="Cambria" w:hAnsi="Cambria" w:cs="Cambria"/>
          <w:i/>
        </w:rPr>
        <w:t>,N</w:t>
      </w:r>
      <w:r>
        <w:rPr>
          <w:rFonts w:ascii="Cambria" w:eastAsia="Cambria" w:hAnsi="Cambria" w:cs="Cambria"/>
          <w:i/>
          <w:vertAlign w:val="superscript"/>
        </w:rPr>
        <w:t>t</w:t>
      </w:r>
      <w:proofErr w:type="spellEnd"/>
      <w:proofErr w:type="gramEnd"/>
      <w:r>
        <w:rPr>
          <w:rFonts w:ascii="Cambria" w:eastAsia="Cambria" w:hAnsi="Cambria" w:cs="Cambria"/>
        </w:rPr>
        <w:t xml:space="preserve">} </w:t>
      </w:r>
      <w:r>
        <w:t xml:space="preserve">be a user’s neighborhood information, where </w:t>
      </w:r>
      <w:r>
        <w:rPr>
          <w:noProof/>
        </w:rPr>
        <w:drawing>
          <wp:inline distT="0" distB="0" distL="0" distR="0">
            <wp:extent cx="1170432" cy="158496"/>
            <wp:effectExtent l="0" t="0" r="0" b="0"/>
            <wp:docPr id="13710" name="Picture 13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" name="Picture 137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denotes user’s followings and </w:t>
      </w:r>
      <w:proofErr w:type="spellStart"/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i/>
          <w:vertAlign w:val="superscript"/>
        </w:rPr>
        <w:t>t</w:t>
      </w:r>
      <w:proofErr w:type="spellEnd"/>
      <w:r>
        <w:rPr>
          <w:rFonts w:ascii="Cambria" w:eastAsia="Cambria" w:hAnsi="Cambria" w:cs="Cambria"/>
          <w:i/>
          <w:vertAlign w:val="super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r>
        <w:rPr>
          <w:noProof/>
        </w:rPr>
        <w:drawing>
          <wp:inline distT="0" distB="0" distL="0" distR="0">
            <wp:extent cx="728472" cy="213360"/>
            <wp:effectExtent l="0" t="0" r="0" b="0"/>
            <wp:docPr id="13711" name="Picture 13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" name="Picture 137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472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denotes user’s followers. The task of Twitter bot detection is to identify bots among users with the help of user information </w:t>
      </w:r>
      <w:r>
        <w:rPr>
          <w:rFonts w:ascii="Cambria" w:eastAsia="Cambria" w:hAnsi="Cambria" w:cs="Cambria"/>
          <w:i/>
        </w:rPr>
        <w:t>B</w:t>
      </w:r>
      <w:r>
        <w:t xml:space="preserve">, </w:t>
      </w:r>
      <w:r>
        <w:rPr>
          <w:rFonts w:ascii="Cambria" w:eastAsia="Cambria" w:hAnsi="Cambria" w:cs="Cambria"/>
          <w:i/>
        </w:rPr>
        <w:t>T</w:t>
      </w:r>
      <w:r>
        <w:t xml:space="preserve">, </w:t>
      </w:r>
      <w:r>
        <w:rPr>
          <w:rFonts w:ascii="Cambria" w:eastAsia="Cambria" w:hAnsi="Cambria" w:cs="Cambria"/>
          <w:i/>
        </w:rPr>
        <w:t xml:space="preserve">P </w:t>
      </w:r>
      <w:r>
        <w:t xml:space="preserve">and </w:t>
      </w:r>
      <w:r>
        <w:rPr>
          <w:rFonts w:ascii="Cambria" w:eastAsia="Cambria" w:hAnsi="Cambria" w:cs="Cambria"/>
          <w:i/>
        </w:rPr>
        <w:t>N</w:t>
      </w:r>
      <w:r>
        <w:t>.</w:t>
      </w:r>
    </w:p>
    <w:p w:rsidR="00440F91" w:rsidRDefault="001711BD">
      <w:pPr>
        <w:pStyle w:val="Heading1"/>
        <w:spacing w:after="77"/>
        <w:ind w:left="-5" w:right="0"/>
      </w:pPr>
      <w:r>
        <w:t>B. User Feature Encoding</w:t>
      </w:r>
    </w:p>
    <w:p w:rsidR="00440F91" w:rsidRDefault="001711BD">
      <w:pPr>
        <w:ind w:left="-15" w:right="0" w:firstLine="199"/>
      </w:pPr>
      <w:proofErr w:type="spellStart"/>
      <w:r>
        <w:t>BotRGCN</w:t>
      </w:r>
      <w:proofErr w:type="spellEnd"/>
      <w:r>
        <w:t xml:space="preserve"> is designed to address the challenge of disguise by leveraging multi-modal user information, which leaves bot operators no venue to achieve malicious goals. Specifically,</w:t>
      </w:r>
    </w:p>
    <w:p w:rsidR="00440F91" w:rsidRDefault="001711BD">
      <w:pPr>
        <w:spacing w:before="632" w:after="36"/>
        <w:ind w:left="-5" w:right="0"/>
      </w:pPr>
      <w:proofErr w:type="spellStart"/>
      <w:r>
        <w:t>BotRGCN</w:t>
      </w:r>
      <w:proofErr w:type="spellEnd"/>
      <w:r>
        <w:t xml:space="preserve"> jointly encodes user semantic information of description and tweets as well as both numerical and categorical user property information.</w:t>
      </w:r>
    </w:p>
    <w:p w:rsidR="00440F91" w:rsidRDefault="001711BD">
      <w:pPr>
        <w:numPr>
          <w:ilvl w:val="0"/>
          <w:numId w:val="1"/>
        </w:numPr>
        <w:spacing w:after="69"/>
        <w:ind w:right="0" w:firstLine="399"/>
      </w:pPr>
      <w:r>
        <w:rPr>
          <w:i/>
        </w:rPr>
        <w:t xml:space="preserve">Overall user feature vector: </w:t>
      </w:r>
      <w:r>
        <w:t>We encode user description, tweets, numerical and categorical properties and conca</w:t>
      </w:r>
      <w:r>
        <w:t>tenate them to serve as user features:</w:t>
      </w:r>
    </w:p>
    <w:p w:rsidR="00440F91" w:rsidRDefault="001711BD">
      <w:pPr>
        <w:tabs>
          <w:tab w:val="center" w:pos="2526"/>
          <w:tab w:val="right" w:pos="5021"/>
        </w:tabs>
        <w:spacing w:after="84" w:line="259" w:lineRule="auto"/>
        <w:ind w:left="0" w:right="-15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615440" cy="167640"/>
            <wp:effectExtent l="0" t="0" r="0" b="0"/>
            <wp:docPr id="13712" name="Picture 13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" name="Picture 137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(1)</w:t>
      </w:r>
    </w:p>
    <w:p w:rsidR="00440F91" w:rsidRDefault="001711BD">
      <w:pPr>
        <w:spacing w:after="35"/>
        <w:ind w:left="-5" w:right="0"/>
      </w:pPr>
      <w:r>
        <w:t xml:space="preserve">where </w:t>
      </w:r>
      <w:r>
        <w:rPr>
          <w:rFonts w:ascii="Cambria" w:eastAsia="Cambria" w:hAnsi="Cambria" w:cs="Cambria"/>
          <w:i/>
        </w:rPr>
        <w:t xml:space="preserve">D </w:t>
      </w:r>
      <w:r>
        <w:t xml:space="preserve">is the user embedding dimension. We present </w:t>
      </w:r>
      <w:proofErr w:type="spellStart"/>
      <w:r>
        <w:t>BotRGCN’s</w:t>
      </w:r>
      <w:proofErr w:type="spellEnd"/>
      <w:r>
        <w:t xml:space="preserve"> strategy of encoding user </w:t>
      </w:r>
      <w:proofErr w:type="spellStart"/>
      <w:r>
        <w:t>desciption</w:t>
      </w:r>
      <w:proofErr w:type="spellEnd"/>
      <w:r>
        <w:t>, tweets, numerical and categorical property items in the following.</w:t>
      </w:r>
    </w:p>
    <w:p w:rsidR="00440F91" w:rsidRDefault="001711BD">
      <w:pPr>
        <w:numPr>
          <w:ilvl w:val="0"/>
          <w:numId w:val="1"/>
        </w:numPr>
        <w:spacing w:after="70"/>
        <w:ind w:right="0" w:firstLine="399"/>
      </w:pPr>
      <w:r>
        <w:rPr>
          <w:i/>
        </w:rPr>
        <w:t xml:space="preserve">Feature set 1: user description: </w:t>
      </w:r>
      <w:r>
        <w:t xml:space="preserve">We adopt pre-trained </w:t>
      </w:r>
      <w:proofErr w:type="spellStart"/>
      <w:r>
        <w:t>RoBERTa</w:t>
      </w:r>
      <w:proofErr w:type="spellEnd"/>
      <w:r>
        <w:t xml:space="preserve"> [12] to encode user descriptions. We firstly transform words in user description with </w:t>
      </w:r>
      <w:proofErr w:type="spellStart"/>
      <w:r>
        <w:t>RoBERTa</w:t>
      </w:r>
      <w:proofErr w:type="spellEnd"/>
      <w:r>
        <w:t>:</w:t>
      </w:r>
    </w:p>
    <w:p w:rsidR="00440F91" w:rsidRDefault="001711BD">
      <w:pPr>
        <w:tabs>
          <w:tab w:val="center" w:pos="2526"/>
          <w:tab w:val="right" w:pos="5021"/>
        </w:tabs>
        <w:spacing w:after="139" w:line="259" w:lineRule="auto"/>
        <w:ind w:left="0" w:right="-15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2072640" cy="149352"/>
            <wp:effectExtent l="0" t="0" r="0" b="0"/>
            <wp:docPr id="13713" name="Picture 13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" name="Picture 137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(2)</w:t>
      </w:r>
    </w:p>
    <w:p w:rsidR="00440F91" w:rsidRDefault="001711BD">
      <w:pPr>
        <w:spacing w:after="170"/>
        <w:ind w:left="-5" w:right="0"/>
      </w:pPr>
      <w:r>
        <w:t xml:space="preserve">where </w:t>
      </w:r>
      <w:r>
        <w:rPr>
          <w:rFonts w:ascii="Cambria" w:eastAsia="Cambria" w:hAnsi="Cambria" w:cs="Cambria"/>
          <w:sz w:val="31"/>
          <w:vertAlign w:val="superscript"/>
        </w:rPr>
        <w:t>¯</w:t>
      </w:r>
      <w:r>
        <w:rPr>
          <w:rFonts w:ascii="Cambria" w:eastAsia="Cambria" w:hAnsi="Cambria" w:cs="Cambria"/>
          <w:i/>
        </w:rPr>
        <w:t xml:space="preserve">b </w:t>
      </w:r>
      <w:r>
        <w:t xml:space="preserve">denotes representation of user description and </w:t>
      </w:r>
      <w:r>
        <w:rPr>
          <w:rFonts w:ascii="Cambria" w:eastAsia="Cambria" w:hAnsi="Cambria" w:cs="Cambria"/>
          <w:i/>
        </w:rPr>
        <w:t>D</w:t>
      </w:r>
      <w:r>
        <w:rPr>
          <w:rFonts w:ascii="Cambria" w:eastAsia="Cambria" w:hAnsi="Cambria" w:cs="Cambria"/>
          <w:i/>
          <w:vertAlign w:val="subscript"/>
        </w:rPr>
        <w:t xml:space="preserve">s </w:t>
      </w:r>
      <w:r>
        <w:t xml:space="preserve">is the </w:t>
      </w:r>
      <w:proofErr w:type="spellStart"/>
      <w:r>
        <w:t>RoBERTa</w:t>
      </w:r>
      <w:proofErr w:type="spellEnd"/>
      <w:r>
        <w:t xml:space="preserve"> embedding dimension. We then derive representation </w:t>
      </w:r>
      <w:r>
        <w:t>vectors for user’s description:</w:t>
      </w:r>
    </w:p>
    <w:p w:rsidR="00440F91" w:rsidRDefault="001711BD">
      <w:pPr>
        <w:tabs>
          <w:tab w:val="center" w:pos="1856"/>
          <w:tab w:val="center" w:pos="3520"/>
          <w:tab w:val="right" w:pos="5021"/>
        </w:tabs>
        <w:spacing w:after="216" w:line="259" w:lineRule="auto"/>
        <w:ind w:left="0" w:right="-15" w:firstLine="0"/>
        <w:jc w:val="left"/>
      </w:pPr>
      <w:r>
        <w:rPr>
          <w:sz w:val="22"/>
        </w:rPr>
        <w:tab/>
      </w:r>
      <w:proofErr w:type="spellStart"/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i/>
          <w:sz w:val="14"/>
        </w:rPr>
        <w:t>b</w:t>
      </w:r>
      <w:proofErr w:type="spellEnd"/>
      <w:r>
        <w:rPr>
          <w:rFonts w:ascii="Cambria" w:eastAsia="Cambria" w:hAnsi="Cambria" w:cs="Cambria"/>
          <w:i/>
          <w:sz w:val="14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proofErr w:type="gramStart"/>
      <w:r>
        <w:rPr>
          <w:rFonts w:ascii="Cambria" w:eastAsia="Cambria" w:hAnsi="Cambria" w:cs="Cambria"/>
          <w:i/>
        </w:rPr>
        <w:t>φ</w:t>
      </w:r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sz w:val="14"/>
        </w:rPr>
        <w:t xml:space="preserve">B </w:t>
      </w:r>
      <w:r>
        <w:rPr>
          <w:rFonts w:ascii="Cambria" w:eastAsia="Cambria" w:hAnsi="Cambria" w:cs="Cambria"/>
        </w:rPr>
        <w:t>·¯</w:t>
      </w:r>
      <w:r>
        <w:rPr>
          <w:rFonts w:ascii="Cambria" w:eastAsia="Cambria" w:hAnsi="Cambria" w:cs="Cambria"/>
          <w:i/>
        </w:rPr>
        <w:t xml:space="preserve">b </w:t>
      </w:r>
      <w:r>
        <w:rPr>
          <w:rFonts w:ascii="Cambria" w:eastAsia="Cambria" w:hAnsi="Cambria" w:cs="Cambria"/>
        </w:rPr>
        <w:t xml:space="preserve">+ </w:t>
      </w:r>
      <w:proofErr w:type="spell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sz w:val="14"/>
        </w:rPr>
        <w:t>B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proofErr w:type="spellStart"/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i/>
          <w:sz w:val="14"/>
        </w:rPr>
        <w:t>b</w:t>
      </w:r>
      <w:proofErr w:type="spellEnd"/>
      <w:r>
        <w:rPr>
          <w:rFonts w:ascii="Cambria" w:eastAsia="Cambria" w:hAnsi="Cambria" w:cs="Cambria"/>
          <w:i/>
          <w:sz w:val="14"/>
        </w:rPr>
        <w:t xml:space="preserve"> </w:t>
      </w:r>
      <w:r>
        <w:rPr>
          <w:rFonts w:ascii="Cambria" w:eastAsia="Cambria" w:hAnsi="Cambria" w:cs="Cambria"/>
        </w:rPr>
        <w:t xml:space="preserve">∈ </w:t>
      </w:r>
      <w:r>
        <w:t>R</w:t>
      </w:r>
      <w:r>
        <w:rPr>
          <w:rFonts w:ascii="Cambria" w:eastAsia="Cambria" w:hAnsi="Cambria" w:cs="Cambria"/>
          <w:i/>
          <w:sz w:val="14"/>
        </w:rPr>
        <w:t>D/</w:t>
      </w:r>
      <w:r>
        <w:rPr>
          <w:rFonts w:ascii="Cambria" w:eastAsia="Cambria" w:hAnsi="Cambria" w:cs="Cambria"/>
          <w:sz w:val="14"/>
        </w:rPr>
        <w:t>4×1</w:t>
      </w:r>
      <w:r>
        <w:rPr>
          <w:rFonts w:ascii="Cambria" w:eastAsia="Cambria" w:hAnsi="Cambria" w:cs="Cambria"/>
          <w:sz w:val="14"/>
        </w:rPr>
        <w:tab/>
      </w:r>
      <w:r>
        <w:t>(3)</w:t>
      </w:r>
    </w:p>
    <w:p w:rsidR="00440F91" w:rsidRDefault="001711BD">
      <w:pPr>
        <w:spacing w:after="35"/>
        <w:ind w:left="-5" w:right="0"/>
      </w:pPr>
      <w:r>
        <w:t xml:space="preserve">where </w:t>
      </w:r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 xml:space="preserve">B </w:t>
      </w:r>
      <w:r>
        <w:t xml:space="preserve">and </w:t>
      </w:r>
      <w:proofErr w:type="spell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B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are learnable parameters, </w:t>
      </w:r>
      <w:r>
        <w:rPr>
          <w:rFonts w:ascii="Cambria" w:eastAsia="Cambria" w:hAnsi="Cambria" w:cs="Cambria"/>
          <w:i/>
        </w:rPr>
        <w:t xml:space="preserve">φ </w:t>
      </w:r>
      <w:r>
        <w:t xml:space="preserve">is the activation function and </w:t>
      </w:r>
      <w:r>
        <w:rPr>
          <w:rFonts w:ascii="Cambria" w:eastAsia="Cambria" w:hAnsi="Cambria" w:cs="Cambria"/>
          <w:i/>
        </w:rPr>
        <w:t xml:space="preserve">D </w:t>
      </w:r>
      <w:r>
        <w:t>is the embedding dimension of Twitter users. We adopt leaky-</w:t>
      </w:r>
      <w:proofErr w:type="spellStart"/>
      <w:r>
        <w:t>relu</w:t>
      </w:r>
      <w:proofErr w:type="spellEnd"/>
      <w:r>
        <w:t xml:space="preserve"> as </w:t>
      </w:r>
      <w:r>
        <w:rPr>
          <w:rFonts w:ascii="Cambria" w:eastAsia="Cambria" w:hAnsi="Cambria" w:cs="Cambria"/>
          <w:i/>
        </w:rPr>
        <w:t xml:space="preserve">φ </w:t>
      </w:r>
      <w:r>
        <w:t>for the rest of the paper.</w:t>
      </w:r>
    </w:p>
    <w:p w:rsidR="00440F91" w:rsidRDefault="001711BD">
      <w:pPr>
        <w:numPr>
          <w:ilvl w:val="0"/>
          <w:numId w:val="1"/>
        </w:numPr>
        <w:spacing w:after="40"/>
        <w:ind w:right="0" w:firstLine="399"/>
      </w:pPr>
      <w:r>
        <w:rPr>
          <w:i/>
        </w:rPr>
        <w:t xml:space="preserve">Feature set 2: user tweets: </w:t>
      </w:r>
      <w:r>
        <w:t xml:space="preserve">We use </w:t>
      </w:r>
      <w:proofErr w:type="spellStart"/>
      <w:r>
        <w:t>RoBERTa</w:t>
      </w:r>
      <w:proofErr w:type="spellEnd"/>
      <w:r>
        <w:t xml:space="preserve"> to similarly encode user tweets. We average the representation of all tweets to obtain representation of user tweets </w:t>
      </w:r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i/>
          <w:vertAlign w:val="subscript"/>
        </w:rPr>
        <w:t>t</w:t>
      </w:r>
      <w:r>
        <w:t>.</w:t>
      </w:r>
    </w:p>
    <w:p w:rsidR="00440F91" w:rsidRDefault="001711BD">
      <w:pPr>
        <w:numPr>
          <w:ilvl w:val="0"/>
          <w:numId w:val="1"/>
        </w:numPr>
        <w:spacing w:after="87"/>
        <w:ind w:right="0" w:firstLine="399"/>
      </w:pPr>
      <w:r>
        <w:rPr>
          <w:i/>
        </w:rPr>
        <w:t xml:space="preserve">Feature set 3: user numerical properties: </w:t>
      </w:r>
      <w:proofErr w:type="spellStart"/>
      <w:r>
        <w:t>BotRGCN</w:t>
      </w:r>
      <w:proofErr w:type="spellEnd"/>
      <w:r>
        <w:t xml:space="preserve"> leaves handling of user property items to </w:t>
      </w:r>
      <w:r>
        <w:t xml:space="preserve">MLPs and graph </w:t>
      </w:r>
      <w:r>
        <w:t xml:space="preserve">neural networks. Specifically, we adopt numerical </w:t>
      </w:r>
      <w:proofErr w:type="spellStart"/>
      <w:r>
        <w:t>featrues</w:t>
      </w:r>
      <w:proofErr w:type="spellEnd"/>
      <w:r>
        <w:t xml:space="preserve"> that are directly available from the Twitter API without feature engineering and present them in Table I. Specifically, we conduct z-score normalization and obtain representation of </w:t>
      </w:r>
      <w:r>
        <w:t xml:space="preserve">user numerical features </w:t>
      </w:r>
      <w:proofErr w:type="spellStart"/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i/>
          <w:vertAlign w:val="subscript"/>
        </w:rPr>
        <w:t>p</w:t>
      </w:r>
      <w:r>
        <w:rPr>
          <w:rFonts w:ascii="Cambria" w:eastAsia="Cambria" w:hAnsi="Cambria" w:cs="Cambria"/>
          <w:i/>
          <w:vertAlign w:val="superscript"/>
        </w:rPr>
        <w:t>num</w:t>
      </w:r>
      <w:proofErr w:type="spellEnd"/>
      <w:r>
        <w:rPr>
          <w:rFonts w:ascii="Cambria" w:eastAsia="Cambria" w:hAnsi="Cambria" w:cs="Cambria"/>
          <w:i/>
          <w:vertAlign w:val="superscript"/>
        </w:rPr>
        <w:t xml:space="preserve"> </w:t>
      </w:r>
      <w:r>
        <w:t>with a fully connected layer.</w:t>
      </w:r>
    </w:p>
    <w:p w:rsidR="00440F91" w:rsidRDefault="001711BD">
      <w:pPr>
        <w:numPr>
          <w:ilvl w:val="0"/>
          <w:numId w:val="1"/>
        </w:numPr>
        <w:ind w:right="0" w:firstLine="399"/>
      </w:pPr>
      <w:r>
        <w:rPr>
          <w:i/>
        </w:rPr>
        <w:t xml:space="preserve">Feature set 4: user categorical properties: </w:t>
      </w:r>
      <w:r>
        <w:t>Similar to user numerical properties, we avoid feature engineering and apply MLPs and graph neural networks to encode them. We leverage directly availab</w:t>
      </w:r>
      <w:r>
        <w:t>le user categorical features from the Twitter API and they are presented in Table II. Specifically, we adopt one-hot encoding, concatenate and transform them with a fully connected layer and leaky-</w:t>
      </w:r>
      <w:proofErr w:type="spellStart"/>
      <w:r>
        <w:t>relu</w:t>
      </w:r>
      <w:proofErr w:type="spellEnd"/>
      <w:r>
        <w:t xml:space="preserve"> to derive representation for user’s categorical featur</w:t>
      </w:r>
      <w:r>
        <w:t>es</w:t>
      </w:r>
      <w:r>
        <w:rPr>
          <w:noProof/>
        </w:rPr>
        <w:drawing>
          <wp:inline distT="0" distB="0" distL="0" distR="0">
            <wp:extent cx="195072" cy="155449"/>
            <wp:effectExtent l="0" t="0" r="0" b="0"/>
            <wp:docPr id="13717" name="Picture 13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" name="Picture 137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5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440F91" w:rsidRDefault="001711BD">
      <w:pPr>
        <w:spacing w:after="6" w:line="258" w:lineRule="auto"/>
        <w:ind w:right="0"/>
        <w:jc w:val="center"/>
      </w:pPr>
      <w:r>
        <w:rPr>
          <w:sz w:val="16"/>
        </w:rPr>
        <w:t>TABLE II</w:t>
      </w:r>
    </w:p>
    <w:p w:rsidR="00440F91" w:rsidRDefault="001711BD">
      <w:pPr>
        <w:spacing w:after="333" w:line="265" w:lineRule="auto"/>
        <w:ind w:right="0"/>
        <w:jc w:val="center"/>
      </w:pPr>
      <w:r>
        <w:rPr>
          <w:sz w:val="16"/>
        </w:rPr>
        <w:t>C</w:t>
      </w:r>
      <w:r>
        <w:rPr>
          <w:sz w:val="13"/>
        </w:rPr>
        <w:t xml:space="preserve">ATEGORICAL USER PROPERTIES ADOPTED IN </w:t>
      </w:r>
      <w:r>
        <w:rPr>
          <w:sz w:val="16"/>
        </w:rPr>
        <w:t>B</w:t>
      </w:r>
      <w:r>
        <w:rPr>
          <w:sz w:val="13"/>
        </w:rPr>
        <w:t>OT</w:t>
      </w:r>
      <w:r>
        <w:rPr>
          <w:sz w:val="16"/>
        </w:rPr>
        <w:t>RGCN.</w:t>
      </w:r>
    </w:p>
    <w:p w:rsidR="00440F91" w:rsidRDefault="001711BD">
      <w:pPr>
        <w:pStyle w:val="Heading1"/>
        <w:spacing w:after="348"/>
        <w:ind w:left="-5" w:right="0"/>
      </w:pPr>
      <w:r>
        <w:t>C. GNNs Architecture</w:t>
      </w:r>
    </w:p>
    <w:p w:rsidR="00440F91" w:rsidRDefault="001711BD">
      <w:pPr>
        <w:spacing w:after="153"/>
        <w:ind w:left="-15" w:right="0" w:firstLine="199"/>
      </w:pPr>
      <w:proofErr w:type="spellStart"/>
      <w:r>
        <w:t>BotRGCN</w:t>
      </w:r>
      <w:proofErr w:type="spellEnd"/>
      <w:r>
        <w:t xml:space="preserve"> is designed to address the challenge of community by leveraging user follow relationship and the dense graph structure it forms. Specifically, </w:t>
      </w:r>
      <w:proofErr w:type="spellStart"/>
      <w:r>
        <w:t>BotRGCN</w:t>
      </w:r>
      <w:proofErr w:type="spellEnd"/>
      <w:r>
        <w:t xml:space="preserve"> constructs a heterogeneous graph from the Twitter network and apply relational graph convolutiona</w:t>
      </w:r>
      <w:r>
        <w:t>l networks to learn user representations.</w:t>
      </w:r>
    </w:p>
    <w:p w:rsidR="00440F91" w:rsidRDefault="001711BD">
      <w:pPr>
        <w:numPr>
          <w:ilvl w:val="0"/>
          <w:numId w:val="2"/>
        </w:numPr>
        <w:spacing w:after="150"/>
        <w:ind w:right="0" w:firstLine="399"/>
      </w:pPr>
      <w:r>
        <w:rPr>
          <w:i/>
        </w:rPr>
        <w:t xml:space="preserve">Graph construction: </w:t>
      </w:r>
      <w:proofErr w:type="spellStart"/>
      <w:r>
        <w:t>BotRGCN</w:t>
      </w:r>
      <w:proofErr w:type="spellEnd"/>
      <w:r>
        <w:t xml:space="preserve"> treats Twitter users as nodes. Given that following and being followed signal different information, </w:t>
      </w:r>
      <w:proofErr w:type="spellStart"/>
      <w:r>
        <w:t>BotRGCN</w:t>
      </w:r>
      <w:proofErr w:type="spellEnd"/>
      <w:r>
        <w:t xml:space="preserve"> leverages two types of edges, </w:t>
      </w:r>
      <w:r>
        <w:rPr>
          <w:rFonts w:ascii="Cambria" w:eastAsia="Cambria" w:hAnsi="Cambria" w:cs="Cambria"/>
          <w:i/>
        </w:rPr>
        <w:t xml:space="preserve">R </w:t>
      </w:r>
      <w:r>
        <w:rPr>
          <w:rFonts w:ascii="Cambria" w:eastAsia="Cambria" w:hAnsi="Cambria" w:cs="Cambria"/>
        </w:rPr>
        <w:t>= {</w:t>
      </w:r>
      <w:r>
        <w:rPr>
          <w:rFonts w:ascii="Cambria" w:eastAsia="Cambria" w:hAnsi="Cambria" w:cs="Cambria"/>
          <w:i/>
        </w:rPr>
        <w:t>r</w:t>
      </w:r>
      <w:proofErr w:type="gramStart"/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>,r</w:t>
      </w:r>
      <w:proofErr w:type="gramEnd"/>
      <w:r>
        <w:rPr>
          <w:rFonts w:ascii="Cambria" w:eastAsia="Cambria" w:hAnsi="Cambria" w:cs="Cambria"/>
          <w:vertAlign w:val="subscript"/>
        </w:rPr>
        <w:t>2</w:t>
      </w:r>
      <w:r>
        <w:rPr>
          <w:rFonts w:ascii="Cambria" w:eastAsia="Cambria" w:hAnsi="Cambria" w:cs="Cambria"/>
        </w:rPr>
        <w:t>} = {”</w:t>
      </w:r>
      <w:proofErr w:type="spellStart"/>
      <w:r>
        <w:rPr>
          <w:rFonts w:ascii="Cambria" w:eastAsia="Cambria" w:hAnsi="Cambria" w:cs="Cambria"/>
          <w:i/>
        </w:rPr>
        <w:t>following</w:t>
      </w:r>
      <w:r>
        <w:rPr>
          <w:rFonts w:ascii="Cambria" w:eastAsia="Cambria" w:hAnsi="Cambria" w:cs="Cambria"/>
        </w:rPr>
        <w:t>”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”</w:t>
      </w:r>
      <w:r>
        <w:rPr>
          <w:rFonts w:ascii="Cambria" w:eastAsia="Cambria" w:hAnsi="Cambria" w:cs="Cambria"/>
          <w:i/>
        </w:rPr>
        <w:t>follower</w:t>
      </w:r>
      <w:proofErr w:type="spellEnd"/>
      <w:r>
        <w:rPr>
          <w:rFonts w:ascii="Cambria" w:eastAsia="Cambria" w:hAnsi="Cambria" w:cs="Cambria"/>
        </w:rPr>
        <w:t>”}</w:t>
      </w:r>
      <w:r>
        <w:t>. We deno</w:t>
      </w:r>
      <w:r>
        <w:t xml:space="preserve">te user </w:t>
      </w:r>
      <w:r>
        <w:rPr>
          <w:rFonts w:ascii="Cambria" w:eastAsia="Cambria" w:hAnsi="Cambria" w:cs="Cambria"/>
          <w:i/>
        </w:rPr>
        <w:t>u</w:t>
      </w:r>
      <w:r>
        <w:t xml:space="preserve">’s following and follower neighborhood as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i/>
          <w:vertAlign w:val="subscript"/>
        </w:rPr>
        <w:t>r</w:t>
      </w:r>
      <w:r>
        <w:rPr>
          <w:rFonts w:ascii="Cambria" w:eastAsia="Cambria" w:hAnsi="Cambria" w:cs="Cambria"/>
          <w:sz w:val="15"/>
          <w:vertAlign w:val="subscript"/>
        </w:rPr>
        <w:t>1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u</w:t>
      </w:r>
      <w:r>
        <w:rPr>
          <w:rFonts w:ascii="Cambria" w:eastAsia="Cambria" w:hAnsi="Cambria" w:cs="Cambria"/>
        </w:rPr>
        <w:t xml:space="preserve">) = </w:t>
      </w:r>
      <w:proofErr w:type="spellStart"/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i/>
          <w:vertAlign w:val="superscript"/>
        </w:rPr>
        <w:t>f</w:t>
      </w:r>
      <w:proofErr w:type="spellEnd"/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u</w:t>
      </w:r>
      <w:r>
        <w:rPr>
          <w:rFonts w:ascii="Cambria" w:eastAsia="Cambria" w:hAnsi="Cambria" w:cs="Cambria"/>
        </w:rPr>
        <w:t xml:space="preserve">) </w:t>
      </w:r>
      <w:r>
        <w:t xml:space="preserve">and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i/>
          <w:vertAlign w:val="subscript"/>
        </w:rPr>
        <w:t>r</w:t>
      </w:r>
      <w:r>
        <w:rPr>
          <w:rFonts w:ascii="Cambria" w:eastAsia="Cambria" w:hAnsi="Cambria" w:cs="Cambria"/>
          <w:sz w:val="15"/>
          <w:vertAlign w:val="subscript"/>
        </w:rPr>
        <w:t>2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u</w:t>
      </w:r>
      <w:r>
        <w:rPr>
          <w:rFonts w:ascii="Cambria" w:eastAsia="Cambria" w:hAnsi="Cambria" w:cs="Cambria"/>
        </w:rPr>
        <w:t xml:space="preserve">) = </w:t>
      </w:r>
      <w:proofErr w:type="spellStart"/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i/>
          <w:vertAlign w:val="superscript"/>
        </w:rPr>
        <w:t>t</w:t>
      </w:r>
      <w:proofErr w:type="spellEnd"/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u</w:t>
      </w:r>
      <w:r>
        <w:rPr>
          <w:rFonts w:ascii="Cambria" w:eastAsia="Cambria" w:hAnsi="Cambria" w:cs="Cambria"/>
        </w:rPr>
        <w:t>)</w:t>
      </w:r>
      <w:r>
        <w:t xml:space="preserve">. By defining two sets of relational </w:t>
      </w:r>
      <w:proofErr w:type="gramStart"/>
      <w:r>
        <w:t>neighborhood</w:t>
      </w:r>
      <w:proofErr w:type="gramEnd"/>
      <w:r>
        <w:t xml:space="preserve"> for each Twitter user, </w:t>
      </w:r>
      <w:proofErr w:type="spellStart"/>
      <w:r>
        <w:t>BotRGCN</w:t>
      </w:r>
      <w:proofErr w:type="spellEnd"/>
      <w:r>
        <w:t xml:space="preserve"> constructs a heterogeneous graph that reflects the interactions between Twitter users. </w:t>
      </w:r>
      <w:proofErr w:type="spellStart"/>
      <w:r>
        <w:t>BotRGCN</w:t>
      </w:r>
      <w:proofErr w:type="spellEnd"/>
      <w:r>
        <w:t xml:space="preserve"> could incorporate more relation types between users if supported by the data set</w:t>
      </w:r>
      <w:r>
        <w:t>.</w:t>
      </w:r>
    </w:p>
    <w:p w:rsidR="00440F91" w:rsidRDefault="001711BD">
      <w:pPr>
        <w:numPr>
          <w:ilvl w:val="0"/>
          <w:numId w:val="2"/>
        </w:numPr>
        <w:spacing w:after="68"/>
        <w:ind w:right="0" w:firstLine="399"/>
      </w:pPr>
      <w:proofErr w:type="spellStart"/>
      <w:r>
        <w:rPr>
          <w:i/>
        </w:rPr>
        <w:t>BotRGCN</w:t>
      </w:r>
      <w:proofErr w:type="spellEnd"/>
      <w:r>
        <w:rPr>
          <w:i/>
        </w:rPr>
        <w:t xml:space="preserve"> architecture: </w:t>
      </w:r>
      <w:r>
        <w:t>We apply R-GCNs [13] to the heterogeneous graph and learn user representations. Specifically, we firstly transform user features to derive the initial hidden vectors for nodes in the graph:</w:t>
      </w:r>
    </w:p>
    <w:p w:rsidR="00440F91" w:rsidRDefault="001711BD">
      <w:pPr>
        <w:tabs>
          <w:tab w:val="center" w:pos="2520"/>
          <w:tab w:val="right" w:pos="5021"/>
        </w:tabs>
        <w:spacing w:after="111" w:line="259" w:lineRule="auto"/>
        <w:ind w:left="0" w:right="-15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2033016" cy="173737"/>
            <wp:effectExtent l="0" t="0" r="0" b="0"/>
            <wp:docPr id="13714" name="Picture 13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" name="Picture 137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3016" cy="17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(4)</w:t>
      </w:r>
    </w:p>
    <w:p w:rsidR="00440F91" w:rsidRDefault="001711BD">
      <w:pPr>
        <w:ind w:left="-5" w:right="0"/>
      </w:pPr>
      <w:r>
        <w:t xml:space="preserve">where </w:t>
      </w:r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t xml:space="preserve">and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vertAlign w:val="subscript"/>
        </w:rPr>
        <w:t xml:space="preserve">1 </w:t>
      </w:r>
      <w:r>
        <w:t>are learnable param</w:t>
      </w:r>
      <w:r>
        <w:t xml:space="preserve">eters. We then apply the </w:t>
      </w:r>
      <w:r>
        <w:rPr>
          <w:rFonts w:ascii="Cambria" w:eastAsia="Cambria" w:hAnsi="Cambria" w:cs="Cambria"/>
          <w:i/>
        </w:rPr>
        <w:t>l</w:t>
      </w:r>
      <w:r>
        <w:t>-</w:t>
      </w:r>
      <w:proofErr w:type="spellStart"/>
      <w:r>
        <w:t>th</w:t>
      </w:r>
      <w:proofErr w:type="spellEnd"/>
      <w:r>
        <w:t xml:space="preserve"> R-GCN layers:</w:t>
      </w:r>
    </w:p>
    <w:p w:rsidR="00440F91" w:rsidRDefault="001711BD">
      <w:pPr>
        <w:spacing w:after="27" w:line="259" w:lineRule="auto"/>
        <w:ind w:left="-40" w:right="-202" w:firstLine="0"/>
        <w:jc w:val="left"/>
      </w:pPr>
      <w:r>
        <w:rPr>
          <w:noProof/>
        </w:rPr>
        <w:drawing>
          <wp:inline distT="0" distB="0" distL="0" distR="0">
            <wp:extent cx="3310128" cy="356615"/>
            <wp:effectExtent l="0" t="0" r="0" b="0"/>
            <wp:docPr id="13715" name="Picture 13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" name="Picture 137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91" w:rsidRDefault="001711BD">
      <w:pPr>
        <w:spacing w:after="2" w:line="259" w:lineRule="auto"/>
        <w:ind w:right="-15"/>
        <w:jc w:val="right"/>
      </w:pPr>
      <w:r>
        <w:t>(5)</w:t>
      </w:r>
    </w:p>
    <w:p w:rsidR="00440F91" w:rsidRDefault="001711BD">
      <w:pPr>
        <w:spacing w:after="72"/>
        <w:ind w:left="-5" w:right="0"/>
      </w:pPr>
      <w:r>
        <w:t xml:space="preserve">where </w:t>
      </w:r>
      <w:r>
        <w:rPr>
          <w:rFonts w:ascii="Cambria" w:eastAsia="Cambria" w:hAnsi="Cambria" w:cs="Cambria"/>
        </w:rPr>
        <w:t xml:space="preserve">Θ </w:t>
      </w:r>
      <w:r>
        <w:t xml:space="preserve">is the projection matrix. After </w:t>
      </w:r>
      <w:r>
        <w:rPr>
          <w:rFonts w:ascii="Cambria" w:eastAsia="Cambria" w:hAnsi="Cambria" w:cs="Cambria"/>
          <w:i/>
        </w:rPr>
        <w:t xml:space="preserve">L </w:t>
      </w:r>
      <w:r>
        <w:t>layers of R-GCN, we transform the user representation with MLP:</w:t>
      </w:r>
    </w:p>
    <w:p w:rsidR="00440F91" w:rsidRDefault="001711BD">
      <w:pPr>
        <w:tabs>
          <w:tab w:val="center" w:pos="2517"/>
          <w:tab w:val="right" w:pos="5021"/>
        </w:tabs>
        <w:spacing w:after="234" w:line="259" w:lineRule="auto"/>
        <w:ind w:left="0" w:right="-15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972056" cy="173736"/>
            <wp:effectExtent l="0" t="0" r="0" b="0"/>
            <wp:docPr id="13716" name="Picture 13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" name="Picture 137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205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(6)</w:t>
      </w:r>
    </w:p>
    <w:p w:rsidR="00440F91" w:rsidRDefault="001711BD">
      <w:pPr>
        <w:ind w:left="-5" w:right="0"/>
      </w:pPr>
      <w:r>
        <w:lastRenderedPageBreak/>
        <w:t xml:space="preserve">where </w:t>
      </w:r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t xml:space="preserve">and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t xml:space="preserve">are learnable parameters and </w:t>
      </w:r>
      <w:r>
        <w:rPr>
          <w:rFonts w:ascii="Cambria" w:eastAsia="Cambria" w:hAnsi="Cambria" w:cs="Cambria"/>
          <w:i/>
        </w:rPr>
        <w:t>h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t xml:space="preserve">is the representation for user </w:t>
      </w:r>
      <w:proofErr w:type="spellStart"/>
      <w:r>
        <w:rPr>
          <w:rFonts w:ascii="Cambria" w:eastAsia="Cambria" w:hAnsi="Cambria" w:cs="Cambria"/>
          <w:i/>
        </w:rPr>
        <w:t>i</w:t>
      </w:r>
      <w:proofErr w:type="spellEnd"/>
      <w:r>
        <w:t>.</w:t>
      </w:r>
    </w:p>
    <w:p w:rsidR="00440F91" w:rsidRDefault="001711BD">
      <w:pPr>
        <w:spacing w:after="6" w:line="258" w:lineRule="auto"/>
        <w:ind w:right="0"/>
        <w:jc w:val="center"/>
      </w:pPr>
      <w:r>
        <w:rPr>
          <w:sz w:val="16"/>
        </w:rPr>
        <w:t>TABLE III</w:t>
      </w:r>
    </w:p>
    <w:p w:rsidR="00440F91" w:rsidRDefault="001711BD">
      <w:pPr>
        <w:pStyle w:val="Heading1"/>
        <w:ind w:left="-5" w:right="0"/>
      </w:pPr>
      <w:r>
        <w:t>D. Learning and Optimization</w:t>
      </w:r>
    </w:p>
    <w:p w:rsidR="00440F91" w:rsidRDefault="001711BD">
      <w:pPr>
        <w:spacing w:after="169"/>
        <w:ind w:left="-15" w:right="0" w:firstLine="199"/>
      </w:pPr>
      <w:r>
        <w:t xml:space="preserve">We apply a </w:t>
      </w:r>
      <w:proofErr w:type="spellStart"/>
      <w:r>
        <w:t>softmax</w:t>
      </w:r>
      <w:proofErr w:type="spellEnd"/>
      <w:r>
        <w:t xml:space="preserve"> layer to conduct Twitter bot detection based on user representations derived from R-</w:t>
      </w:r>
      <w:proofErr w:type="gramStart"/>
      <w:r>
        <w:t>GCN :</w:t>
      </w:r>
      <w:proofErr w:type="gramEnd"/>
    </w:p>
    <w:p w:rsidR="00440F91" w:rsidRDefault="001711BD">
      <w:pPr>
        <w:tabs>
          <w:tab w:val="center" w:pos="2511"/>
          <w:tab w:val="right" w:pos="5021"/>
        </w:tabs>
        <w:spacing w:after="167" w:line="259" w:lineRule="auto"/>
        <w:ind w:left="0" w:right="-15" w:firstLine="0"/>
        <w:jc w:val="left"/>
      </w:pPr>
      <w:r>
        <w:rPr>
          <w:sz w:val="22"/>
        </w:rPr>
        <w:tab/>
      </w:r>
      <w:proofErr w:type="spellStart"/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</w:rPr>
        <w:t>ˆ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proofErr w:type="spellStart"/>
      <w:proofErr w:type="gramStart"/>
      <w:r>
        <w:rPr>
          <w:rFonts w:ascii="Cambria" w:eastAsia="Cambria" w:hAnsi="Cambria" w:cs="Cambria"/>
          <w:i/>
        </w:rPr>
        <w:t>softmax</w:t>
      </w:r>
      <w:proofErr w:type="spellEnd"/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 xml:space="preserve">O </w:t>
      </w:r>
      <w:r>
        <w:rPr>
          <w:rFonts w:ascii="Cambria" w:eastAsia="Cambria" w:hAnsi="Cambria" w:cs="Cambria"/>
        </w:rPr>
        <w:t xml:space="preserve">· </w:t>
      </w:r>
      <w:r>
        <w:rPr>
          <w:rFonts w:ascii="Cambria" w:eastAsia="Cambria" w:hAnsi="Cambria" w:cs="Cambria"/>
          <w:i/>
        </w:rPr>
        <w:t>h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rPr>
          <w:rFonts w:ascii="Cambria" w:eastAsia="Cambria" w:hAnsi="Cambria" w:cs="Cambria"/>
        </w:rPr>
        <w:t xml:space="preserve">+ </w:t>
      </w:r>
      <w:proofErr w:type="spell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O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tab/>
      </w:r>
      <w:r>
        <w:t>(7)</w:t>
      </w:r>
    </w:p>
    <w:p w:rsidR="00440F91" w:rsidRDefault="001711BD">
      <w:pPr>
        <w:ind w:left="-5" w:right="0"/>
      </w:pPr>
      <w:r>
        <w:t xml:space="preserve">where </w:t>
      </w:r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 xml:space="preserve">O </w:t>
      </w:r>
      <w:r>
        <w:t xml:space="preserve">and </w:t>
      </w:r>
      <w:proofErr w:type="spell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O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are learnable parameters.</w:t>
      </w:r>
    </w:p>
    <w:p w:rsidR="00440F91" w:rsidRDefault="001711BD">
      <w:pPr>
        <w:spacing w:after="313"/>
        <w:ind w:left="209" w:right="0"/>
      </w:pPr>
      <w:r>
        <w:t xml:space="preserve">The loss function of </w:t>
      </w:r>
      <w:proofErr w:type="spellStart"/>
      <w:r>
        <w:t>BotRGCN</w:t>
      </w:r>
      <w:proofErr w:type="spellEnd"/>
      <w:r>
        <w:t xml:space="preserve"> is constructed as follows:</w:t>
      </w:r>
    </w:p>
    <w:p w:rsidR="00440F91" w:rsidRDefault="001711BD">
      <w:pPr>
        <w:spacing w:after="0" w:line="259" w:lineRule="auto"/>
        <w:ind w:left="126" w:right="0" w:firstLine="0"/>
        <w:jc w:val="left"/>
      </w:pPr>
      <w:r>
        <w:rPr>
          <w:rFonts w:ascii="Cambria" w:eastAsia="Cambria" w:hAnsi="Cambria" w:cs="Cambria"/>
          <w:i/>
        </w:rPr>
        <w:t xml:space="preserve">L </w:t>
      </w:r>
      <w:r>
        <w:rPr>
          <w:rFonts w:ascii="Cambria" w:eastAsia="Cambria" w:hAnsi="Cambria" w:cs="Cambria"/>
        </w:rPr>
        <w:t>= −</w:t>
      </w:r>
      <w:r>
        <w:rPr>
          <w:rFonts w:ascii="Cambria" w:eastAsia="Cambria" w:hAnsi="Cambria" w:cs="Cambria"/>
          <w:sz w:val="31"/>
          <w:vertAlign w:val="superscript"/>
        </w:rPr>
        <w:t>X</w:t>
      </w:r>
      <w:r>
        <w:rPr>
          <w:rFonts w:ascii="Cambria" w:eastAsia="Cambria" w:hAnsi="Cambria" w:cs="Cambria"/>
        </w:rPr>
        <w:t>[</w:t>
      </w:r>
      <w:proofErr w:type="spellStart"/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  <w:i/>
        </w:rPr>
        <w:t>log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</w:rPr>
        <w:t>ˆ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</w:rPr>
        <w:t xml:space="preserve">) + (1 − </w:t>
      </w:r>
      <w:proofErr w:type="spellStart"/>
      <w:proofErr w:type="gramStart"/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i/>
        </w:rPr>
        <w:t>log</w:t>
      </w:r>
      <w:proofErr w:type="gramEnd"/>
      <w:r>
        <w:rPr>
          <w:rFonts w:ascii="Cambria" w:eastAsia="Cambria" w:hAnsi="Cambria" w:cs="Cambria"/>
        </w:rPr>
        <w:t xml:space="preserve">(1 − </w:t>
      </w:r>
      <w:proofErr w:type="spellStart"/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</w:rPr>
        <w:t>ˆ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</w:rPr>
        <w:t xml:space="preserve">)] + </w:t>
      </w:r>
      <w:r>
        <w:rPr>
          <w:rFonts w:ascii="Cambria" w:eastAsia="Cambria" w:hAnsi="Cambria" w:cs="Cambria"/>
          <w:i/>
        </w:rPr>
        <w:t xml:space="preserve">λ </w:t>
      </w:r>
      <w:r>
        <w:rPr>
          <w:rFonts w:ascii="Cambria" w:eastAsia="Cambria" w:hAnsi="Cambria" w:cs="Cambria"/>
          <w:sz w:val="31"/>
          <w:vertAlign w:val="superscript"/>
        </w:rPr>
        <w:t xml:space="preserve">X </w:t>
      </w:r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vertAlign w:val="superscript"/>
        </w:rPr>
        <w:t xml:space="preserve">2 </w:t>
      </w:r>
      <w:r>
        <w:t>(8)</w:t>
      </w:r>
    </w:p>
    <w:p w:rsidR="00440F91" w:rsidRDefault="001711BD">
      <w:pPr>
        <w:tabs>
          <w:tab w:val="center" w:pos="844"/>
          <w:tab w:val="center" w:pos="4237"/>
        </w:tabs>
        <w:spacing w:after="164" w:line="259" w:lineRule="auto"/>
        <w:ind w:left="0" w:right="0" w:firstLine="0"/>
        <w:jc w:val="left"/>
      </w:pPr>
      <w:r>
        <w:rPr>
          <w:sz w:val="22"/>
        </w:rPr>
        <w:tab/>
      </w:r>
      <w:proofErr w:type="spellStart"/>
      <w:r>
        <w:rPr>
          <w:rFonts w:ascii="Cambria" w:eastAsia="Cambria" w:hAnsi="Cambria" w:cs="Cambria"/>
          <w:i/>
          <w:sz w:val="14"/>
        </w:rPr>
        <w:t>i</w:t>
      </w:r>
      <w:r>
        <w:rPr>
          <w:rFonts w:ascii="Cambria" w:eastAsia="Cambria" w:hAnsi="Cambria" w:cs="Cambria"/>
          <w:sz w:val="14"/>
        </w:rPr>
        <w:t>∈</w:t>
      </w:r>
      <w:r>
        <w:rPr>
          <w:rFonts w:ascii="Cambria" w:eastAsia="Cambria" w:hAnsi="Cambria" w:cs="Cambria"/>
          <w:i/>
          <w:sz w:val="14"/>
        </w:rPr>
        <w:t>Y</w:t>
      </w:r>
      <w:proofErr w:type="spellEnd"/>
      <w:r>
        <w:rPr>
          <w:rFonts w:ascii="Cambria" w:eastAsia="Cambria" w:hAnsi="Cambria" w:cs="Cambria"/>
          <w:i/>
          <w:sz w:val="14"/>
        </w:rPr>
        <w:tab/>
      </w:r>
      <w:proofErr w:type="spellStart"/>
      <w:r>
        <w:rPr>
          <w:rFonts w:ascii="Cambria" w:eastAsia="Cambria" w:hAnsi="Cambria" w:cs="Cambria"/>
          <w:i/>
          <w:sz w:val="14"/>
        </w:rPr>
        <w:t>w</w:t>
      </w:r>
      <w:r>
        <w:rPr>
          <w:rFonts w:ascii="Cambria" w:eastAsia="Cambria" w:hAnsi="Cambria" w:cs="Cambria"/>
          <w:sz w:val="14"/>
        </w:rPr>
        <w:t>∈</w:t>
      </w:r>
      <w:r>
        <w:rPr>
          <w:rFonts w:ascii="Cambria" w:eastAsia="Cambria" w:hAnsi="Cambria" w:cs="Cambria"/>
          <w:i/>
          <w:sz w:val="14"/>
        </w:rPr>
        <w:t>θ</w:t>
      </w:r>
      <w:proofErr w:type="spellEnd"/>
    </w:p>
    <w:p w:rsidR="00440F91" w:rsidRDefault="001711BD">
      <w:pPr>
        <w:spacing w:after="169"/>
        <w:ind w:left="-5" w:right="0"/>
      </w:pPr>
      <w:r>
        <w:t xml:space="preserve">where </w:t>
      </w:r>
      <w:r>
        <w:rPr>
          <w:rFonts w:ascii="Cambria" w:eastAsia="Cambria" w:hAnsi="Cambria" w:cs="Cambria"/>
          <w:i/>
        </w:rPr>
        <w:t xml:space="preserve">Y </w:t>
      </w:r>
      <w:r>
        <w:t xml:space="preserve">denotes annotated users, </w:t>
      </w:r>
      <w:proofErr w:type="spellStart"/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is the ground-truth label and </w:t>
      </w:r>
      <w:r>
        <w:rPr>
          <w:rFonts w:ascii="Cambria" w:eastAsia="Cambria" w:hAnsi="Cambria" w:cs="Cambria"/>
          <w:i/>
        </w:rPr>
        <w:t xml:space="preserve">θ </w:t>
      </w:r>
      <w:r>
        <w:t xml:space="preserve">are all learnable parameters in the </w:t>
      </w:r>
      <w:proofErr w:type="spellStart"/>
      <w:r>
        <w:t>BotRGCN</w:t>
      </w:r>
      <w:proofErr w:type="spellEnd"/>
      <w:r>
        <w:t xml:space="preserve"> framework.</w:t>
      </w:r>
    </w:p>
    <w:bookmarkEnd w:id="0"/>
    <w:p w:rsidR="00440F91" w:rsidRDefault="00440F91" w:rsidP="00005747">
      <w:pPr>
        <w:spacing w:after="6" w:line="258" w:lineRule="auto"/>
        <w:ind w:right="0"/>
      </w:pPr>
    </w:p>
    <w:sectPr w:rsidR="00440F91">
      <w:type w:val="continuous"/>
      <w:pgSz w:w="12240" w:h="15840"/>
      <w:pgMar w:top="1011" w:right="979" w:bottom="1400" w:left="979" w:header="720" w:footer="720" w:gutter="0"/>
      <w:cols w:num="2" w:space="23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0A2D"/>
    <w:multiLevelType w:val="hybridMultilevel"/>
    <w:tmpl w:val="22F2EA70"/>
    <w:lvl w:ilvl="0" w:tplc="914EF3BC">
      <w:start w:val="1"/>
      <w:numFmt w:val="lowerLetter"/>
      <w:lvlText w:val="%1)"/>
      <w:lvlJc w:val="left"/>
      <w:pPr>
        <w:ind w:left="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9C2F72">
      <w:start w:val="1"/>
      <w:numFmt w:val="lowerLetter"/>
      <w:lvlText w:val="%2"/>
      <w:lvlJc w:val="left"/>
      <w:pPr>
        <w:ind w:left="14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3891CA">
      <w:start w:val="1"/>
      <w:numFmt w:val="lowerRoman"/>
      <w:lvlText w:val="%3"/>
      <w:lvlJc w:val="left"/>
      <w:pPr>
        <w:ind w:left="219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8EF4FE">
      <w:start w:val="1"/>
      <w:numFmt w:val="decimal"/>
      <w:lvlText w:val="%4"/>
      <w:lvlJc w:val="left"/>
      <w:pPr>
        <w:ind w:left="29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0E6EB8">
      <w:start w:val="1"/>
      <w:numFmt w:val="lowerLetter"/>
      <w:lvlText w:val="%5"/>
      <w:lvlJc w:val="left"/>
      <w:pPr>
        <w:ind w:left="36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1A3004">
      <w:start w:val="1"/>
      <w:numFmt w:val="lowerRoman"/>
      <w:lvlText w:val="%6"/>
      <w:lvlJc w:val="left"/>
      <w:pPr>
        <w:ind w:left="43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3EB89A">
      <w:start w:val="1"/>
      <w:numFmt w:val="decimal"/>
      <w:lvlText w:val="%7"/>
      <w:lvlJc w:val="left"/>
      <w:pPr>
        <w:ind w:left="50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AC5124">
      <w:start w:val="1"/>
      <w:numFmt w:val="lowerLetter"/>
      <w:lvlText w:val="%8"/>
      <w:lvlJc w:val="left"/>
      <w:pPr>
        <w:ind w:left="579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8AF448">
      <w:start w:val="1"/>
      <w:numFmt w:val="lowerRoman"/>
      <w:lvlText w:val="%9"/>
      <w:lvlJc w:val="left"/>
      <w:pPr>
        <w:ind w:left="65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ED5C67"/>
    <w:multiLevelType w:val="hybridMultilevel"/>
    <w:tmpl w:val="5616E748"/>
    <w:lvl w:ilvl="0" w:tplc="6C8A88B8">
      <w:start w:val="1"/>
      <w:numFmt w:val="decimal"/>
      <w:lvlText w:val="[%1]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9CEE6BC">
      <w:start w:val="1"/>
      <w:numFmt w:val="lowerLetter"/>
      <w:lvlText w:val="%2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826FA94">
      <w:start w:val="1"/>
      <w:numFmt w:val="lowerRoman"/>
      <w:lvlText w:val="%3"/>
      <w:lvlJc w:val="left"/>
      <w:pPr>
        <w:ind w:left="1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5E612E2">
      <w:start w:val="1"/>
      <w:numFmt w:val="decimal"/>
      <w:lvlText w:val="%4"/>
      <w:lvlJc w:val="left"/>
      <w:pPr>
        <w:ind w:left="2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2DADA66">
      <w:start w:val="1"/>
      <w:numFmt w:val="lowerLetter"/>
      <w:lvlText w:val="%5"/>
      <w:lvlJc w:val="left"/>
      <w:pPr>
        <w:ind w:left="3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FF2CB00">
      <w:start w:val="1"/>
      <w:numFmt w:val="lowerRoman"/>
      <w:lvlText w:val="%6"/>
      <w:lvlJc w:val="left"/>
      <w:pPr>
        <w:ind w:left="3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1B002DC">
      <w:start w:val="1"/>
      <w:numFmt w:val="decimal"/>
      <w:lvlText w:val="%7"/>
      <w:lvlJc w:val="left"/>
      <w:pPr>
        <w:ind w:left="4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C1A20B6">
      <w:start w:val="1"/>
      <w:numFmt w:val="lowerLetter"/>
      <w:lvlText w:val="%8"/>
      <w:lvlJc w:val="left"/>
      <w:pPr>
        <w:ind w:left="5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F247ABE">
      <w:start w:val="1"/>
      <w:numFmt w:val="lowerRoman"/>
      <w:lvlText w:val="%9"/>
      <w:lvlJc w:val="left"/>
      <w:pPr>
        <w:ind w:left="6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3208C3"/>
    <w:multiLevelType w:val="hybridMultilevel"/>
    <w:tmpl w:val="A83219F6"/>
    <w:lvl w:ilvl="0" w:tplc="3C94638A">
      <w:start w:val="1"/>
      <w:numFmt w:val="bullet"/>
      <w:lvlText w:val="•"/>
      <w:lvlJc w:val="left"/>
      <w:pPr>
        <w:ind w:left="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A3ED52C">
      <w:start w:val="1"/>
      <w:numFmt w:val="bullet"/>
      <w:lvlText w:val="o"/>
      <w:lvlJc w:val="left"/>
      <w:pPr>
        <w:ind w:left="12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4FA7EE2">
      <w:start w:val="1"/>
      <w:numFmt w:val="bullet"/>
      <w:lvlText w:val="▪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30E3E32">
      <w:start w:val="1"/>
      <w:numFmt w:val="bullet"/>
      <w:lvlText w:val="•"/>
      <w:lvlJc w:val="left"/>
      <w:pPr>
        <w:ind w:left="2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60E2E0C">
      <w:start w:val="1"/>
      <w:numFmt w:val="bullet"/>
      <w:lvlText w:val="o"/>
      <w:lvlJc w:val="left"/>
      <w:pPr>
        <w:ind w:left="34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8F29352">
      <w:start w:val="1"/>
      <w:numFmt w:val="bullet"/>
      <w:lvlText w:val="▪"/>
      <w:lvlJc w:val="left"/>
      <w:pPr>
        <w:ind w:left="41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73043DE">
      <w:start w:val="1"/>
      <w:numFmt w:val="bullet"/>
      <w:lvlText w:val="•"/>
      <w:lvlJc w:val="left"/>
      <w:pPr>
        <w:ind w:left="48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066CA8D2">
      <w:start w:val="1"/>
      <w:numFmt w:val="bullet"/>
      <w:lvlText w:val="o"/>
      <w:lvlJc w:val="left"/>
      <w:pPr>
        <w:ind w:left="5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3EA4C8E">
      <w:start w:val="1"/>
      <w:numFmt w:val="bullet"/>
      <w:lvlText w:val="▪"/>
      <w:lvlJc w:val="left"/>
      <w:pPr>
        <w:ind w:left="6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2B28CE"/>
    <w:multiLevelType w:val="hybridMultilevel"/>
    <w:tmpl w:val="645A5114"/>
    <w:lvl w:ilvl="0" w:tplc="0712B39E">
      <w:start w:val="1"/>
      <w:numFmt w:val="lowerLetter"/>
      <w:lvlText w:val="%1)"/>
      <w:lvlJc w:val="left"/>
      <w:pPr>
        <w:ind w:left="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D66686">
      <w:start w:val="1"/>
      <w:numFmt w:val="lowerLetter"/>
      <w:lvlText w:val="%2"/>
      <w:lvlJc w:val="left"/>
      <w:pPr>
        <w:ind w:left="14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0A4C86">
      <w:start w:val="1"/>
      <w:numFmt w:val="lowerRoman"/>
      <w:lvlText w:val="%3"/>
      <w:lvlJc w:val="left"/>
      <w:pPr>
        <w:ind w:left="219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9EC4CE">
      <w:start w:val="1"/>
      <w:numFmt w:val="decimal"/>
      <w:lvlText w:val="%4"/>
      <w:lvlJc w:val="left"/>
      <w:pPr>
        <w:ind w:left="29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E80D20">
      <w:start w:val="1"/>
      <w:numFmt w:val="lowerLetter"/>
      <w:lvlText w:val="%5"/>
      <w:lvlJc w:val="left"/>
      <w:pPr>
        <w:ind w:left="36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7278FA">
      <w:start w:val="1"/>
      <w:numFmt w:val="lowerRoman"/>
      <w:lvlText w:val="%6"/>
      <w:lvlJc w:val="left"/>
      <w:pPr>
        <w:ind w:left="43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62B54C">
      <w:start w:val="1"/>
      <w:numFmt w:val="decimal"/>
      <w:lvlText w:val="%7"/>
      <w:lvlJc w:val="left"/>
      <w:pPr>
        <w:ind w:left="50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BE4FAE">
      <w:start w:val="1"/>
      <w:numFmt w:val="lowerLetter"/>
      <w:lvlText w:val="%8"/>
      <w:lvlJc w:val="left"/>
      <w:pPr>
        <w:ind w:left="579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DE8DDE">
      <w:start w:val="1"/>
      <w:numFmt w:val="lowerRoman"/>
      <w:lvlText w:val="%9"/>
      <w:lvlJc w:val="left"/>
      <w:pPr>
        <w:ind w:left="65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3C0050"/>
    <w:multiLevelType w:val="hybridMultilevel"/>
    <w:tmpl w:val="37260478"/>
    <w:lvl w:ilvl="0" w:tplc="D5B643DC">
      <w:start w:val="1"/>
      <w:numFmt w:val="lowerLetter"/>
      <w:lvlText w:val="%1)"/>
      <w:lvlJc w:val="left"/>
      <w:pPr>
        <w:ind w:left="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62B044">
      <w:start w:val="1"/>
      <w:numFmt w:val="lowerLetter"/>
      <w:lvlText w:val="%2"/>
      <w:lvlJc w:val="left"/>
      <w:pPr>
        <w:ind w:left="14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161464">
      <w:start w:val="1"/>
      <w:numFmt w:val="lowerRoman"/>
      <w:lvlText w:val="%3"/>
      <w:lvlJc w:val="left"/>
      <w:pPr>
        <w:ind w:left="219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BE8218">
      <w:start w:val="1"/>
      <w:numFmt w:val="decimal"/>
      <w:lvlText w:val="%4"/>
      <w:lvlJc w:val="left"/>
      <w:pPr>
        <w:ind w:left="29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3CA8E2">
      <w:start w:val="1"/>
      <w:numFmt w:val="lowerLetter"/>
      <w:lvlText w:val="%5"/>
      <w:lvlJc w:val="left"/>
      <w:pPr>
        <w:ind w:left="36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1E4198">
      <w:start w:val="1"/>
      <w:numFmt w:val="lowerRoman"/>
      <w:lvlText w:val="%6"/>
      <w:lvlJc w:val="left"/>
      <w:pPr>
        <w:ind w:left="43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BAD46A">
      <w:start w:val="1"/>
      <w:numFmt w:val="decimal"/>
      <w:lvlText w:val="%7"/>
      <w:lvlJc w:val="left"/>
      <w:pPr>
        <w:ind w:left="50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74F0F0">
      <w:start w:val="1"/>
      <w:numFmt w:val="lowerLetter"/>
      <w:lvlText w:val="%8"/>
      <w:lvlJc w:val="left"/>
      <w:pPr>
        <w:ind w:left="579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F854A4">
      <w:start w:val="1"/>
      <w:numFmt w:val="lowerRoman"/>
      <w:lvlText w:val="%9"/>
      <w:lvlJc w:val="left"/>
      <w:pPr>
        <w:ind w:left="65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91"/>
    <w:rsid w:val="00005747"/>
    <w:rsid w:val="001711BD"/>
    <w:rsid w:val="0044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3B51"/>
  <w15:docId w15:val="{6B59A99D-6828-4B52-8025-4E49E146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" w:line="248" w:lineRule="auto"/>
      <w:ind w:left="10" w:right="7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65" w:lineRule="auto"/>
      <w:ind w:left="10" w:right="70" w:hanging="10"/>
      <w:outlineLvl w:val="0"/>
    </w:pPr>
    <w:rPr>
      <w:rFonts w:ascii="Calibri" w:eastAsia="Calibri" w:hAnsi="Calibri" w:cs="Calibri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729</Words>
  <Characters>3887</Characters>
  <Application>Microsoft Office Word</Application>
  <DocSecurity>0</DocSecurity>
  <Lines>117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BAYRAKTAR</dc:creator>
  <cp:keywords/>
  <cp:lastModifiedBy>MERT BAYRAKTAR</cp:lastModifiedBy>
  <cp:revision>2</cp:revision>
  <dcterms:created xsi:type="dcterms:W3CDTF">2023-05-28T23:07:00Z</dcterms:created>
  <dcterms:modified xsi:type="dcterms:W3CDTF">2023-05-28T23:07:00Z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6dbf9f101408548ba4e280af6b74361aeb9ea04b44f95c1e00ab3a1ef8410431</vt:lpwstr>
  </property>
</Properties>
</file>