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>EMEC-7012 DINÂMICA DOS FLUÍDOS COMPUTACIONAL I                                                         PGMEC-UFPR</w:t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sz w:val="20"/>
          <w:szCs w:val="20"/>
          <w:lang w:val="pt-BR"/>
        </w:rPr>
        <w:t>1</w:t>
      </w:r>
      <w:r>
        <w:rPr>
          <w:rFonts w:ascii="Arial" w:hAnsi="Arial"/>
          <w:sz w:val="20"/>
          <w:szCs w:val="20"/>
          <w:vertAlign w:val="superscript"/>
          <w:lang w:val="pt-BR"/>
        </w:rPr>
        <w:t>o</w:t>
      </w:r>
      <w:r>
        <w:rPr>
          <w:rFonts w:ascii="Arial" w:hAnsi="Arial"/>
          <w:sz w:val="20"/>
          <w:szCs w:val="20"/>
          <w:lang w:val="pt-BR"/>
        </w:rPr>
        <w:t xml:space="preserve"> TRABALHO COMPUTACIONAL                                                                               22 DE OUTUBRO DE 2024</w:t>
      </w:r>
    </w:p>
    <w:p>
      <w:pPr>
        <w:pStyle w:val="Standard"/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>MARCOS AUGUSTO BELIZARIO</w:t>
      </w:r>
    </w:p>
    <w:p>
      <w:pPr>
        <w:pStyle w:val="Standard"/>
        <w:jc w:val="center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</w:r>
    </w:p>
    <w:p>
      <w:pPr>
        <w:pStyle w:val="Standard"/>
        <w:jc w:val="center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/>
          <w:bCs/>
          <w:sz w:val="20"/>
          <w:szCs w:val="20"/>
          <w:lang w:val="pt-BR"/>
        </w:rPr>
      </w:pPr>
      <w:r>
        <w:rPr>
          <w:rFonts w:ascii="Arial" w:hAnsi="Arial"/>
          <w:b/>
          <w:bCs/>
          <w:sz w:val="20"/>
          <w:szCs w:val="20"/>
          <w:lang w:val="pt-BR"/>
        </w:rPr>
        <w:t>1. CONSTRUÇÃO DO SISTEMA DE EQUAÇÕES</w:t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  <w:t>Para o problema da difusão de calor resolvido numericamente pelo método dos volumes finitos e utilizando a discretização de segunda ordem CDS-2, temos o sistema de equações definido por (1).</w:t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tbl>
      <w:tblPr>
        <w:tblW w:w="5000" w:type="pct"/>
        <w:jc w:val="left"/>
        <w:tblInd w:w="-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6"/>
        <w:gridCol w:w="556"/>
      </w:tblGrid>
      <w:tr>
        <w:trPr/>
        <w:tc>
          <w:tcPr>
            <w:tcW w:w="9416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W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W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</m:oMath>
            </m:oMathPara>
          </w:p>
        </w:tc>
        <w:tc>
          <w:tcPr>
            <w:tcW w:w="556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sz w:val="20"/>
                <w:szCs w:val="20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(1)</w:t>
            </w:r>
          </w:p>
        </w:tc>
      </w:tr>
    </w:tbl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  <w:t xml:space="preserve">Para as condições de contorno, de material e geométricas </w:t>
      </w:r>
      <w:r>
        <w:rPr>
          <w:rFonts w:ascii="Arial" w:hAnsi="Arial"/>
          <w:lang w:val="pt-BR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C</m:t>
        </m:r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, </w:t>
      </w:r>
      <w:r>
        <w:rPr>
          <w:rFonts w:ascii="Arial" w:hAnsi="Arial"/>
          <w:lang w:val="pt-BR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C</m:t>
        </m:r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, </w:t>
      </w:r>
      <w:r>
        <w:rPr>
          <w:rFonts w:ascii="Arial" w:hAnsi="Arial"/>
          <w:lang w:val="pt-BR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400</m:t>
        </m:r>
        <m:r>
          <w:rPr>
            <w:rFonts w:ascii="Cambria Math" w:hAnsi="Cambria Math"/>
          </w:rPr>
          <m:t xml:space="preserve">W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sSup>
          <m:e>
            <m:r>
              <w:rPr>
                <w:rFonts w:ascii="Cambria Math" w:hAnsi="Cambria Math"/>
              </w:rPr>
              <m:t xml:space="preserve">K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, </w:t>
      </w:r>
      <w:r>
        <w:rPr>
          <w:rFonts w:ascii="Arial" w:hAnsi="Arial"/>
          <w:lang w:val="pt-BR"/>
        </w:rPr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q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W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, </w:t>
      </w:r>
      <w:r>
        <w:rPr>
          <w:rFonts w:ascii="Arial" w:hAnsi="Arial"/>
          <w:lang w:val="pt-BR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0.10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, </w:t>
      </w:r>
      <w:r>
        <w:rPr>
          <w:rFonts w:ascii="Arial" w:hAnsi="Arial"/>
          <w:lang w:val="pt-BR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1.0</m:t>
        </m:r>
        <m:r>
          <w:rPr>
            <w:rFonts w:ascii="Cambria Math" w:hAnsi="Cambria Math"/>
          </w:rPr>
          <m:t xml:space="preserve">m</m:t>
        </m:r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 e </w:t>
      </w:r>
      <w:r>
        <w:rPr>
          <w:rFonts w:ascii="Arial" w:hAnsi="Arial"/>
          <w:lang w:val="pt-BR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>, temos os coeficientes dados pela Tabela 1.</w:t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center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>Tabela 1. Coeficientes do sistema de equações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"/>
        <w:gridCol w:w="1891"/>
        <w:gridCol w:w="1936"/>
        <w:gridCol w:w="1995"/>
        <w:gridCol w:w="1995"/>
        <w:gridCol w:w="1936"/>
      </w:tblGrid>
      <w:tr>
        <w:trPr>
          <w:trHeight w:val="288" w:hRule="atLeast"/>
        </w:trPr>
        <w:tc>
          <w:tcPr>
            <w:tcW w:w="21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P</m:t>
                </m:r>
              </m:oMath>
            </m:oMathPara>
          </w:p>
        </w:tc>
        <w:tc>
          <w:tcPr>
            <w:tcW w:w="189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</m:oMath>
            </m:oMathPara>
          </w:p>
        </w:tc>
        <w:tc>
          <w:tcPr>
            <w:tcW w:w="193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</m:oMath>
            </m:oMathPara>
          </w:p>
        </w:tc>
        <w:tc>
          <w:tcPr>
            <w:tcW w:w="199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W</m:t>
                    </m:r>
                  </m:sub>
                </m:sSub>
              </m:oMath>
            </m:oMathPara>
          </w:p>
        </w:tc>
        <w:tc>
          <w:tcPr>
            <w:tcW w:w="199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</m:oMath>
            </m:oMathPara>
          </w:p>
        </w:tc>
        <w:tc>
          <w:tcPr>
            <w:tcW w:w="193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</m:oMath>
            </m:oMathPara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1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5.00000000000000e-02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1.20000000000000e+04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0.00000000000000e+00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5.00000000000000e+04</w:t>
            </w:r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1.50000000000000e-01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5.00000000000000e+04</w:t>
            </w:r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3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2.50000000000000e-01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5.00000000000000e+04</w:t>
            </w:r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4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16"/>
                <w:szCs w:val="16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3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.50000000000000e-01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5.00000000000000e+04</w:t>
            </w:r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16"/>
                <w:szCs w:val="16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4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.50000000000000e-01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5.00000000000000e+04</w:t>
            </w:r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6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16"/>
                <w:szCs w:val="16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.50000000000000e-01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5.00000000000000e+04</w:t>
            </w:r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7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16"/>
                <w:szCs w:val="16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6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.50000000000000e-01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5.00000000000000e+04</w:t>
            </w:r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16"/>
                <w:szCs w:val="16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7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.50000000000000e-01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5.00000000000000e+04</w:t>
            </w:r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9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16"/>
                <w:szCs w:val="16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.50000000000000e-01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5.00000000000000e+04</w:t>
            </w:r>
          </w:p>
        </w:tc>
      </w:tr>
      <w:tr>
        <w:trPr>
          <w:trHeight w:val="288" w:hRule="atLeast"/>
        </w:trPr>
        <w:tc>
          <w:tcPr>
            <w:tcW w:w="21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10</w:t>
            </w:r>
          </w:p>
        </w:tc>
        <w:tc>
          <w:tcPr>
            <w:tcW w:w="189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16"/>
                <w:szCs w:val="16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9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.50000000000000e-01</w:t>
            </w:r>
          </w:p>
        </w:tc>
        <w:tc>
          <w:tcPr>
            <w:tcW w:w="193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1.20000000000000e+04</w:t>
            </w:r>
          </w:p>
        </w:tc>
        <w:tc>
          <w:tcPr>
            <w:tcW w:w="1995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95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0.00000000000000e+00</w:t>
            </w:r>
          </w:p>
        </w:tc>
        <w:tc>
          <w:tcPr>
            <w:tcW w:w="193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 xml:space="preserve">8.50000000000000e+05 </w:t>
            </w:r>
          </w:p>
        </w:tc>
      </w:tr>
    </w:tbl>
    <w:p>
      <w:pPr>
        <w:pStyle w:val="Standard"/>
        <w:jc w:val="center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0"/>
          <w:szCs w:val="20"/>
          <w:lang w:val="pt-BR"/>
        </w:rPr>
        <w:t>2. RESULTADO DA SIMULAÇÃO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A Tabela 2 apresenta o resultado da simulação 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utilizando o método TDMA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 e sua comparação com a solução analítica dada por (2), onde os pontos 0 e 11 representam as condições de contorno A e B, respectivamente. 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O cálculo do erro é dado por (3).</w:t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tbl>
      <w:tblPr>
        <w:tblW w:w="5000" w:type="pct"/>
        <w:jc w:val="left"/>
        <w:tblInd w:w="-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6"/>
        <w:gridCol w:w="556"/>
      </w:tblGrid>
      <w:tr>
        <w:trPr/>
        <w:tc>
          <w:tcPr>
            <w:tcW w:w="9416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L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acc>
                      <m:accPr>
                        <m:chr m:val="˙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den>
                </m:f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x</m:t>
                </m:r>
              </m:oMath>
            </m:oMathPara>
          </w:p>
        </w:tc>
        <w:tc>
          <w:tcPr>
            <w:tcW w:w="556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2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)</w:t>
            </w:r>
          </w:p>
        </w:tc>
      </w:tr>
    </w:tbl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tbl>
      <w:tblPr>
        <w:tblW w:w="5000" w:type="pct"/>
        <w:jc w:val="left"/>
        <w:tblInd w:w="-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6"/>
        <w:gridCol w:w="556"/>
      </w:tblGrid>
      <w:tr>
        <w:trPr/>
        <w:tc>
          <w:tcPr>
            <w:tcW w:w="9416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Error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analytic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numeric</m:t>
                    </m:r>
                  </m:sub>
                </m:sSub>
              </m:oMath>
            </m:oMathPara>
          </w:p>
        </w:tc>
        <w:tc>
          <w:tcPr>
            <w:tcW w:w="556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3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)</w:t>
            </w:r>
          </w:p>
        </w:tc>
      </w:tr>
    </w:tbl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Standard"/>
        <w:jc w:val="center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Tabela 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2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. 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Resultado da simulação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"/>
        <w:gridCol w:w="2407"/>
        <w:gridCol w:w="2407"/>
        <w:gridCol w:w="2407"/>
        <w:gridCol w:w="2479"/>
      </w:tblGrid>
      <w:tr>
        <w:trPr>
          <w:trHeight w:val="288" w:hRule="atLeast"/>
        </w:trPr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Cs w:val="24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P</m:t>
                </m:r>
              </m:oMath>
            </m:oMathPara>
          </w:p>
        </w:tc>
        <w:tc>
          <w:tcPr>
            <w:tcW w:w="240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Cs w:val="24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d>
              </m:oMath>
            </m:oMathPara>
          </w:p>
        </w:tc>
        <w:tc>
          <w:tcPr>
            <w:tcW w:w="240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Cs w:val="24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analytic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</w:p>
        </w:tc>
        <w:tc>
          <w:tcPr>
            <w:tcW w:w="240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Cs w:val="24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numeric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</w:p>
        </w:tc>
        <w:tc>
          <w:tcPr>
            <w:tcW w:w="247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Cs w:val="24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Error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0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.00000000000000e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+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0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0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0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.00000000000000e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+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0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0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.00000000000000e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+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.00000000000000e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+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5.00000000000000e-02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3.46875000000000e+01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3.62500000000000e+01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-1.56249999999999e+00</w:t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2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1.50000000000000e-01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9.46875000000000e+01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9.62500000000000e+01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-1.56250000000001e+00</w:t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3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2.50000000000000e-01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1.42187500000000e+02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1.43750000000000e+02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-1.56250000000000e+00</w:t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4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3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.50000000000000e-01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1.77187500000000e+02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1.78750000000000e+02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-1.56250000000003e+00</w:t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5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4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.50000000000000e-01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1.99687500000000e+02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2.01250000000000e+02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-1.56250000000000e+00</w:t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6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5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.50000000000000e-01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2.09687500000000e+02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2.11250000000000e+02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-1.56250000000003e+00</w:t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7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6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.50000000000000e-01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2.07187500000000e+02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2.08750000000000e+02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-1.56250000000000e+00</w:t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8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7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.50000000000000e-01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1.92187500000000e+02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1.93750000000000e+02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-1.56250000000000e+00</w:t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9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8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.50000000000000e-01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1.64687500000000e+02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1.66250000000000e+02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-1.56249999999994e+00</w:t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10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9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.50000000000000e-01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1.24687500000000e+02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1.26250000000000e+02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-1.56249999999993e+00</w:t>
            </w:r>
          </w:p>
        </w:tc>
      </w:tr>
      <w:tr>
        <w:trPr>
          <w:trHeight w:val="288" w:hRule="atLeast"/>
        </w:trPr>
        <w:tc>
          <w:tcPr>
            <w:tcW w:w="27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11</w:t>
            </w:r>
          </w:p>
        </w:tc>
        <w:tc>
          <w:tcPr>
            <w:tcW w:w="240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.00000000000000e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+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0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0</w:t>
            </w:r>
          </w:p>
        </w:tc>
        <w:tc>
          <w:tcPr>
            <w:tcW w:w="240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1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.00000000000000e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+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2</w:t>
            </w:r>
          </w:p>
        </w:tc>
        <w:tc>
          <w:tcPr>
            <w:tcW w:w="240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1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.00000000000000e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+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2</w:t>
            </w:r>
          </w:p>
        </w:tc>
        <w:tc>
          <w:tcPr>
            <w:tcW w:w="247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.00000000000000e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+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</w:p>
        </w:tc>
      </w:tr>
    </w:tbl>
    <w:p>
      <w:pPr>
        <w:pStyle w:val="Standard"/>
        <w:jc w:val="center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/>
          <w:bCs/>
          <w:sz w:val="20"/>
          <w:szCs w:val="20"/>
          <w:lang w:val="pt-BR"/>
        </w:rPr>
      </w:pPr>
      <w:r>
        <w:rPr>
          <w:rFonts w:ascii="Arial" w:hAnsi="Arial"/>
          <w:b/>
          <w:bCs/>
          <w:sz w:val="20"/>
          <w:szCs w:val="20"/>
          <w:lang w:val="pt-BR"/>
        </w:rPr>
        <w:t>3. VISUALIZAÇÃO DOS RESULTADOS</w:t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A Figura 1 apresenta o resultado da simulação e sua comparação com a solução analítica dada por (2), onde os pontos 0 e 11 representam as condições de contorno A e B, respectivamente.</w:t>
      </w:r>
    </w:p>
    <w:p>
      <w:pPr>
        <w:pStyle w:val="Standard"/>
        <w:jc w:val="both"/>
        <w:rPr>
          <w:rFonts w:ascii="Arial" w:hAnsi="Arial"/>
          <w:sz w:val="20"/>
          <w:szCs w:val="24"/>
          <w:lang w:val="pt-BR"/>
        </w:rPr>
      </w:pPr>
      <w:r>
        <w:rPr>
          <w:rFonts w:ascii="Arial" w:hAnsi="Arial"/>
          <w:sz w:val="20"/>
          <w:szCs w:val="24"/>
          <w:lang w:val="pt-BR"/>
        </w:rPr>
      </w:r>
    </w:p>
    <w:p>
      <w:pPr>
        <w:pStyle w:val="Standard"/>
        <w:jc w:val="center"/>
        <w:rPr>
          <w:rFonts w:ascii="Arial" w:hAnsi="Arial"/>
          <w:sz w:val="20"/>
          <w:szCs w:val="24"/>
          <w:lang w:val="pt-BR"/>
        </w:rPr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66675</wp:posOffset>
            </wp:positionV>
            <wp:extent cx="4095115" cy="307149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07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sz w:val="20"/>
          <w:szCs w:val="24"/>
          <w:lang w:val="pt-BR"/>
        </w:rPr>
        <w:t xml:space="preserve">Figura 1. Resultado </w:t>
      </w:r>
      <w:r>
        <w:rPr>
          <w:rFonts w:ascii="Arial" w:hAnsi="Arial"/>
          <w:sz w:val="20"/>
          <w:szCs w:val="24"/>
          <w:lang w:val="pt-BR"/>
        </w:rPr>
        <w:t xml:space="preserve">gráfico </w:t>
      </w:r>
      <w:r>
        <w:rPr>
          <w:rFonts w:ascii="Arial" w:hAnsi="Arial"/>
          <w:sz w:val="20"/>
          <w:szCs w:val="24"/>
          <w:lang w:val="pt-BR"/>
        </w:rPr>
        <w:t>da simulação</w:t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/>
          <w:bCs/>
          <w:sz w:val="20"/>
          <w:szCs w:val="20"/>
          <w:lang w:val="pt-BR"/>
        </w:rPr>
      </w:pPr>
      <w:r>
        <w:rPr>
          <w:rFonts w:ascii="Arial" w:hAnsi="Arial"/>
          <w:b/>
          <w:bCs/>
          <w:sz w:val="20"/>
          <w:szCs w:val="20"/>
          <w:lang w:val="pt-BR"/>
        </w:rPr>
        <w:t>4. OBTENÇÃO DA TEMPERATURA MÉDIA</w:t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A temperatura média obtida de forma analítica pela equação (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4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) e pela integração do resultado da simulação numérica através da regra do retângulo são apresentadas em (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5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) e (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6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), respectivamente.</w:t>
      </w:r>
    </w:p>
    <w:p>
      <w:pPr>
        <w:pStyle w:val="Standard"/>
        <w:jc w:val="both"/>
        <w:rPr>
          <w:b w:val="false"/>
          <w:bCs w:val="false"/>
          <w:sz w:val="20"/>
          <w:szCs w:val="20"/>
        </w:rPr>
      </w:pPr>
      <w:r>
        <w:rPr>
          <w:rFonts w:ascii="Arial" w:hAnsi="Arial"/>
          <w:lang w:val="pt-BR"/>
        </w:rPr>
      </w:r>
    </w:p>
    <w:tbl>
      <w:tblPr>
        <w:tblW w:w="5000" w:type="pct"/>
        <w:jc w:val="left"/>
        <w:tblInd w:w="-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6"/>
        <w:gridCol w:w="556"/>
      </w:tblGrid>
      <w:tr>
        <w:trPr/>
        <w:tc>
          <w:tcPr>
            <w:tcW w:w="9416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acc>
                      <m:accPr>
                        <m:chr m:val="˙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acc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12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den>
                </m:f>
              </m:oMath>
            </m:oMathPara>
          </w:p>
        </w:tc>
        <w:tc>
          <w:tcPr>
            <w:tcW w:w="556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4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)</w:t>
            </w:r>
          </w:p>
        </w:tc>
      </w:tr>
    </w:tbl>
    <w:p>
      <w:pPr>
        <w:pStyle w:val="Normal"/>
        <w:jc w:val="both"/>
        <w:rPr>
          <w:b w:val="false"/>
          <w:bCs w:val="false"/>
          <w:sz w:val="20"/>
          <w:szCs w:val="20"/>
        </w:rPr>
      </w:pPr>
      <w:r>
        <w:rPr>
          <w:rFonts w:ascii="Arial" w:hAnsi="Arial"/>
          <w:lang w:val="pt-BR"/>
        </w:rPr>
      </w:r>
    </w:p>
    <w:tbl>
      <w:tblPr>
        <w:tblW w:w="5000" w:type="pct"/>
        <w:jc w:val="left"/>
        <w:tblInd w:w="-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6"/>
        <w:gridCol w:w="556"/>
      </w:tblGrid>
      <w:tr>
        <w:trPr/>
        <w:tc>
          <w:tcPr>
            <w:tcW w:w="9416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analytic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1.54166666666667e+02</m:t>
                </m:r>
                <m:r>
                  <w:rPr>
                    <w:rFonts w:ascii="Cambria Math" w:hAnsi="Cambria Math"/>
                  </w:rPr>
                  <m:t xml:space="preserve">°</m:t>
                </m:r>
                <m:r>
                  <w:rPr>
                    <w:rFonts w:ascii="Cambria Math" w:hAnsi="Cambria Math"/>
                  </w:rPr>
                  <m:t xml:space="preserve">C</m:t>
                </m:r>
              </m:oMath>
            </m:oMathPara>
          </w:p>
        </w:tc>
        <w:tc>
          <w:tcPr>
            <w:tcW w:w="556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5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)</w:t>
            </w:r>
          </w:p>
        </w:tc>
      </w:tr>
    </w:tbl>
    <w:p>
      <w:pPr>
        <w:pStyle w:val="Normal"/>
        <w:jc w:val="both"/>
        <w:rPr>
          <w:b w:val="false"/>
          <w:bCs w:val="false"/>
          <w:sz w:val="20"/>
          <w:szCs w:val="20"/>
        </w:rPr>
      </w:pPr>
      <w:r>
        <w:rPr>
          <w:rFonts w:ascii="Arial" w:hAnsi="Arial"/>
          <w:lang w:val="pt-BR"/>
        </w:rPr>
      </w:r>
    </w:p>
    <w:tbl>
      <w:tblPr>
        <w:tblW w:w="5000" w:type="pct"/>
        <w:jc w:val="left"/>
        <w:tblInd w:w="-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6"/>
        <w:gridCol w:w="556"/>
      </w:tblGrid>
      <w:tr>
        <w:trPr/>
        <w:tc>
          <w:tcPr>
            <w:tcW w:w="9416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numeric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1.52625000000000e+02</m:t>
                </m:r>
                <m:r>
                  <w:rPr>
                    <w:rFonts w:ascii="Cambria Math" w:hAnsi="Cambria Math"/>
                  </w:rPr>
                  <m:t xml:space="preserve">°</m:t>
                </m:r>
                <m:r>
                  <w:rPr>
                    <w:rFonts w:ascii="Cambria Math" w:hAnsi="Cambria Math"/>
                  </w:rPr>
                  <m:t xml:space="preserve">C</m:t>
                </m:r>
              </m:oMath>
            </m:oMathPara>
          </w:p>
        </w:tc>
        <w:tc>
          <w:tcPr>
            <w:tcW w:w="556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6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)</w:t>
            </w:r>
          </w:p>
        </w:tc>
      </w:tr>
    </w:tbl>
    <w:p>
      <w:pPr>
        <w:pStyle w:val="Normal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/>
          <w:bCs/>
          <w:sz w:val="20"/>
          <w:szCs w:val="20"/>
          <w:lang w:val="pt-BR"/>
        </w:rPr>
      </w:pPr>
      <w:r>
        <w:rPr>
          <w:rFonts w:ascii="Arial" w:hAnsi="Arial"/>
          <w:b/>
          <w:bCs/>
          <w:sz w:val="20"/>
          <w:szCs w:val="20"/>
          <w:lang w:val="pt-BR"/>
        </w:rPr>
        <w:t>5. OBTENÇÃO DA TAXA DE TRANSFERÊNCIA DE CALOR EM X=0</w:t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A taxa de transferência de calor em 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 obtida de forma analítica pela equação (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7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) e pela simulação numérica são apresentadas em (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8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) e (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9)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 respectivamente.</w:t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lang w:val="pt-BR"/>
        </w:rPr>
      </w:r>
    </w:p>
    <w:tbl>
      <w:tblPr>
        <w:tblW w:w="5000" w:type="pct"/>
        <w:jc w:val="left"/>
        <w:tblInd w:w="-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6"/>
        <w:gridCol w:w="556"/>
      </w:tblGrid>
      <w:tr>
        <w:trPr/>
        <w:tc>
          <w:tcPr>
            <w:tcW w:w="9416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+</m:t>
                    </m:r>
                    <m:acc>
                      <m:accPr>
                        <m:chr m:val="˙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acc>
                          <m:accPr>
                            <m:chr m:val="˙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q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A</m:t>
                </m:r>
              </m:oMath>
            </m:oMathPara>
          </w:p>
        </w:tc>
        <w:tc>
          <w:tcPr>
            <w:tcW w:w="556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7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)</w:t>
            </w:r>
          </w:p>
        </w:tc>
      </w:tr>
    </w:tbl>
    <w:p>
      <w:pPr>
        <w:pStyle w:val="Normal"/>
        <w:jc w:val="both"/>
        <w:rPr>
          <w:b w:val="false"/>
          <w:bCs w:val="false"/>
          <w:sz w:val="20"/>
          <w:szCs w:val="20"/>
        </w:rPr>
      </w:pPr>
      <w:r>
        <w:rPr>
          <w:rFonts w:ascii="Arial" w:hAnsi="Arial"/>
          <w:lang w:val="pt-BR"/>
        </w:rPr>
      </w:r>
    </w:p>
    <w:tbl>
      <w:tblPr>
        <w:tblW w:w="5000" w:type="pct"/>
        <w:jc w:val="left"/>
        <w:tblInd w:w="-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6"/>
        <w:gridCol w:w="556"/>
      </w:tblGrid>
      <w:tr>
        <w:trPr/>
        <w:tc>
          <w:tcPr>
            <w:tcW w:w="9416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analytic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2.90000000000000e+04</m:t>
                </m:r>
                <m:r>
                  <w:rPr>
                    <w:rFonts w:ascii="Cambria Math" w:hAnsi="Cambria Math"/>
                  </w:rPr>
                  <m:t xml:space="preserve">W</m:t>
                </m:r>
              </m:oMath>
            </m:oMathPara>
          </w:p>
        </w:tc>
        <w:tc>
          <w:tcPr>
            <w:tcW w:w="556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8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)</w:t>
            </w:r>
          </w:p>
        </w:tc>
      </w:tr>
    </w:tbl>
    <w:p>
      <w:pPr>
        <w:pStyle w:val="Normal"/>
        <w:jc w:val="both"/>
        <w:rPr>
          <w:b w:val="false"/>
          <w:bCs w:val="false"/>
          <w:sz w:val="20"/>
          <w:szCs w:val="20"/>
        </w:rPr>
      </w:pPr>
      <w:r>
        <w:rPr>
          <w:rFonts w:ascii="Arial" w:hAnsi="Arial"/>
          <w:lang w:val="pt-BR"/>
        </w:rPr>
      </w:r>
    </w:p>
    <w:tbl>
      <w:tblPr>
        <w:tblW w:w="5000" w:type="pct"/>
        <w:jc w:val="left"/>
        <w:tblInd w:w="-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6"/>
        <w:gridCol w:w="556"/>
      </w:tblGrid>
      <w:tr>
        <w:trPr/>
        <w:tc>
          <w:tcPr>
            <w:tcW w:w="9416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numeric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2.90000000000000e+04</m:t>
                </m:r>
                <m:r>
                  <w:rPr>
                    <w:rFonts w:ascii="Cambria Math" w:hAnsi="Cambria Math"/>
                  </w:rPr>
                  <m:t xml:space="preserve">W</m:t>
                </m:r>
              </m:oMath>
            </m:oMathPara>
          </w:p>
        </w:tc>
        <w:tc>
          <w:tcPr>
            <w:tcW w:w="556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9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)</w:t>
            </w:r>
          </w:p>
        </w:tc>
      </w:tr>
    </w:tbl>
    <w:p>
      <w:pPr>
        <w:pStyle w:val="Standard"/>
        <w:jc w:val="both"/>
        <w:rPr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/>
          <w:bCs/>
          <w:sz w:val="20"/>
          <w:szCs w:val="20"/>
          <w:lang w:val="pt-BR"/>
        </w:rPr>
      </w:pPr>
      <w:r>
        <w:rPr>
          <w:rFonts w:ascii="Arial" w:hAnsi="Arial"/>
          <w:b/>
          <w:bCs/>
          <w:sz w:val="20"/>
          <w:szCs w:val="20"/>
          <w:lang w:val="pt-BR"/>
        </w:rPr>
        <w:t>6</w:t>
      </w:r>
      <w:r>
        <w:rPr>
          <w:rFonts w:ascii="Arial" w:hAnsi="Arial"/>
          <w:b/>
          <w:bCs/>
          <w:sz w:val="20"/>
          <w:szCs w:val="20"/>
          <w:lang w:val="pt-BR"/>
        </w:rPr>
        <w:t>. OBTENÇÃO DA TAXA DE TRANSFERÊNCIA DE CALOR EM X=L</w:t>
      </w:r>
    </w:p>
    <w:p>
      <w:pPr>
        <w:pStyle w:val="Standard"/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sz w:val="20"/>
          <w:szCs w:val="20"/>
          <w:lang w:val="pt-BR"/>
        </w:rPr>
        <w:tab/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A taxa de transferência de calor em 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1.0</m:t>
        </m:r>
        <m:r>
          <w:rPr>
            <w:rFonts w:ascii="Cambria Math" w:hAnsi="Cambria Math"/>
          </w:rPr>
          <m:t xml:space="preserve">m</m:t>
        </m:r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 obtida de forma analítica pela equação (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7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) e pela simulação numérica são apresentadas em (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10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) e (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1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1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), respectivamente.</w:t>
      </w:r>
    </w:p>
    <w:p>
      <w:pPr>
        <w:pStyle w:val="Normal"/>
        <w:jc w:val="both"/>
        <w:rPr>
          <w:b w:val="false"/>
          <w:bCs w:val="false"/>
          <w:sz w:val="20"/>
          <w:szCs w:val="20"/>
        </w:rPr>
      </w:pPr>
      <w:r>
        <w:rPr>
          <w:rFonts w:ascii="Arial" w:hAnsi="Arial"/>
          <w:lang w:val="pt-BR"/>
        </w:rPr>
      </w:r>
    </w:p>
    <w:tbl>
      <w:tblPr>
        <w:tblW w:w="5000" w:type="pct"/>
        <w:jc w:val="left"/>
        <w:tblInd w:w="-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6"/>
        <w:gridCol w:w="556"/>
      </w:tblGrid>
      <w:tr>
        <w:trPr/>
        <w:tc>
          <w:tcPr>
            <w:tcW w:w="9416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analytic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2.10000000000000e+04</m:t>
                </m:r>
                <m:r>
                  <w:rPr>
                    <w:rFonts w:ascii="Cambria Math" w:hAnsi="Cambria Math"/>
                  </w:rPr>
                  <m:t xml:space="preserve">W</m:t>
                </m:r>
              </m:oMath>
            </m:oMathPara>
          </w:p>
        </w:tc>
        <w:tc>
          <w:tcPr>
            <w:tcW w:w="556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10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)</w:t>
            </w:r>
          </w:p>
        </w:tc>
      </w:tr>
    </w:tbl>
    <w:p>
      <w:pPr>
        <w:pStyle w:val="Normal"/>
        <w:jc w:val="both"/>
        <w:rPr>
          <w:b w:val="false"/>
          <w:bCs w:val="false"/>
          <w:sz w:val="20"/>
          <w:szCs w:val="20"/>
        </w:rPr>
      </w:pPr>
      <w:r>
        <w:rPr>
          <w:rFonts w:ascii="Arial" w:hAnsi="Arial"/>
          <w:lang w:val="pt-BR"/>
        </w:rPr>
      </w:r>
    </w:p>
    <w:tbl>
      <w:tblPr>
        <w:tblW w:w="5000" w:type="pct"/>
        <w:jc w:val="left"/>
        <w:tblInd w:w="-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6"/>
        <w:gridCol w:w="556"/>
      </w:tblGrid>
      <w:tr>
        <w:trPr/>
        <w:tc>
          <w:tcPr>
            <w:tcW w:w="9416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numeric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2.10000000000000e+04</m:t>
                </m:r>
                <m:r>
                  <w:rPr>
                    <w:rFonts w:ascii="Cambria Math" w:hAnsi="Cambria Math"/>
                  </w:rPr>
                  <m:t xml:space="preserve">W</m:t>
                </m:r>
              </m:oMath>
            </m:oMathPara>
          </w:p>
        </w:tc>
        <w:tc>
          <w:tcPr>
            <w:tcW w:w="556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1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1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)</w:t>
            </w:r>
          </w:p>
        </w:tc>
      </w:tr>
    </w:tbl>
    <w:p>
      <w:pPr>
        <w:pStyle w:val="Standard"/>
        <w:jc w:val="both"/>
        <w:rPr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spacing w:before="0" w:after="0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spacing w:before="0" w:after="0"/>
        <w:jc w:val="both"/>
        <w:rPr>
          <w:rFonts w:ascii="Arial" w:hAnsi="Arial"/>
          <w:b/>
          <w:bCs/>
          <w:sz w:val="20"/>
          <w:szCs w:val="20"/>
          <w:lang w:val="pt-BR"/>
        </w:rPr>
      </w:pPr>
      <w:r>
        <w:rPr>
          <w:rFonts w:ascii="Arial" w:hAnsi="Arial"/>
          <w:b/>
          <w:bCs/>
          <w:sz w:val="20"/>
          <w:szCs w:val="20"/>
          <w:lang w:val="pt-BR"/>
        </w:rPr>
        <w:t>7</w:t>
      </w:r>
      <w:r>
        <w:rPr>
          <w:rFonts w:ascii="Arial" w:hAnsi="Arial"/>
          <w:b/>
          <w:bCs/>
          <w:sz w:val="20"/>
          <w:szCs w:val="20"/>
          <w:lang w:val="pt-BR"/>
        </w:rPr>
        <w:t>. IMPLEMENTAÇÃO</w:t>
      </w:r>
    </w:p>
    <w:p>
      <w:pPr>
        <w:pStyle w:val="Standard"/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sz w:val="20"/>
          <w:szCs w:val="20"/>
          <w:lang w:val="pt-BR"/>
        </w:rPr>
        <w:tab/>
        <w:t xml:space="preserve">A implementalção do código </w:t>
      </w:r>
      <w:r>
        <w:rPr>
          <w:rFonts w:ascii="Arial" w:hAnsi="Arial"/>
          <w:sz w:val="20"/>
          <w:szCs w:val="20"/>
          <w:lang w:val="pt-BR"/>
        </w:rPr>
        <w:t xml:space="preserve">computacional </w:t>
      </w:r>
      <w:r>
        <w:rPr>
          <w:rFonts w:ascii="Arial" w:hAnsi="Arial"/>
          <w:sz w:val="20"/>
          <w:szCs w:val="20"/>
          <w:lang w:val="pt-BR"/>
        </w:rPr>
        <w:t>foi realizada</w:t>
      </w:r>
      <w:r>
        <w:rPr>
          <w:rFonts w:ascii="Arial" w:hAnsi="Arial"/>
          <w:sz w:val="20"/>
          <w:szCs w:val="20"/>
          <w:lang w:val="pt-BR"/>
        </w:rPr>
        <w:t xml:space="preserve"> </w:t>
      </w:r>
      <w:r>
        <w:rPr>
          <w:rFonts w:ascii="Arial" w:hAnsi="Arial"/>
          <w:sz w:val="20"/>
          <w:szCs w:val="20"/>
          <w:lang w:val="pt-BR"/>
        </w:rPr>
        <w:t>na linguagem</w:t>
      </w:r>
      <w:r>
        <w:rPr>
          <w:rFonts w:ascii="Arial" w:hAnsi="Arial"/>
          <w:sz w:val="20"/>
          <w:szCs w:val="20"/>
          <w:lang w:val="pt-BR"/>
        </w:rPr>
        <w:t xml:space="preserve"> C++</w:t>
      </w:r>
      <w:r>
        <w:rPr>
          <w:rFonts w:ascii="Arial" w:hAnsi="Arial"/>
          <w:sz w:val="20"/>
          <w:szCs w:val="20"/>
          <w:lang w:val="pt-BR"/>
        </w:rPr>
        <w:t>20</w:t>
      </w:r>
      <w:r>
        <w:rPr>
          <w:rFonts w:ascii="Arial" w:hAnsi="Arial"/>
          <w:sz w:val="20"/>
          <w:szCs w:val="20"/>
          <w:lang w:val="pt-BR"/>
        </w:rPr>
        <w:t xml:space="preserve"> compilado com </w:t>
      </w:r>
      <w:r>
        <w:rPr>
          <w:rFonts w:ascii="Arial" w:hAnsi="Arial"/>
          <w:i/>
          <w:iCs/>
          <w:sz w:val="20"/>
          <w:szCs w:val="20"/>
          <w:lang w:val="pt-BR"/>
        </w:rPr>
        <w:t>clang</w:t>
      </w:r>
      <w:r>
        <w:rPr>
          <w:rFonts w:ascii="Arial" w:hAnsi="Arial"/>
          <w:sz w:val="20"/>
          <w:szCs w:val="20"/>
          <w:lang w:val="pt-BR"/>
        </w:rPr>
        <w:t xml:space="preserve"> versão 1</w:t>
      </w:r>
      <w:r>
        <w:rPr>
          <w:rFonts w:ascii="Arial" w:hAnsi="Arial"/>
          <w:sz w:val="20"/>
          <w:szCs w:val="20"/>
          <w:lang w:val="pt-BR"/>
        </w:rPr>
        <w:t>8</w:t>
      </w:r>
      <w:r>
        <w:rPr>
          <w:rFonts w:ascii="Arial" w:hAnsi="Arial"/>
          <w:sz w:val="20"/>
          <w:szCs w:val="20"/>
          <w:lang w:val="pt-BR"/>
        </w:rPr>
        <w:t>.</w:t>
      </w:r>
      <w:r>
        <w:rPr>
          <w:rFonts w:ascii="Arial" w:hAnsi="Arial"/>
          <w:sz w:val="20"/>
          <w:szCs w:val="20"/>
          <w:lang w:val="pt-BR"/>
        </w:rPr>
        <w:t>1</w:t>
      </w:r>
      <w:r>
        <w:rPr>
          <w:rFonts w:ascii="Arial" w:hAnsi="Arial"/>
          <w:sz w:val="20"/>
          <w:szCs w:val="20"/>
          <w:lang w:val="pt-BR"/>
        </w:rPr>
        <w:t>.</w:t>
      </w:r>
      <w:r>
        <w:rPr>
          <w:rFonts w:ascii="Arial" w:hAnsi="Arial"/>
          <w:sz w:val="20"/>
          <w:szCs w:val="20"/>
          <w:lang w:val="pt-BR"/>
        </w:rPr>
        <w:t>8</w:t>
      </w:r>
      <w:r>
        <w:rPr>
          <w:rFonts w:ascii="Arial" w:hAnsi="Arial"/>
          <w:sz w:val="20"/>
          <w:szCs w:val="20"/>
          <w:lang w:val="pt-BR"/>
        </w:rPr>
        <w:t xml:space="preserve">. </w:t>
      </w:r>
      <w:r>
        <w:rPr>
          <w:rFonts w:ascii="Arial" w:hAnsi="Arial"/>
          <w:sz w:val="20"/>
          <w:szCs w:val="20"/>
          <w:lang w:val="pt-BR"/>
        </w:rPr>
        <w:t xml:space="preserve">O código fonte se encontra em: </w:t>
      </w:r>
      <w:hyperlink r:id="rId3">
        <w:r>
          <w:rPr>
            <w:rStyle w:val="Hyperlink"/>
            <w:rFonts w:ascii="Arial" w:hAnsi="Arial"/>
            <w:sz w:val="20"/>
            <w:szCs w:val="20"/>
            <w:lang w:val="pt-BR"/>
          </w:rPr>
          <w:t>https://github.com/mBelisarius/cfd-basics</w:t>
        </w:r>
      </w:hyperlink>
      <w:r>
        <w:rPr>
          <w:rFonts w:ascii="Arial" w:hAnsi="Arial"/>
          <w:sz w:val="20"/>
          <w:szCs w:val="20"/>
          <w:lang w:val="pt-BR"/>
        </w:rPr>
        <w:t>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gkelc">
    <w:name w:val="hgkelc"/>
    <w:basedOn w:val="DefaultParagraphFont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>
    <w:name w:val="Index"/>
    <w:basedOn w:val="Standard"/>
    <w:qFormat/>
    <w:pPr>
      <w:suppressLineNumbers/>
    </w:pPr>
    <w:rPr/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TableContents">
    <w:name w:val="Table Contents"/>
    <w:basedOn w:val="Standard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mBelisarius/cfd-basic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LibreOffice/24.8.2.1$Linux_X86_64 LibreOffice_project/0f794b6e29741098670a3b95d60478a65d05ef13</Application>
  <AppVersion>15.0000</AppVersion>
  <Pages>3</Pages>
  <Words>441</Words>
  <Characters>3655</Characters>
  <CharactersWithSpaces>4095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2023-05-03T17:55:00Z</dcterms:created>
  <dc:creator>Belizario Marcos (CtP/ETS)</dc:creator>
  <dc:description/>
  <dc:language>en-US</dc:language>
  <cp:lastModifiedBy/>
  <cp:lastPrinted>2024-10-22T22:57:39Z</cp:lastPrinted>
  <dcterms:modified xsi:type="dcterms:W3CDTF">2024-10-22T22:59:07Z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