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0"/>
      </w:pPr>
    </w:p>
    <w:p>
      <w:pPr>
        <w:spacing w:after="200" w:before="600"/>
        <w:jc w:val="center"/>
      </w:pPr>
      <w:r>
        <w:rPr>
          <w:rFonts w:ascii="SimHei" w:cs="SimHei" w:eastAsia="SimHei" w:hAnsi="SimHei"/>
          <w:b/>
          <w:bCs/>
          <w:color w:val="1A1F16"/>
          <w:sz w:val="48"/>
          <w:szCs w:val="48"/>
        </w:rPr>
        <w:t xml:space="preserve">Алеутская болезнь норок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4A5548"/>
          <w:sz w:val="28"/>
          <w:szCs w:val="28"/>
        </w:rPr>
        <w:t xml:space="preserve">Особо опасная болезнь (вирусная этиология)</w:t>
      </w:r>
    </w:p>
    <w:p>
      <w:pPr>
        <w:spacing w:after="100" w:before="600"/>
        <w:jc w:val="center"/>
      </w:pPr>
      <w:r>
        <w:rPr>
          <w:rFonts w:ascii="Microsoft YaHei" w:cs="Microsoft YaHei" w:eastAsia="Microsoft YaHei" w:hAnsi="Microsoft YaHei"/>
          <w:color w:val="94A3B8"/>
          <w:sz w:val="20"/>
          <w:szCs w:val="20"/>
        </w:rPr>
        <w:t xml:space="preserve">────────────────────────────────────────</w:t>
      </w:r>
    </w:p>
    <w:p>
      <w:pPr>
        <w:spacing w:after="100" w:before="200"/>
        <w:jc w:val="center"/>
      </w:pPr>
      <w:r>
        <w:rPr>
          <w:rFonts w:ascii="Microsoft YaHei" w:cs="Microsoft YaHei" w:eastAsia="Microsoft YaHei" w:hAnsi="Microsoft YaHei"/>
          <w:color w:val="94A3B8"/>
          <w:sz w:val="24"/>
          <w:szCs w:val="24"/>
        </w:rPr>
        <w:t xml:space="preserve">Протокол лечения и профилактика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22"/>
          <w:szCs w:val="22"/>
        </w:rPr>
        <w:t xml:space="preserve">Виды: Пушные звери</w:t>
      </w:r>
    </w:p>
    <w:p>
      <w:pPr>
        <w:spacing w:before="20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На основании Приказа Минсельхоза РФ № 62 от 09.03.2011</w:t>
      </w:r>
    </w:p>
    <w:p>
      <w:pPr>
        <w:spacing w:before="100"/>
        <w:jc w:val="center"/>
      </w:pPr>
      <w:r>
        <w:rPr>
          <w:rFonts w:ascii="Microsoft YaHei" w:cs="Microsoft YaHei" w:eastAsia="Microsoft YaHei" w:hAnsi="Microsoft YaHei"/>
          <w:color w:val="94A3B8"/>
          <w:sz w:val="18"/>
          <w:szCs w:val="18"/>
        </w:rPr>
        <w:t xml:space="preserve">2026</w:t>
      </w:r>
    </w:p>
    <w:p>
      <w:pPr>
        <w:sectPr>
          <w:pgSz w:w="11906" w:h="16838" w:orient="portrait"/>
          <w:pgMar w:top="0" w:right="0" w:bottom="0" w:left="0" w:header="708" w:footer="708" w:gutter="0"/>
          <w:pgNumType/>
          <w:titlePg/>
          <w:docGrid w:linePitch="360"/>
        </w:sectPr>
      </w:pP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1. Общая информация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Заболевание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Алеутская болезнь норок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Код МКХБ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Перечню Минсельхоза РФ №62 — пункт 21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Возбудитель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Возбудитель: вирусная этиология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Виды животных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Пушные звери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60"/>
          <w:left w:type="dxa" w:w="140"/>
          <w:bottom w:type="dxa" w:w="60"/>
          <w:right w:type="dxa" w:w="140"/>
        </w:tblCellMar>
      </w:tblPr>
      <w:tblGrid>
        <w:gridCol w:w="2800"/>
        <w:gridCol w:w="6560"/>
      </w:tblGrid>
      <w:tr>
        <w:tc>
          <w:tcPr>
            <w:tcW w:type="dxa" w:w="280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shd w:fill="F8FAF7" w:val="clear"/>
            <w:vAlign w:val="center"/>
          </w:tcPr>
          <w:p>
            <w:r>
              <w:rPr>
                <w:rFonts w:ascii="SimHei" w:cs="SimHei" w:eastAsia="SimHei" w:hAnsi="SimHei"/>
                <w:b/>
                <w:bCs/>
                <w:color w:val="4A5548"/>
                <w:sz w:val="20"/>
                <w:szCs w:val="20"/>
              </w:rPr>
              <w:t xml:space="preserve">Категория</w:t>
            </w:r>
          </w:p>
        </w:tc>
        <w:tc>
          <w:tcPr>
            <w:tcW w:type="dxa" w:w="6560"/>
            <w:tcBorders>
              <w:top w:val="none" w:color="FFFFFF" w:sz="0"/>
              <w:left w:val="none" w:color="FFFFFF" w:sz="0"/>
              <w:bottom w:val="single" w:color="94A3B8" w:sz="4"/>
              <w:right w:val="none" w:color="FFFFFF" w:sz="0"/>
            </w:tcBorders>
            <w:vAlign w:val="center"/>
          </w:tcPr>
          <w:p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Особо опасная</w:t>
            </w:r>
          </w:p>
        </w:tc>
      </w:tr>
    </w:tbl>
    <w:p>
      <w:pPr>
        <w:spacing w:after="0" w:before="80"/>
      </w:pP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1.1 Эпизоотология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Заболевание включено в Перечень заразных и иных болезней животных, утверждённый Приказом Минсельхоза РФ от 09.03.2011 №62 (ред. от 25.09.2020), пункт 21.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Категория: Особо опасная болезнь. Этиология: вирусная.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Восприимчивые виды: Пушные звери.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1.2 Клинические признаки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1.3 Патогенез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2. Диагностика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2.1 Методы диагностики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Диагностика проводится в соответствии с действующими нормативными документами Россельхознадзора и методическими указаниями по лабораторной диагностике заболевания.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2.2 Дифференциальная диагностика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Дифференциальная диагностика проводится с учётом клинических признаков, эпизоотологических данных и результатов лабораторных исследований.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3. Протокол лечения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3.1 Общие принципы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Лечение осуществляется в соответствии с инструкциями по применению зарегистрированных ветеринарных лекарственных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Назначение лекарственных препаратов проводится ветеринарным врачом с учётом состояния животного, тяжести течения заболевания и противопоказаний.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лечении необходимо соблюдать сроки ожидания перед убоем на мясо и использованием молока.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Ниже представлены препараты из зарегистрированной базы ветеринарных препаратов, подобранные по фармакологической группе и виду животного.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3.2 Специфическая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000"/>
        <w:gridCol w:w="1800"/>
        <w:gridCol w:w="1400"/>
        <w:gridCol w:w="12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Кратность</w:t>
            </w:r>
          </w:p>
        </w:tc>
      </w:tr>
      <w:tr>
        <w:tc>
          <w:tcPr>
            <w:tcW w:type="dxa" w:w="20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Иммунофан®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аргинил-альфа-аспартил-лизил-валил-тирозил-аргинин диацетат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0,1-0,3 мл/гол (1-3 мкг), п/к или в/м, 1 раз в сутки, курс 3-5 инъекций с интервалом 24-48 ч</w:t>
            </w:r>
          </w:p>
        </w:tc>
        <w:tc>
          <w:tcPr>
            <w:tcW w:type="dxa" w:w="1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по инструкции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 раз в сутки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1. Препараты для специфической терапии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3.3 Симптоматическая терапия</w:t>
      </w: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80"/>
          <w:left w:type="dxa" w:w="140"/>
          <w:bottom w:type="dxa" w:w="80"/>
          <w:right w:type="dxa" w:w="140"/>
        </w:tblCellMar>
      </w:tblPr>
      <w:tblGrid>
        <w:gridCol w:w="2400"/>
        <w:gridCol w:w="2200"/>
        <w:gridCol w:w="1800"/>
        <w:gridCol w:w="14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Препарат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МНН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Дозировка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Курс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8FAF7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SimHei" w:cs="SimHei" w:eastAsia="SimHei" w:hAnsi="SimHei"/>
                <w:b/>
                <w:bCs/>
                <w:color w:val="1A1F16"/>
                <w:sz w:val="20"/>
                <w:szCs w:val="20"/>
              </w:rPr>
              <w:t xml:space="preserve">Путь введения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Бутал®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2,5 мл/10 кг массы тела, в/м, 1 раз в сутки, 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Ферран®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декстран железа, цианокобаламин, фолиевая кислота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1,0-1,5 мл/гол, в/м, 1 раз в 3-5 дней, курс 3-5 инъекций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подкожно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Катобевит®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2,5 мл/10 кг массы тела, в/м, 1 раз в сутки, 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Бутастим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бутафосфан, цианокобаламин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2,5 мл/10 кг массы тела, в/м, 1 раз в сутки, 3-5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2-3 дня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внутримышечно, внутривенно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Эмидонол 20%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3-(2,2,2-триметилгидразиний) пропионат-2-этил-6-метил-3-гидроксипиридина дисукцинат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2,5-5,0 мл/гол, per os, 1 раз в сутки, 5-10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Эмидонол 5%, 10%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3-(2,2,2-триметилгидразиний) пропионат-2-этил-6-метил-3-гидроксипиридина дисукцинат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2,5-5,0 мл/гол, в/м, 1 раз в сутки, 5-10 дней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внутрь, внутримышечно</w:t>
            </w:r>
          </w:p>
        </w:tc>
      </w:tr>
      <w:tr>
        <w:tc>
          <w:tcPr>
            <w:tcW w:type="dxa" w:w="2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АД3Евит</w:t>
            </w:r>
          </w:p>
        </w:tc>
        <w:tc>
          <w:tcPr>
            <w:tcW w:type="dxa" w:w="22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ретинол ацетат, токоферол ацетат, холекальциферол</w:t>
            </w:r>
          </w:p>
        </w:tc>
        <w:tc>
          <w:tcPr>
            <w:tcW w:type="dxa" w:w="18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50-200 МЕ/гол/день, per os</w:t>
            </w:r>
          </w:p>
        </w:tc>
        <w:tc>
          <w:tcPr>
            <w:tcW w:type="dxa" w:w="140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5-10 дней</w:t>
            </w:r>
          </w:p>
        </w:tc>
        <w:tc>
          <w:tcPr>
            <w:tcW w:type="dxa" w:w="15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Microsoft YaHei" w:cs="Microsoft YaHei" w:eastAsia="Microsoft YaHei" w:hAnsi="Microsoft YaHei"/>
                <w:color w:val="2D3329"/>
                <w:sz w:val="20"/>
                <w:szCs w:val="20"/>
              </w:rPr>
              <w:t xml:space="preserve">внутрь</w:t>
            </w:r>
          </w:p>
        </w:tc>
      </w:tr>
    </w:tbl>
    <w:p>
      <w:pPr>
        <w:spacing w:after="0" w:before="40"/>
      </w:pP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i/>
          <w:iCs/>
          <w:color w:val="94A3B8"/>
          <w:sz w:val="18"/>
          <w:szCs w:val="18"/>
        </w:rPr>
        <w:t xml:space="preserve">Таблица 2. Препараты симптоматической терапии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Данные о препаратах и дозировках взяты из зарегистрированной базы ветеринарных препаратов.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Перед применением препарата необходимо ознакомиться с полной инструкцией.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4. Профилактика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4.2 Общие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Профилактические мероприятия проводятся в соответствии с Ветеринарными правилами, утверждёнными Минсельхозом России.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Мероприятия направлены на предупреждение заноса и распространения возбудителя заболевания.</w:t>
      </w:r>
    </w:p>
    <w:p>
      <w:pPr>
        <w:pStyle w:val="Heading1"/>
        <w:spacing w:after="200" w:before="360"/>
      </w:pPr>
      <w:r>
        <w:rPr>
          <w:rFonts w:ascii="SimHei" w:cs="SimHei" w:eastAsia="SimHei" w:hAnsi="SimHei"/>
          <w:b/>
          <w:bCs/>
          <w:color w:val="1A1F16"/>
          <w:sz w:val="32"/>
          <w:szCs w:val="32"/>
        </w:rPr>
        <w:t xml:space="preserve">5. Меры борьбы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5.1 Ограничительные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При установлении диагноза осуществляются мероприятия в соответствии с действующим законодательством РФ в области ветеринарии.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5.2 Карантинные меры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Карантинные и ограничительные мероприятия устанавливаются в порядке, определённом законодательством.</w:t>
      </w:r>
    </w:p>
    <w:p>
      <w:pPr>
        <w:pStyle w:val="Heading2"/>
        <w:spacing w:after="160" w:before="280"/>
      </w:pPr>
      <w:r>
        <w:rPr>
          <w:rFonts w:ascii="SimHei" w:cs="SimHei" w:eastAsia="SimHei" w:hAnsi="SimHei"/>
          <w:b/>
          <w:bCs/>
          <w:color w:val="1A1F16"/>
          <w:sz w:val="28"/>
          <w:szCs w:val="28"/>
        </w:rPr>
        <w:t xml:space="preserve">5.3 Дезинфекция</w:t>
      </w:r>
    </w:p>
    <w:p>
      <w:pPr>
        <w:spacing w:after="120" w:line="276"/>
        <w:ind w:firstLine="420"/>
        <w:jc w:val="both"/>
      </w:pPr>
      <w:r>
        <w:rPr>
          <w:rFonts w:ascii="Microsoft YaHei" w:cs="Microsoft YaHei" w:eastAsia="Microsoft YaHei" w:hAnsi="Microsoft YaHei"/>
          <w:color w:val="2D3329"/>
          <w:sz w:val="21"/>
          <w:szCs w:val="21"/>
        </w:rPr>
        <w:t xml:space="preserve">Проводится дезинфекция, дезинсекция и дератизация в соответствии с действующими ветеринарно-санитарными правилами.</w:t>
      </w:r>
    </w:p>
    <w:p>
      <w:pPr>
        <w:spacing w:after="0" w:before="200"/>
      </w:pPr>
    </w:p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Все препараты должны применяться строго по инструкции производителя.</w:t>
            </w:r>
          </w:p>
        </w:tc>
      </w:tr>
    </w:tbl>
    <w:tbl>
      <w:tblPr>
        <w:tblW w:type="auto" w:w="1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200"/>
          <w:bottom w:type="dxa" w:w="100"/>
          <w:right w:type="dxa" w:w="200"/>
        </w:tblCellMar>
      </w:tblPr>
      <w:tblGrid>
        <w:gridCol w:w="9360"/>
      </w:tblGrid>
      <w:tr>
        <w:tc>
          <w:tcPr>
            <w:tcW w:type="dxa" w:w="9360"/>
            <w:tcBorders>
              <w:top w:val="single" w:color="94A3B8" w:sz="8"/>
              <w:left w:val="single" w:color="94A3B8" w:sz="8"/>
              <w:bottom w:val="single" w:color="94A3B8" w:sz="8"/>
              <w:right w:val="single" w:color="94A3B8" w:sz="8"/>
            </w:tcBorders>
            <w:shd w:fill="FEF2F2" w:val="clear"/>
            <w:vAlign w:val="center"/>
          </w:tcPr>
          <w:p>
            <w:pPr>
              <w:spacing w:after="40" w:before="40"/>
            </w:pPr>
            <w:r>
              <w:rPr>
                <w:rFonts w:ascii="Microsoft YaHei" w:cs="Microsoft YaHei" w:eastAsia="Microsoft YaHei" w:hAnsi="Microsoft YaHei"/>
                <w:b/>
                <w:bCs/>
                <w:color w:val="B91C1C"/>
                <w:sz w:val="21"/>
                <w:szCs w:val="21"/>
              </w:rPr>
              <w:t xml:space="preserve">⚠️ Источник: Приказ Минсельхоза РФ №62 от 09.03.2011 (ред. от 25.09.2020, Приказ №564). Препараты из базы ветеринарных препаратов.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80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— </w:t>
    </w:r>
    <w:r>
      <w:rPr>
        <w:rFonts w:ascii="Microsoft YaHei" w:cs="Microsoft YaHei" w:eastAsia="Microsoft YaHei" w:hAnsi="Microsoft YaHei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4A3B8"/>
        <w:sz w:val="16"/>
        <w:szCs w:val="16"/>
      </w:rPr>
      <w:t xml:space="preserve">Алеутская болезнь норок — протокол лечения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SimHei" w:cs="SimHei" w:eastAsia="SimHei" w:hAnsi="SimHei"/>
      <w:b/>
      <w:bCs/>
      <w:color w:val="1A1F1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SimHei" w:cs="SimHei" w:eastAsia="SimHei" w:hAnsi="SimHei"/>
      <w:b/>
      <w:bCs/>
      <w:color w:val="1A1F1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SimHei" w:cs="SimHei" w:eastAsia="SimHei" w:hAnsi="SimHei"/>
      <w:b/>
      <w:bCs/>
      <w:color w:val="4A55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2026-03-29T18:32:32.696Z</dcterms:created>
  <dcterms:modified xsi:type="dcterms:W3CDTF">2026-03-29T18:32:32.697Z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