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spacing w:after="200" w:before="600"/>
        <w:jc w:val="center"/>
      </w:pPr>
      <w:r>
        <w:rPr>
          <w:rFonts w:ascii="SimHei" w:cs="SimHei" w:eastAsia="SimHei" w:hAnsi="SimHei"/>
          <w:b/>
          <w:bCs/>
          <w:color w:val="1A1F16"/>
          <w:sz w:val="48"/>
          <w:szCs w:val="48"/>
        </w:rPr>
        <w:t xml:space="preserve">Некробактериоз, за исключением указанного в пункте 20</w:t>
      </w:r>
    </w:p>
    <w:p>
      <w:pPr>
        <w:spacing w:after="100" w:before="200"/>
        <w:jc w:val="center"/>
      </w:pPr>
      <w:r>
        <w:rPr>
          <w:rFonts w:ascii="Microsoft YaHei" w:cs="Microsoft YaHei" w:eastAsia="Microsoft YaHei" w:hAnsi="Microsoft YaHei"/>
          <w:color w:val="4A5548"/>
          <w:sz w:val="28"/>
          <w:szCs w:val="28"/>
        </w:rPr>
        <w:t xml:space="preserve">Инфекционная болезнь (бактериальная этиология)</w:t>
      </w:r>
    </w:p>
    <w:p>
      <w:pPr>
        <w:spacing w:after="100" w:before="600"/>
        <w:jc w:val="center"/>
      </w:pPr>
      <w:r>
        <w:rPr>
          <w:rFonts w:ascii="Microsoft YaHei" w:cs="Microsoft YaHei" w:eastAsia="Microsoft YaHei" w:hAnsi="Microsoft YaHei"/>
          <w:color w:val="94A3B8"/>
          <w:sz w:val="20"/>
          <w:szCs w:val="20"/>
        </w:rPr>
        <w:t xml:space="preserve">────────────────────────────────────────</w:t>
      </w:r>
    </w:p>
    <w:p>
      <w:pPr>
        <w:spacing w:after="100" w:before="200"/>
        <w:jc w:val="center"/>
      </w:pPr>
      <w:r>
        <w:rPr>
          <w:rFonts w:ascii="Microsoft YaHei" w:cs="Microsoft YaHei" w:eastAsia="Microsoft YaHei" w:hAnsi="Microsoft YaHei"/>
          <w:color w:val="94A3B8"/>
          <w:sz w:val="24"/>
          <w:szCs w:val="24"/>
        </w:rPr>
        <w:t xml:space="preserve">Протокол лечения и профилактика</w:t>
      </w:r>
    </w:p>
    <w:p>
      <w:pPr>
        <w:spacing w:before="100"/>
        <w:jc w:val="center"/>
      </w:pPr>
      <w:r>
        <w:rPr>
          <w:rFonts w:ascii="Microsoft YaHei" w:cs="Microsoft YaHei" w:eastAsia="Microsoft YaHei" w:hAnsi="Microsoft YaHei"/>
          <w:color w:val="94A3B8"/>
          <w:sz w:val="22"/>
          <w:szCs w:val="22"/>
        </w:rPr>
        <w:t xml:space="preserve">Виды: КРС, МРС</w:t>
      </w:r>
    </w:p>
    <w:p>
      <w:pPr>
        <w:spacing w:before="2000"/>
        <w:jc w:val="center"/>
      </w:pPr>
      <w:r>
        <w:rPr>
          <w:rFonts w:ascii="Microsoft YaHei" w:cs="Microsoft YaHei" w:eastAsia="Microsoft YaHei" w:hAnsi="Microsoft YaHei"/>
          <w:color w:val="94A3B8"/>
          <w:sz w:val="18"/>
          <w:szCs w:val="18"/>
        </w:rPr>
        <w:t xml:space="preserve">На основании Приказа Минсельхоза РФ № 62 от 09.03.2011</w:t>
      </w:r>
    </w:p>
    <w:p>
      <w:pPr>
        <w:spacing w:before="100"/>
        <w:jc w:val="center"/>
      </w:pPr>
      <w:r>
        <w:rPr>
          <w:rFonts w:ascii="Microsoft YaHei" w:cs="Microsoft YaHei" w:eastAsia="Microsoft YaHei" w:hAnsi="Microsoft YaHei"/>
          <w:color w:val="94A3B8"/>
          <w:sz w:val="18"/>
          <w:szCs w:val="18"/>
        </w:rPr>
        <w:t xml:space="preserve">2026</w:t>
      </w:r>
    </w:p>
    <w:p>
      <w:pPr>
        <w:sectPr>
          <w:pgSz w:w="11906" w:h="16838" w:orient="portrait"/>
          <w:pgMar w:top="0" w:right="0" w:bottom="0" w:left="0" w:header="708" w:footer="708" w:gutter="0"/>
          <w:pgNumType/>
          <w:titlePg/>
          <w:docGrid w:linePitch="360"/>
        </w:sectPr>
      </w:pP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1. Общая информация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Заболевание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Некробактериоз, за исключением указанного в пункте 20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Код МКХБ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Перечню Минсельхоза РФ №62 — пункт 66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Возбудитель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Возбудитель: бактериальная этиология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Виды животных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КРС, МРС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Категория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Инфекционная</w:t>
            </w:r>
          </w:p>
        </w:tc>
      </w:tr>
    </w:tbl>
    <w:p>
      <w:pPr>
        <w:spacing w:after="0" w:before="80"/>
      </w:pP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1.1 Эпизоотология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Заболевание включено в Перечень заразных и иных болезней животных, утверждённый Приказом Минсельхоза РФ от 09.03.2011 №62 (ред. от 25.09.2020), пункт 66.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Категория: Инфекционная болезнь. Этиология: бактериальная.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Восприимчивые виды: КРС, МРС.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1.2 Клинические признаки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1.3 Патогенез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2. Диагностика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2.1 Методы диагностики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Диагностика проводится в соответствии с действующими нормативными документами Россельхознадзора и методическими указаниями по лабораторной диагностике заболевания.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2.2 Дифференциальная диагностика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Дифференциальная диагностика проводится с учётом клинических признаков, эпизоотологических данных и результатов лабораторных исследований.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3. Протокол лечения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3.1 Общие принципы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Лечение осуществляется в соответствии с инструкциями по применению зарегистрированных ветеринарных лекарственных препаратов.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Назначение лекарственных препаратов проводится ветеринарным врачом с учётом состояния животного, тяжести течения заболевания и противопоказаний.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При лечении необходимо соблюдать сроки ожидания перед убоем на мясо и использованием молока.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Ниже представлены препараты из зарегистрированной базы ветеринарных препаратов, подобранные по фармакологической группе и виду животного.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3.2 Специфическая терапия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40"/>
          <w:bottom w:type="dxa" w:w="80"/>
          <w:right w:type="dxa" w:w="140"/>
        </w:tblCellMar>
      </w:tblPr>
      <w:tblGrid>
        <w:gridCol w:w="2000"/>
        <w:gridCol w:w="1800"/>
        <w:gridCol w:w="1400"/>
        <w:gridCol w:w="1200"/>
        <w:gridCol w:w="1400"/>
        <w:gridCol w:w="1560"/>
      </w:tblGrid>
      <w:tr>
        <w:trPr>
          <w:tblHeader/>
        </w:trP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Препарат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МНН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Дозировка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Курс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Путь введения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Кратность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Троксимелон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сульфаметоксазол, триметоприм, окситетрациклин, парацетамол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 (с кормом)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Цефрилекс DC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цефапирин, метилурацил, тербинафин.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1-2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4-8 недель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Марбофлоксацин 10%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марбофлоксацин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Марбопрайм®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марбофлоксацин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Триаминомицин Крипто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паромомицин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25-50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5-7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АКВАСУЛЬФ®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сульфамонометоксин, триметоприм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Флормелокс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флорфеникол, мелоксикам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внутримышечно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ОФТАЛЬМИКА® мазь глазная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азитромицин, неомицин, полимиксин В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местно в глаз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Туллавис 100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тулатромицин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2.5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однократно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подкожно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однократно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Фортемастиет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окситетрациклин, неомицин, бацитрацин, преднизолон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наружно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1-2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Грануламокс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амоксициллин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10-15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 (с кормом)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Бофлокс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марбофлоксацин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Неролакт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марбофлоксацин, цефтиофур, преднизолон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внутривыменно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Тиломакс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тилозин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4-10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1-2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АМОКСИСТИМ V-15%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амоксициллин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10-15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раза в день</w:t>
            </w:r>
          </w:p>
        </w:tc>
      </w:tr>
    </w:tbl>
    <w:p>
      <w:pPr>
        <w:spacing w:after="0" w:before="40"/>
      </w:pP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i/>
          <w:iCs/>
          <w:color w:val="94A3B8"/>
          <w:sz w:val="18"/>
          <w:szCs w:val="18"/>
        </w:rPr>
        <w:t xml:space="preserve">Таблица 1. Препараты для специфической терапии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3.3 Симптоматическая терапия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40"/>
          <w:bottom w:type="dxa" w:w="80"/>
          <w:right w:type="dxa" w:w="140"/>
        </w:tblCellMar>
      </w:tblPr>
      <w:tblGrid>
        <w:gridCol w:w="2400"/>
        <w:gridCol w:w="2200"/>
        <w:gridCol w:w="1800"/>
        <w:gridCol w:w="1400"/>
        <w:gridCol w:w="1560"/>
      </w:tblGrid>
      <w:tr>
        <w:trPr>
          <w:tblHeader/>
        </w:trP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Препарат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МНН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Дозировка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Курс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Путь введения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Вемелкам® 2%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мелоксикам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0.2-0.5 мг/кг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Бутал®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бутафосфан, цианокобаламин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10-25 мл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внутримышечно, внутривенно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Мелоксикам Апиценна раствор для инъекций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мелоксикам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0.2-0.5 мг/кг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Кальцивим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кальция глюконат, магния глицерофосфат, магния хлорид, глюкоза, кофеин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100-300 мл 10%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показаниям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внутривенно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Парацетам-АВЗ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парацетамол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10-15 мг/кг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Нейрокард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этилметилгидроксипиридина сукцинат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мг/кг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внутримышечно, внутривенно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Эмбриостим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никотинамид, L-аргинин, L-лизин, дексапантенол, инозитол, пиридоксин, фолиевая кислота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мг/кг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 дня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АЙСИДИВИТ®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АСД-2Ф субстанция + ретинол + токоферол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 (с кормом)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</w:tr>
    </w:tbl>
    <w:p>
      <w:pPr>
        <w:spacing w:after="0" w:before="40"/>
      </w:pP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i/>
          <w:iCs/>
          <w:color w:val="94A3B8"/>
          <w:sz w:val="18"/>
          <w:szCs w:val="18"/>
        </w:rPr>
        <w:t xml:space="preserve">Таблица 2. Препараты симптоматической терапии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Данные о препаратах и дозировках взяты из зарегистрированной базы ветеринарных препаратов.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Перед применением препарата необходимо ознакомиться с полной инструкцией.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4. Профилактика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4.2 Общие меры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Профилактические мероприятия проводятся в соответствии с Ветеринарными правилами, утверждёнными Минсельхозом России.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Мероприятия направлены на предупреждение заноса и распространения возбудителя заболевания.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5. Меры борьбы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5.1 Ограничительные меры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При установлении диагноза осуществляются мероприятия в соответствии с действующим законодательством РФ в области ветеринарии.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5.2 Карантинные меры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Карантинные и ограничительные мероприятия устанавливаются в порядке, определённом законодательством.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5.3 Дезинфекция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Проводится дезинфекция, дезинсекция и дератизация в соответствии с действующими ветеринарно-санитарными правилами.</w:t>
      </w:r>
    </w:p>
    <w:p>
      <w:pPr>
        <w:spacing w:after="0" w:before="200"/>
      </w:pP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200"/>
          <w:bottom w:type="dxa" w:w="100"/>
          <w:right w:type="dxa" w:w="200"/>
        </w:tblCellMar>
      </w:tblPr>
      <w:tblGrid>
        <w:gridCol w:w="9360"/>
      </w:tblGrid>
      <w:tr>
        <w:tc>
          <w:tcPr>
            <w:tcW w:type="dxa" w:w="93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EF2F2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B91C1C"/>
                <w:sz w:val="21"/>
                <w:szCs w:val="21"/>
              </w:rPr>
              <w:t xml:space="preserve">⚠️ Все препараты должны применяться строго по инструкции производителя.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200"/>
          <w:bottom w:type="dxa" w:w="100"/>
          <w:right w:type="dxa" w:w="200"/>
        </w:tblCellMar>
      </w:tblPr>
      <w:tblGrid>
        <w:gridCol w:w="9360"/>
      </w:tblGrid>
      <w:tr>
        <w:tc>
          <w:tcPr>
            <w:tcW w:type="dxa" w:w="93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EF2F2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B91C1C"/>
                <w:sz w:val="21"/>
                <w:szCs w:val="21"/>
              </w:rPr>
              <w:t xml:space="preserve">⚠️ Источник: Приказ Минсельхоза РФ №62 от 09.03.2011 (ред. от 25.09.2020, Приказ №564). Препараты из базы ветеринарных препаратов.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80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94A3B8"/>
        <w:sz w:val="16"/>
        <w:szCs w:val="16"/>
      </w:rPr>
      <w:t xml:space="preserve">— </w:t>
    </w:r>
    <w:r>
      <w:rPr>
        <w:rFonts w:ascii="Microsoft YaHei" w:cs="Microsoft YaHei" w:eastAsia="Microsoft YaHei" w:hAnsi="Microsoft YaHei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94A3B8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i/>
        <w:iCs/>
        <w:color w:val="94A3B8"/>
        <w:sz w:val="16"/>
        <w:szCs w:val="16"/>
      </w:rPr>
      <w:t xml:space="preserve">Некробактериоз, за исключением указанного в пункте 20 — протокол лечения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SimHei" w:cs="SimHei" w:eastAsia="SimHei" w:hAnsi="SimHei"/>
      <w:b/>
      <w:bCs/>
      <w:color w:val="1A1F1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SimHei" w:cs="SimHei" w:eastAsia="SimHei" w:hAnsi="SimHei"/>
      <w:b/>
      <w:bCs/>
      <w:color w:val="1A1F1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SimHei" w:cs="SimHei" w:eastAsia="SimHei" w:hAnsi="SimHei"/>
      <w:b/>
      <w:bCs/>
      <w:color w:val="4A554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2026-03-29T18:32:38.979Z</dcterms:created>
  <dcterms:modified xsi:type="dcterms:W3CDTF">2026-03-29T18:32:38.980Z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