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4000"/>
      </w:pPr>
    </w:p>
    <w:p>
      <w:pPr>
        <w:spacing w:after="200" w:before="600"/>
        <w:jc w:val="center"/>
      </w:pPr>
      <w:r>
        <w:rPr>
          <w:rFonts w:ascii="SimHei" w:cs="SimHei" w:eastAsia="SimHei" w:hAnsi="SimHei"/>
          <w:b/>
          <w:bCs/>
          <w:color w:val="1A1F16"/>
          <w:sz w:val="48"/>
          <w:szCs w:val="48"/>
        </w:rPr>
        <w:t xml:space="preserve">Европейский гнилец пчел</w:t>
      </w:r>
    </w:p>
    <w:p>
      <w:pPr>
        <w:spacing w:after="100" w:before="200"/>
        <w:jc w:val="center"/>
      </w:pPr>
      <w:r>
        <w:rPr>
          <w:rFonts w:ascii="Microsoft YaHei" w:cs="Microsoft YaHei" w:eastAsia="Microsoft YaHei" w:hAnsi="Microsoft YaHei"/>
          <w:color w:val="4A5548"/>
          <w:sz w:val="28"/>
          <w:szCs w:val="28"/>
        </w:rPr>
        <w:t xml:space="preserve">Инфекционная болезнь (бактериальная этиология)</w:t>
      </w:r>
    </w:p>
    <w:p>
      <w:pPr>
        <w:spacing w:after="100" w:before="600"/>
        <w:jc w:val="center"/>
      </w:pPr>
      <w:r>
        <w:rPr>
          <w:rFonts w:ascii="Microsoft YaHei" w:cs="Microsoft YaHei" w:eastAsia="Microsoft YaHei" w:hAnsi="Microsoft YaHei"/>
          <w:color w:val="94A3B8"/>
          <w:sz w:val="20"/>
          <w:szCs w:val="20"/>
        </w:rPr>
        <w:t xml:space="preserve">────────────────────────────────────────</w:t>
      </w:r>
    </w:p>
    <w:p>
      <w:pPr>
        <w:spacing w:after="100" w:before="200"/>
        <w:jc w:val="center"/>
      </w:pPr>
      <w:r>
        <w:rPr>
          <w:rFonts w:ascii="Microsoft YaHei" w:cs="Microsoft YaHei" w:eastAsia="Microsoft YaHei" w:hAnsi="Microsoft YaHei"/>
          <w:color w:val="94A3B8"/>
          <w:sz w:val="24"/>
          <w:szCs w:val="24"/>
        </w:rPr>
        <w:t xml:space="preserve">Протокол лечения и профилактика</w:t>
      </w:r>
    </w:p>
    <w:p>
      <w:pPr>
        <w:spacing w:before="100"/>
        <w:jc w:val="center"/>
      </w:pPr>
      <w:r>
        <w:rPr>
          <w:rFonts w:ascii="Microsoft YaHei" w:cs="Microsoft YaHei" w:eastAsia="Microsoft YaHei" w:hAnsi="Microsoft YaHei"/>
          <w:color w:val="94A3B8"/>
          <w:sz w:val="22"/>
          <w:szCs w:val="22"/>
        </w:rPr>
        <w:t xml:space="preserve">Виды: Пчёлы</w:t>
      </w:r>
    </w:p>
    <w:p>
      <w:pPr>
        <w:spacing w:before="2000"/>
        <w:jc w:val="center"/>
      </w:pPr>
      <w:r>
        <w:rPr>
          <w:rFonts w:ascii="Microsoft YaHei" w:cs="Microsoft YaHei" w:eastAsia="Microsoft YaHei" w:hAnsi="Microsoft YaHei"/>
          <w:color w:val="94A3B8"/>
          <w:sz w:val="18"/>
          <w:szCs w:val="18"/>
        </w:rPr>
        <w:t xml:space="preserve">На основании Приказа Минсельхоза РФ № 62 от 09.03.2011</w:t>
      </w:r>
    </w:p>
    <w:p>
      <w:pPr>
        <w:spacing w:before="100"/>
        <w:jc w:val="center"/>
      </w:pPr>
      <w:r>
        <w:rPr>
          <w:rFonts w:ascii="Microsoft YaHei" w:cs="Microsoft YaHei" w:eastAsia="Microsoft YaHei" w:hAnsi="Microsoft YaHei"/>
          <w:color w:val="94A3B8"/>
          <w:sz w:val="18"/>
          <w:szCs w:val="18"/>
        </w:rPr>
        <w:t xml:space="preserve">2026</w:t>
      </w:r>
    </w:p>
    <w:p>
      <w:pPr>
        <w:sectPr>
          <w:pgSz w:w="11906" w:h="16838" w:orient="portrait"/>
          <w:pgMar w:top="0" w:right="0" w:bottom="0" w:left="0" w:header="708" w:footer="708" w:gutter="0"/>
          <w:pgNumType/>
          <w:titlePg/>
          <w:docGrid w:linePitch="360"/>
        </w:sectPr>
      </w:pPr>
    </w:p>
    <w:p>
      <w:pPr>
        <w:pStyle w:val="Heading1"/>
        <w:spacing w:after="200" w:before="360"/>
      </w:pPr>
      <w:r>
        <w:rPr>
          <w:rFonts w:ascii="SimHei" w:cs="SimHei" w:eastAsia="SimHei" w:hAnsi="SimHei"/>
          <w:b/>
          <w:bCs/>
          <w:color w:val="1A1F16"/>
          <w:sz w:val="32"/>
          <w:szCs w:val="32"/>
        </w:rPr>
        <w:t xml:space="preserve">1. Общая информация</w:t>
      </w:r>
    </w:p>
    <w:tbl>
      <w:tblPr>
        <w:tblW w:type="auto" w:w="10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60"/>
          <w:left w:type="dxa" w:w="140"/>
          <w:bottom w:type="dxa" w:w="60"/>
          <w:right w:type="dxa" w:w="140"/>
        </w:tblCellMar>
      </w:tblPr>
      <w:tblGrid>
        <w:gridCol w:w="2800"/>
        <w:gridCol w:w="6560"/>
      </w:tblGrid>
      <w:tr>
        <w:tc>
          <w:tcPr>
            <w:tcW w:type="dxa" w:w="2800"/>
            <w:tcBorders>
              <w:top w:val="none" w:color="FFFFFF" w:sz="0"/>
              <w:left w:val="none" w:color="FFFFFF" w:sz="0"/>
              <w:bottom w:val="single" w:color="94A3B8" w:sz="4"/>
              <w:right w:val="none" w:color="FFFFFF" w:sz="0"/>
            </w:tcBorders>
            <w:shd w:fill="F8FAF7" w:val="clear"/>
            <w:vAlign w:val="center"/>
          </w:tcPr>
          <w:p>
            <w:r>
              <w:rPr>
                <w:rFonts w:ascii="SimHei" w:cs="SimHei" w:eastAsia="SimHei" w:hAnsi="SimHei"/>
                <w:b/>
                <w:bCs/>
                <w:color w:val="4A5548"/>
                <w:sz w:val="20"/>
                <w:szCs w:val="20"/>
              </w:rPr>
              <w:t xml:space="preserve">Заболевание</w:t>
            </w:r>
          </w:p>
        </w:tc>
        <w:tc>
          <w:tcPr>
            <w:tcW w:type="dxa" w:w="6560"/>
            <w:tcBorders>
              <w:top w:val="none" w:color="FFFFFF" w:sz="0"/>
              <w:left w:val="none" w:color="FFFFFF" w:sz="0"/>
              <w:bottom w:val="single" w:color="94A3B8" w:sz="4"/>
              <w:right w:val="none" w:color="FFFFFF" w:sz="0"/>
            </w:tcBorders>
            <w:vAlign w:val="center"/>
          </w:tcPr>
          <w:p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Европейский гнилец пчел</w:t>
            </w:r>
          </w:p>
        </w:tc>
      </w:tr>
    </w:tbl>
    <w:tbl>
      <w:tblPr>
        <w:tblW w:type="auto" w:w="10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60"/>
          <w:left w:type="dxa" w:w="140"/>
          <w:bottom w:type="dxa" w:w="60"/>
          <w:right w:type="dxa" w:w="140"/>
        </w:tblCellMar>
      </w:tblPr>
      <w:tblGrid>
        <w:gridCol w:w="2800"/>
        <w:gridCol w:w="6560"/>
      </w:tblGrid>
      <w:tr>
        <w:tc>
          <w:tcPr>
            <w:tcW w:type="dxa" w:w="2800"/>
            <w:tcBorders>
              <w:top w:val="none" w:color="FFFFFF" w:sz="0"/>
              <w:left w:val="none" w:color="FFFFFF" w:sz="0"/>
              <w:bottom w:val="single" w:color="94A3B8" w:sz="4"/>
              <w:right w:val="none" w:color="FFFFFF" w:sz="0"/>
            </w:tcBorders>
            <w:shd w:fill="F8FAF7" w:val="clear"/>
            <w:vAlign w:val="center"/>
          </w:tcPr>
          <w:p>
            <w:r>
              <w:rPr>
                <w:rFonts w:ascii="SimHei" w:cs="SimHei" w:eastAsia="SimHei" w:hAnsi="SimHei"/>
                <w:b/>
                <w:bCs/>
                <w:color w:val="4A5548"/>
                <w:sz w:val="20"/>
                <w:szCs w:val="20"/>
              </w:rPr>
              <w:t xml:space="preserve">Код МКХБ</w:t>
            </w:r>
          </w:p>
        </w:tc>
        <w:tc>
          <w:tcPr>
            <w:tcW w:type="dxa" w:w="6560"/>
            <w:tcBorders>
              <w:top w:val="none" w:color="FFFFFF" w:sz="0"/>
              <w:left w:val="none" w:color="FFFFFF" w:sz="0"/>
              <w:bottom w:val="single" w:color="94A3B8" w:sz="4"/>
              <w:right w:val="none" w:color="FFFFFF" w:sz="0"/>
            </w:tcBorders>
            <w:vAlign w:val="center"/>
          </w:tcPr>
          <w:p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По Перечню Минсельхоза РФ №62 — пункт 102</w:t>
            </w:r>
          </w:p>
        </w:tc>
      </w:tr>
    </w:tbl>
    <w:tbl>
      <w:tblPr>
        <w:tblW w:type="auto" w:w="10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60"/>
          <w:left w:type="dxa" w:w="140"/>
          <w:bottom w:type="dxa" w:w="60"/>
          <w:right w:type="dxa" w:w="140"/>
        </w:tblCellMar>
      </w:tblPr>
      <w:tblGrid>
        <w:gridCol w:w="2800"/>
        <w:gridCol w:w="6560"/>
      </w:tblGrid>
      <w:tr>
        <w:tc>
          <w:tcPr>
            <w:tcW w:type="dxa" w:w="2800"/>
            <w:tcBorders>
              <w:top w:val="none" w:color="FFFFFF" w:sz="0"/>
              <w:left w:val="none" w:color="FFFFFF" w:sz="0"/>
              <w:bottom w:val="single" w:color="94A3B8" w:sz="4"/>
              <w:right w:val="none" w:color="FFFFFF" w:sz="0"/>
            </w:tcBorders>
            <w:shd w:fill="F8FAF7" w:val="clear"/>
            <w:vAlign w:val="center"/>
          </w:tcPr>
          <w:p>
            <w:r>
              <w:rPr>
                <w:rFonts w:ascii="SimHei" w:cs="SimHei" w:eastAsia="SimHei" w:hAnsi="SimHei"/>
                <w:b/>
                <w:bCs/>
                <w:color w:val="4A5548"/>
                <w:sz w:val="20"/>
                <w:szCs w:val="20"/>
              </w:rPr>
              <w:t xml:space="preserve">Возбудитель</w:t>
            </w:r>
          </w:p>
        </w:tc>
        <w:tc>
          <w:tcPr>
            <w:tcW w:type="dxa" w:w="6560"/>
            <w:tcBorders>
              <w:top w:val="none" w:color="FFFFFF" w:sz="0"/>
              <w:left w:val="none" w:color="FFFFFF" w:sz="0"/>
              <w:bottom w:val="single" w:color="94A3B8" w:sz="4"/>
              <w:right w:val="none" w:color="FFFFFF" w:sz="0"/>
            </w:tcBorders>
            <w:vAlign w:val="center"/>
          </w:tcPr>
          <w:p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Возбудитель: бактериальная этиология</w:t>
            </w:r>
          </w:p>
        </w:tc>
      </w:tr>
    </w:tbl>
    <w:tbl>
      <w:tblPr>
        <w:tblW w:type="auto" w:w="10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60"/>
          <w:left w:type="dxa" w:w="140"/>
          <w:bottom w:type="dxa" w:w="60"/>
          <w:right w:type="dxa" w:w="140"/>
        </w:tblCellMar>
      </w:tblPr>
      <w:tblGrid>
        <w:gridCol w:w="2800"/>
        <w:gridCol w:w="6560"/>
      </w:tblGrid>
      <w:tr>
        <w:tc>
          <w:tcPr>
            <w:tcW w:type="dxa" w:w="2800"/>
            <w:tcBorders>
              <w:top w:val="none" w:color="FFFFFF" w:sz="0"/>
              <w:left w:val="none" w:color="FFFFFF" w:sz="0"/>
              <w:bottom w:val="single" w:color="94A3B8" w:sz="4"/>
              <w:right w:val="none" w:color="FFFFFF" w:sz="0"/>
            </w:tcBorders>
            <w:shd w:fill="F8FAF7" w:val="clear"/>
            <w:vAlign w:val="center"/>
          </w:tcPr>
          <w:p>
            <w:r>
              <w:rPr>
                <w:rFonts w:ascii="SimHei" w:cs="SimHei" w:eastAsia="SimHei" w:hAnsi="SimHei"/>
                <w:b/>
                <w:bCs/>
                <w:color w:val="4A5548"/>
                <w:sz w:val="20"/>
                <w:szCs w:val="20"/>
              </w:rPr>
              <w:t xml:space="preserve">Виды животных</w:t>
            </w:r>
          </w:p>
        </w:tc>
        <w:tc>
          <w:tcPr>
            <w:tcW w:type="dxa" w:w="6560"/>
            <w:tcBorders>
              <w:top w:val="none" w:color="FFFFFF" w:sz="0"/>
              <w:left w:val="none" w:color="FFFFFF" w:sz="0"/>
              <w:bottom w:val="single" w:color="94A3B8" w:sz="4"/>
              <w:right w:val="none" w:color="FFFFFF" w:sz="0"/>
            </w:tcBorders>
            <w:vAlign w:val="center"/>
          </w:tcPr>
          <w:p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Пчёлы</w:t>
            </w:r>
          </w:p>
        </w:tc>
      </w:tr>
    </w:tbl>
    <w:tbl>
      <w:tblPr>
        <w:tblW w:type="auto" w:w="10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60"/>
          <w:left w:type="dxa" w:w="140"/>
          <w:bottom w:type="dxa" w:w="60"/>
          <w:right w:type="dxa" w:w="140"/>
        </w:tblCellMar>
      </w:tblPr>
      <w:tblGrid>
        <w:gridCol w:w="2800"/>
        <w:gridCol w:w="6560"/>
      </w:tblGrid>
      <w:tr>
        <w:tc>
          <w:tcPr>
            <w:tcW w:type="dxa" w:w="2800"/>
            <w:tcBorders>
              <w:top w:val="none" w:color="FFFFFF" w:sz="0"/>
              <w:left w:val="none" w:color="FFFFFF" w:sz="0"/>
              <w:bottom w:val="single" w:color="94A3B8" w:sz="4"/>
              <w:right w:val="none" w:color="FFFFFF" w:sz="0"/>
            </w:tcBorders>
            <w:shd w:fill="F8FAF7" w:val="clear"/>
            <w:vAlign w:val="center"/>
          </w:tcPr>
          <w:p>
            <w:r>
              <w:rPr>
                <w:rFonts w:ascii="SimHei" w:cs="SimHei" w:eastAsia="SimHei" w:hAnsi="SimHei"/>
                <w:b/>
                <w:bCs/>
                <w:color w:val="4A5548"/>
                <w:sz w:val="20"/>
                <w:szCs w:val="20"/>
              </w:rPr>
              <w:t xml:space="preserve">Категория</w:t>
            </w:r>
          </w:p>
        </w:tc>
        <w:tc>
          <w:tcPr>
            <w:tcW w:type="dxa" w:w="6560"/>
            <w:tcBorders>
              <w:top w:val="none" w:color="FFFFFF" w:sz="0"/>
              <w:left w:val="none" w:color="FFFFFF" w:sz="0"/>
              <w:bottom w:val="single" w:color="94A3B8" w:sz="4"/>
              <w:right w:val="none" w:color="FFFFFF" w:sz="0"/>
            </w:tcBorders>
            <w:vAlign w:val="center"/>
          </w:tcPr>
          <w:p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Инфекционная</w:t>
            </w:r>
          </w:p>
        </w:tc>
      </w:tr>
    </w:tbl>
    <w:p>
      <w:pPr>
        <w:spacing w:after="0" w:before="80"/>
      </w:pPr>
    </w:p>
    <w:p>
      <w:pPr>
        <w:pStyle w:val="Heading2"/>
        <w:spacing w:after="160" w:before="280"/>
      </w:pPr>
      <w:r>
        <w:rPr>
          <w:rFonts w:ascii="SimHei" w:cs="SimHei" w:eastAsia="SimHei" w:hAnsi="SimHei"/>
          <w:b/>
          <w:bCs/>
          <w:color w:val="1A1F16"/>
          <w:sz w:val="28"/>
          <w:szCs w:val="28"/>
        </w:rPr>
        <w:t xml:space="preserve">1.1 Эпизоотология</w:t>
      </w:r>
    </w:p>
    <w:p>
      <w:pPr>
        <w:spacing w:after="120" w:line="276"/>
        <w:ind w:firstLine="420"/>
        <w:jc w:val="both"/>
      </w:pPr>
      <w:r>
        <w:rPr>
          <w:rFonts w:ascii="Microsoft YaHei" w:cs="Microsoft YaHei" w:eastAsia="Microsoft YaHei" w:hAnsi="Microsoft YaHei"/>
          <w:color w:val="2D3329"/>
          <w:sz w:val="21"/>
          <w:szCs w:val="21"/>
        </w:rPr>
        <w:t xml:space="preserve">Заболевание включено в Перечень заразных и иных болезней животных, утверждённый Приказом Минсельхоза РФ от 09.03.2011 №62 (ред. от 25.09.2020), пункт 102.</w:t>
      </w:r>
    </w:p>
    <w:p>
      <w:pPr>
        <w:spacing w:after="120" w:line="276"/>
        <w:ind w:firstLine="420"/>
        <w:jc w:val="both"/>
      </w:pPr>
      <w:r>
        <w:rPr>
          <w:rFonts w:ascii="Microsoft YaHei" w:cs="Microsoft YaHei" w:eastAsia="Microsoft YaHei" w:hAnsi="Microsoft YaHei"/>
          <w:color w:val="2D3329"/>
          <w:sz w:val="21"/>
          <w:szCs w:val="21"/>
        </w:rPr>
        <w:t xml:space="preserve">Категория: Инфекционная болезнь. Этиология: бактериальная.</w:t>
      </w:r>
    </w:p>
    <w:p>
      <w:pPr>
        <w:spacing w:after="120" w:line="276"/>
        <w:ind w:firstLine="420"/>
        <w:jc w:val="both"/>
      </w:pPr>
      <w:r>
        <w:rPr>
          <w:rFonts w:ascii="Microsoft YaHei" w:cs="Microsoft YaHei" w:eastAsia="Microsoft YaHei" w:hAnsi="Microsoft YaHei"/>
          <w:color w:val="2D3329"/>
          <w:sz w:val="21"/>
          <w:szCs w:val="21"/>
        </w:rPr>
        <w:t xml:space="preserve">Восприимчивые виды: Пчёлы.</w:t>
      </w:r>
    </w:p>
    <w:p>
      <w:pPr>
        <w:pStyle w:val="Heading2"/>
        <w:spacing w:after="160" w:before="280"/>
      </w:pPr>
      <w:r>
        <w:rPr>
          <w:rFonts w:ascii="SimHei" w:cs="SimHei" w:eastAsia="SimHei" w:hAnsi="SimHei"/>
          <w:b/>
          <w:bCs/>
          <w:color w:val="1A1F16"/>
          <w:sz w:val="28"/>
          <w:szCs w:val="28"/>
        </w:rPr>
        <w:t xml:space="preserve">1.2 Клинические признаки</w:t>
      </w:r>
    </w:p>
    <w:p>
      <w:pPr>
        <w:pStyle w:val="Heading2"/>
        <w:spacing w:after="160" w:before="280"/>
      </w:pPr>
      <w:r>
        <w:rPr>
          <w:rFonts w:ascii="SimHei" w:cs="SimHei" w:eastAsia="SimHei" w:hAnsi="SimHei"/>
          <w:b/>
          <w:bCs/>
          <w:color w:val="1A1F16"/>
          <w:sz w:val="28"/>
          <w:szCs w:val="28"/>
        </w:rPr>
        <w:t xml:space="preserve">1.3 Патогенез</w:t>
      </w:r>
    </w:p>
    <w:p>
      <w:pPr>
        <w:pStyle w:val="Heading1"/>
        <w:spacing w:after="200" w:before="360"/>
      </w:pPr>
      <w:r>
        <w:rPr>
          <w:rFonts w:ascii="SimHei" w:cs="SimHei" w:eastAsia="SimHei" w:hAnsi="SimHei"/>
          <w:b/>
          <w:bCs/>
          <w:color w:val="1A1F16"/>
          <w:sz w:val="32"/>
          <w:szCs w:val="32"/>
        </w:rPr>
        <w:t xml:space="preserve">2. Диагностика</w:t>
      </w:r>
    </w:p>
    <w:p>
      <w:pPr>
        <w:pStyle w:val="Heading2"/>
        <w:spacing w:after="160" w:before="280"/>
      </w:pPr>
      <w:r>
        <w:rPr>
          <w:rFonts w:ascii="SimHei" w:cs="SimHei" w:eastAsia="SimHei" w:hAnsi="SimHei"/>
          <w:b/>
          <w:bCs/>
          <w:color w:val="1A1F16"/>
          <w:sz w:val="28"/>
          <w:szCs w:val="28"/>
        </w:rPr>
        <w:t xml:space="preserve">2.1 Методы диагностики</w:t>
      </w:r>
    </w:p>
    <w:p>
      <w:pPr>
        <w:spacing w:after="120" w:line="276"/>
        <w:ind w:firstLine="420"/>
        <w:jc w:val="both"/>
      </w:pPr>
      <w:r>
        <w:rPr>
          <w:rFonts w:ascii="Microsoft YaHei" w:cs="Microsoft YaHei" w:eastAsia="Microsoft YaHei" w:hAnsi="Microsoft YaHei"/>
          <w:color w:val="2D3329"/>
          <w:sz w:val="21"/>
          <w:szCs w:val="21"/>
        </w:rPr>
        <w:t xml:space="preserve">Диагностика проводится в соответствии с действующими нормативными документами Россельхознадзора и методическими указаниями по лабораторной диагностике заболевания.</w:t>
      </w:r>
    </w:p>
    <w:p>
      <w:pPr>
        <w:pStyle w:val="Heading2"/>
        <w:spacing w:after="160" w:before="280"/>
      </w:pPr>
      <w:r>
        <w:rPr>
          <w:rFonts w:ascii="SimHei" w:cs="SimHei" w:eastAsia="SimHei" w:hAnsi="SimHei"/>
          <w:b/>
          <w:bCs/>
          <w:color w:val="1A1F16"/>
          <w:sz w:val="28"/>
          <w:szCs w:val="28"/>
        </w:rPr>
        <w:t xml:space="preserve">2.2 Дифференциальная диагностика</w:t>
      </w:r>
    </w:p>
    <w:p>
      <w:pPr>
        <w:spacing w:after="120" w:line="276"/>
        <w:ind w:firstLine="420"/>
        <w:jc w:val="both"/>
      </w:pPr>
      <w:r>
        <w:rPr>
          <w:rFonts w:ascii="Microsoft YaHei" w:cs="Microsoft YaHei" w:eastAsia="Microsoft YaHei" w:hAnsi="Microsoft YaHei"/>
          <w:color w:val="2D3329"/>
          <w:sz w:val="21"/>
          <w:szCs w:val="21"/>
        </w:rPr>
        <w:t xml:space="preserve">Дифференциальная диагностика проводится с учётом клинических признаков, эпизоотологических данных и результатов лабораторных исследований.</w:t>
      </w:r>
    </w:p>
    <w:p>
      <w:pPr>
        <w:pStyle w:val="Heading1"/>
        <w:spacing w:after="200" w:before="360"/>
      </w:pPr>
      <w:r>
        <w:rPr>
          <w:rFonts w:ascii="SimHei" w:cs="SimHei" w:eastAsia="SimHei" w:hAnsi="SimHei"/>
          <w:b/>
          <w:bCs/>
          <w:color w:val="1A1F16"/>
          <w:sz w:val="32"/>
          <w:szCs w:val="32"/>
        </w:rPr>
        <w:t xml:space="preserve">3. Протокол лечения</w:t>
      </w:r>
    </w:p>
    <w:p>
      <w:pPr>
        <w:pStyle w:val="Heading2"/>
        <w:spacing w:after="160" w:before="280"/>
      </w:pPr>
      <w:r>
        <w:rPr>
          <w:rFonts w:ascii="SimHei" w:cs="SimHei" w:eastAsia="SimHei" w:hAnsi="SimHei"/>
          <w:b/>
          <w:bCs/>
          <w:color w:val="1A1F16"/>
          <w:sz w:val="28"/>
          <w:szCs w:val="28"/>
        </w:rPr>
        <w:t xml:space="preserve">3.1 Общие принципы</w:t>
      </w:r>
    </w:p>
    <w:p>
      <w:pPr>
        <w:spacing w:after="120" w:line="276"/>
        <w:ind w:firstLine="420"/>
        <w:jc w:val="both"/>
      </w:pPr>
      <w:r>
        <w:rPr>
          <w:rFonts w:ascii="Microsoft YaHei" w:cs="Microsoft YaHei" w:eastAsia="Microsoft YaHei" w:hAnsi="Microsoft YaHei"/>
          <w:color w:val="2D3329"/>
          <w:sz w:val="21"/>
          <w:szCs w:val="21"/>
        </w:rPr>
        <w:t xml:space="preserve">Лечение осуществляется в соответствии с инструкциями по применению зарегистрированных ветеринарных лекарственных препаратов.</w:t>
      </w:r>
    </w:p>
    <w:p>
      <w:pPr>
        <w:spacing w:after="120" w:line="276"/>
        <w:ind w:firstLine="420"/>
        <w:jc w:val="both"/>
      </w:pPr>
      <w:r>
        <w:rPr>
          <w:rFonts w:ascii="Microsoft YaHei" w:cs="Microsoft YaHei" w:eastAsia="Microsoft YaHei" w:hAnsi="Microsoft YaHei"/>
          <w:color w:val="2D3329"/>
          <w:sz w:val="21"/>
          <w:szCs w:val="21"/>
        </w:rPr>
        <w:t xml:space="preserve">Назначение лекарственных препаратов проводится ветеринарным врачом с учётом состояния животного, тяжести течения заболевания и противопоказаний.</w:t>
      </w:r>
    </w:p>
    <w:p>
      <w:pPr>
        <w:spacing w:after="120" w:line="276"/>
        <w:ind w:firstLine="420"/>
        <w:jc w:val="both"/>
      </w:pPr>
      <w:r>
        <w:rPr>
          <w:rFonts w:ascii="Microsoft YaHei" w:cs="Microsoft YaHei" w:eastAsia="Microsoft YaHei" w:hAnsi="Microsoft YaHei"/>
          <w:color w:val="2D3329"/>
          <w:sz w:val="21"/>
          <w:szCs w:val="21"/>
        </w:rPr>
        <w:t xml:space="preserve">При лечении необходимо соблюдать сроки ожидания перед убоем на мясо и использованием молока.</w:t>
      </w:r>
    </w:p>
    <w:p>
      <w:pPr>
        <w:spacing w:after="120" w:line="276"/>
        <w:ind w:firstLine="420"/>
        <w:jc w:val="both"/>
      </w:pPr>
      <w:r>
        <w:rPr>
          <w:rFonts w:ascii="Microsoft YaHei" w:cs="Microsoft YaHei" w:eastAsia="Microsoft YaHei" w:hAnsi="Microsoft YaHei"/>
          <w:color w:val="2D3329"/>
          <w:sz w:val="21"/>
          <w:szCs w:val="21"/>
        </w:rPr>
        <w:t xml:space="preserve">Ниже представлены препараты из зарегистрированной базы ветеринарных препаратов, подобранные по фармакологической группе и виду животного.</w:t>
      </w:r>
    </w:p>
    <w:p>
      <w:pPr>
        <w:pStyle w:val="Heading2"/>
        <w:spacing w:after="160" w:before="280"/>
      </w:pPr>
      <w:r>
        <w:rPr>
          <w:rFonts w:ascii="SimHei" w:cs="SimHei" w:eastAsia="SimHei" w:hAnsi="SimHei"/>
          <w:b/>
          <w:bCs/>
          <w:color w:val="1A1F16"/>
          <w:sz w:val="28"/>
          <w:szCs w:val="28"/>
        </w:rPr>
        <w:t xml:space="preserve">3.2 Специфическая терапия</w:t>
      </w:r>
    </w:p>
    <w:tbl>
      <w:tblPr>
        <w:tblW w:type="auto" w:w="10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left w:type="dxa" w:w="140"/>
          <w:bottom w:type="dxa" w:w="80"/>
          <w:right w:type="dxa" w:w="140"/>
        </w:tblCellMar>
      </w:tblPr>
      <w:tblGrid>
        <w:gridCol w:w="2000"/>
        <w:gridCol w:w="1800"/>
        <w:gridCol w:w="1400"/>
        <w:gridCol w:w="1200"/>
        <w:gridCol w:w="1400"/>
        <w:gridCol w:w="1560"/>
      </w:tblGrid>
      <w:tr>
        <w:trPr>
          <w:tblHeader/>
        </w:trPr>
        <w:tc>
          <w:tcPr>
            <w:tcW w:type="dxa" w:w="20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shd w:fill="F8FAF7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SimHei" w:cs="SimHei" w:eastAsia="SimHei" w:hAnsi="SimHei"/>
                <w:b/>
                <w:bCs/>
                <w:color w:val="1A1F16"/>
                <w:sz w:val="20"/>
                <w:szCs w:val="20"/>
              </w:rPr>
              <w:t xml:space="preserve">Препарат</w:t>
            </w:r>
          </w:p>
        </w:tc>
        <w:tc>
          <w:tcPr>
            <w:tcW w:type="dxa" w:w="18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shd w:fill="F8FAF7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SimHei" w:cs="SimHei" w:eastAsia="SimHei" w:hAnsi="SimHei"/>
                <w:b/>
                <w:bCs/>
                <w:color w:val="1A1F16"/>
                <w:sz w:val="20"/>
                <w:szCs w:val="20"/>
              </w:rPr>
              <w:t xml:space="preserve">МНН</w:t>
            </w:r>
          </w:p>
        </w:tc>
        <w:tc>
          <w:tcPr>
            <w:tcW w:type="dxa" w:w="14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shd w:fill="F8FAF7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SimHei" w:cs="SimHei" w:eastAsia="SimHei" w:hAnsi="SimHei"/>
                <w:b/>
                <w:bCs/>
                <w:color w:val="1A1F16"/>
                <w:sz w:val="20"/>
                <w:szCs w:val="20"/>
              </w:rPr>
              <w:t xml:space="preserve">Дозировка</w:t>
            </w:r>
          </w:p>
        </w:tc>
        <w:tc>
          <w:tcPr>
            <w:tcW w:type="dxa" w:w="12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shd w:fill="F8FAF7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SimHei" w:cs="SimHei" w:eastAsia="SimHei" w:hAnsi="SimHei"/>
                <w:b/>
                <w:bCs/>
                <w:color w:val="1A1F16"/>
                <w:sz w:val="20"/>
                <w:szCs w:val="20"/>
              </w:rPr>
              <w:t xml:space="preserve">Курс</w:t>
            </w:r>
          </w:p>
        </w:tc>
        <w:tc>
          <w:tcPr>
            <w:tcW w:type="dxa" w:w="14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shd w:fill="F8FAF7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SimHei" w:cs="SimHei" w:eastAsia="SimHei" w:hAnsi="SimHei"/>
                <w:b/>
                <w:bCs/>
                <w:color w:val="1A1F16"/>
                <w:sz w:val="20"/>
                <w:szCs w:val="20"/>
              </w:rPr>
              <w:t xml:space="preserve">Путь введения</w:t>
            </w:r>
          </w:p>
        </w:tc>
        <w:tc>
          <w:tcPr>
            <w:tcW w:type="dxa" w:w="156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shd w:fill="F8FAF7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SimHei" w:cs="SimHei" w:eastAsia="SimHei" w:hAnsi="SimHei"/>
                <w:b/>
                <w:bCs/>
                <w:color w:val="1A1F16"/>
                <w:sz w:val="20"/>
                <w:szCs w:val="20"/>
              </w:rPr>
              <w:t xml:space="preserve">Кратность</w:t>
            </w:r>
          </w:p>
        </w:tc>
      </w:tr>
      <w:tr>
        <w:tc>
          <w:tcPr>
            <w:tcW w:type="dxa" w:w="20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Оксибактоцид® пластины</w:t>
            </w:r>
          </w:p>
        </w:tc>
        <w:tc>
          <w:tcPr>
            <w:tcW w:type="dxa" w:w="18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окситетрациклин, гентамицин</w:t>
            </w:r>
          </w:p>
        </w:tc>
        <w:tc>
          <w:tcPr>
            <w:tcW w:type="dxa" w:w="14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по инструкции</w:t>
            </w:r>
          </w:p>
        </w:tc>
        <w:tc>
          <w:tcPr>
            <w:tcW w:type="dxa" w:w="12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3-5 дней</w:t>
            </w:r>
          </w:p>
        </w:tc>
        <w:tc>
          <w:tcPr>
            <w:tcW w:type="dxa" w:w="14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наружно (подкожно-хрящевая)</w:t>
            </w:r>
          </w:p>
        </w:tc>
        <w:tc>
          <w:tcPr>
            <w:tcW w:type="dxa" w:w="156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1-2 раза в день</w:t>
            </w:r>
          </w:p>
        </w:tc>
      </w:tr>
      <w:tr>
        <w:tc>
          <w:tcPr>
            <w:tcW w:type="dxa" w:w="20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Оксибактоцид® порошок</w:t>
            </w:r>
          </w:p>
        </w:tc>
        <w:tc>
          <w:tcPr>
            <w:tcW w:type="dxa" w:w="18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окситетрациклин, гентамицин</w:t>
            </w:r>
          </w:p>
        </w:tc>
        <w:tc>
          <w:tcPr>
            <w:tcW w:type="dxa" w:w="14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по инструкции</w:t>
            </w:r>
          </w:p>
        </w:tc>
        <w:tc>
          <w:tcPr>
            <w:tcW w:type="dxa" w:w="12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3-5 дней</w:t>
            </w:r>
          </w:p>
        </w:tc>
        <w:tc>
          <w:tcPr>
            <w:tcW w:type="dxa" w:w="14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наружно, внутрь</w:t>
            </w:r>
          </w:p>
        </w:tc>
        <w:tc>
          <w:tcPr>
            <w:tcW w:type="dxa" w:w="156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1-2 раза в день</w:t>
            </w:r>
          </w:p>
        </w:tc>
      </w:tr>
      <w:tr>
        <w:tc>
          <w:tcPr>
            <w:tcW w:type="dxa" w:w="20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Оксивит® порошок</w:t>
            </w:r>
          </w:p>
        </w:tc>
        <w:tc>
          <w:tcPr>
            <w:tcW w:type="dxa" w:w="18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окситетрациклин, цианокобаламин</w:t>
            </w:r>
          </w:p>
        </w:tc>
        <w:tc>
          <w:tcPr>
            <w:tcW w:type="dxa" w:w="14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по инструкции</w:t>
            </w:r>
          </w:p>
        </w:tc>
        <w:tc>
          <w:tcPr>
            <w:tcW w:type="dxa" w:w="12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3-5 дней</w:t>
            </w:r>
          </w:p>
        </w:tc>
        <w:tc>
          <w:tcPr>
            <w:tcW w:type="dxa" w:w="14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внутримышечно, подкожно</w:t>
            </w:r>
          </w:p>
        </w:tc>
        <w:tc>
          <w:tcPr>
            <w:tcW w:type="dxa" w:w="156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1 раз в день</w:t>
            </w:r>
          </w:p>
        </w:tc>
      </w:tr>
      <w:tr>
        <w:tc>
          <w:tcPr>
            <w:tcW w:type="dxa" w:w="20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Оксивит® полоски</w:t>
            </w:r>
          </w:p>
        </w:tc>
        <w:tc>
          <w:tcPr>
            <w:tcW w:type="dxa" w:w="18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окситетрациклин, цианокобаламин</w:t>
            </w:r>
          </w:p>
        </w:tc>
        <w:tc>
          <w:tcPr>
            <w:tcW w:type="dxa" w:w="14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по инструкции</w:t>
            </w:r>
          </w:p>
        </w:tc>
        <w:tc>
          <w:tcPr>
            <w:tcW w:type="dxa" w:w="12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3-5 дней</w:t>
            </w:r>
          </w:p>
        </w:tc>
        <w:tc>
          <w:tcPr>
            <w:tcW w:type="dxa" w:w="14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внутримышечно, подкожно</w:t>
            </w:r>
          </w:p>
        </w:tc>
        <w:tc>
          <w:tcPr>
            <w:tcW w:type="dxa" w:w="156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1 раз в день</w:t>
            </w:r>
          </w:p>
        </w:tc>
      </w:tr>
    </w:tbl>
    <w:p>
      <w:pPr>
        <w:spacing w:after="0" w:before="40"/>
      </w:pPr>
    </w:p>
    <w:p>
      <w:pPr>
        <w:spacing w:after="80"/>
        <w:jc w:val="center"/>
      </w:pPr>
      <w:r>
        <w:rPr>
          <w:rFonts w:ascii="Microsoft YaHei" w:cs="Microsoft YaHei" w:eastAsia="Microsoft YaHei" w:hAnsi="Microsoft YaHei"/>
          <w:i/>
          <w:iCs/>
          <w:color w:val="94A3B8"/>
          <w:sz w:val="18"/>
          <w:szCs w:val="18"/>
        </w:rPr>
        <w:t xml:space="preserve">Таблица 1. Препараты для специфической терапии</w:t>
      </w:r>
    </w:p>
    <w:p>
      <w:pPr>
        <w:pStyle w:val="Heading2"/>
        <w:spacing w:after="160" w:before="280"/>
      </w:pPr>
      <w:r>
        <w:rPr>
          <w:rFonts w:ascii="SimHei" w:cs="SimHei" w:eastAsia="SimHei" w:hAnsi="SimHei"/>
          <w:b/>
          <w:bCs/>
          <w:color w:val="1A1F16"/>
          <w:sz w:val="28"/>
          <w:szCs w:val="28"/>
        </w:rPr>
        <w:t xml:space="preserve">3.3 Симптоматическая терапия</w:t>
      </w:r>
    </w:p>
    <w:tbl>
      <w:tblPr>
        <w:tblW w:type="auto" w:w="10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left w:type="dxa" w:w="140"/>
          <w:bottom w:type="dxa" w:w="80"/>
          <w:right w:type="dxa" w:w="140"/>
        </w:tblCellMar>
      </w:tblPr>
      <w:tblGrid>
        <w:gridCol w:w="2400"/>
        <w:gridCol w:w="2200"/>
        <w:gridCol w:w="1800"/>
        <w:gridCol w:w="1400"/>
        <w:gridCol w:w="1560"/>
      </w:tblGrid>
      <w:tr>
        <w:trPr>
          <w:tblHeader/>
        </w:trPr>
        <w:tc>
          <w:tcPr>
            <w:tcW w:type="dxa" w:w="24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shd w:fill="F8FAF7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SimHei" w:cs="SimHei" w:eastAsia="SimHei" w:hAnsi="SimHei"/>
                <w:b/>
                <w:bCs/>
                <w:color w:val="1A1F16"/>
                <w:sz w:val="20"/>
                <w:szCs w:val="20"/>
              </w:rPr>
              <w:t xml:space="preserve">Препарат</w:t>
            </w:r>
          </w:p>
        </w:tc>
        <w:tc>
          <w:tcPr>
            <w:tcW w:type="dxa" w:w="22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shd w:fill="F8FAF7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SimHei" w:cs="SimHei" w:eastAsia="SimHei" w:hAnsi="SimHei"/>
                <w:b/>
                <w:bCs/>
                <w:color w:val="1A1F16"/>
                <w:sz w:val="20"/>
                <w:szCs w:val="20"/>
              </w:rPr>
              <w:t xml:space="preserve">МНН</w:t>
            </w:r>
          </w:p>
        </w:tc>
        <w:tc>
          <w:tcPr>
            <w:tcW w:type="dxa" w:w="18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shd w:fill="F8FAF7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SimHei" w:cs="SimHei" w:eastAsia="SimHei" w:hAnsi="SimHei"/>
                <w:b/>
                <w:bCs/>
                <w:color w:val="1A1F16"/>
                <w:sz w:val="20"/>
                <w:szCs w:val="20"/>
              </w:rPr>
              <w:t xml:space="preserve">Дозировка</w:t>
            </w:r>
          </w:p>
        </w:tc>
        <w:tc>
          <w:tcPr>
            <w:tcW w:type="dxa" w:w="14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shd w:fill="F8FAF7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SimHei" w:cs="SimHei" w:eastAsia="SimHei" w:hAnsi="SimHei"/>
                <w:b/>
                <w:bCs/>
                <w:color w:val="1A1F16"/>
                <w:sz w:val="20"/>
                <w:szCs w:val="20"/>
              </w:rPr>
              <w:t xml:space="preserve">Курс</w:t>
            </w:r>
          </w:p>
        </w:tc>
        <w:tc>
          <w:tcPr>
            <w:tcW w:type="dxa" w:w="156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shd w:fill="F8FAF7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SimHei" w:cs="SimHei" w:eastAsia="SimHei" w:hAnsi="SimHei"/>
                <w:b/>
                <w:bCs/>
                <w:color w:val="1A1F16"/>
                <w:sz w:val="20"/>
                <w:szCs w:val="20"/>
              </w:rPr>
              <w:t xml:space="preserve">Путь введения</w:t>
            </w:r>
          </w:p>
        </w:tc>
      </w:tr>
      <w:tr>
        <w:tc>
          <w:tcPr>
            <w:tcW w:type="dxa" w:w="24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Незамин</w:t>
            </w:r>
          </w:p>
        </w:tc>
        <w:tc>
          <w:tcPr>
            <w:tcW w:type="dxa" w:w="22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римантадин, лизин, метионин, триптофан, пиридоксин</w:t>
            </w:r>
          </w:p>
        </w:tc>
        <w:tc>
          <w:tcPr>
            <w:tcW w:type="dxa" w:w="18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по инструкции</w:t>
            </w:r>
          </w:p>
        </w:tc>
        <w:tc>
          <w:tcPr>
            <w:tcW w:type="dxa" w:w="14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5-10 дней</w:t>
            </w:r>
          </w:p>
        </w:tc>
        <w:tc>
          <w:tcPr>
            <w:tcW w:type="dxa" w:w="156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внутрь</w:t>
            </w:r>
          </w:p>
        </w:tc>
      </w:tr>
      <w:tr>
        <w:tc>
          <w:tcPr>
            <w:tcW w:type="dxa" w:w="24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Антиапитокс</w:t>
            </w:r>
          </w:p>
        </w:tc>
        <w:tc>
          <w:tcPr>
            <w:tcW w:type="dxa" w:w="22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этилметилгидроксипиридина сукцинат, янтарная кислота</w:t>
            </w:r>
          </w:p>
        </w:tc>
        <w:tc>
          <w:tcPr>
            <w:tcW w:type="dxa" w:w="18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по инструкции</w:t>
            </w:r>
          </w:p>
        </w:tc>
        <w:tc>
          <w:tcPr>
            <w:tcW w:type="dxa" w:w="14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3 дня</w:t>
            </w:r>
          </w:p>
        </w:tc>
        <w:tc>
          <w:tcPr>
            <w:tcW w:type="dxa" w:w="156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внутримышечно, внутривенно</w:t>
            </w:r>
          </w:p>
        </w:tc>
      </w:tr>
      <w:tr>
        <w:tc>
          <w:tcPr>
            <w:tcW w:type="dxa" w:w="24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Флувамид</w:t>
            </w:r>
          </w:p>
        </w:tc>
        <w:tc>
          <w:tcPr>
            <w:tcW w:type="dxa" w:w="22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щавелевая кислота</w:t>
            </w:r>
          </w:p>
        </w:tc>
        <w:tc>
          <w:tcPr>
            <w:tcW w:type="dxa" w:w="18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по инструкции</w:t>
            </w:r>
          </w:p>
        </w:tc>
        <w:tc>
          <w:tcPr>
            <w:tcW w:type="dxa" w:w="14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3 дня</w:t>
            </w:r>
          </w:p>
        </w:tc>
        <w:tc>
          <w:tcPr>
            <w:tcW w:type="dxa" w:w="156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наружно (подкожно-хрящевая)</w:t>
            </w:r>
          </w:p>
        </w:tc>
      </w:tr>
      <w:tr>
        <w:tc>
          <w:tcPr>
            <w:tcW w:type="dxa" w:w="24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Бисанар® для возгонки</w:t>
            </w:r>
          </w:p>
        </w:tc>
        <w:tc>
          <w:tcPr>
            <w:tcW w:type="dxa" w:w="22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тимол, щавелевая кислота</w:t>
            </w:r>
          </w:p>
        </w:tc>
        <w:tc>
          <w:tcPr>
            <w:tcW w:type="dxa" w:w="18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по инструкции</w:t>
            </w:r>
          </w:p>
        </w:tc>
        <w:tc>
          <w:tcPr>
            <w:tcW w:type="dxa" w:w="14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3 дня</w:t>
            </w:r>
          </w:p>
        </w:tc>
        <w:tc>
          <w:tcPr>
            <w:tcW w:type="dxa" w:w="156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наружно</w:t>
            </w:r>
          </w:p>
        </w:tc>
      </w:tr>
      <w:tr>
        <w:tc>
          <w:tcPr>
            <w:tcW w:type="dxa" w:w="24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Вирусан</w:t>
            </w:r>
          </w:p>
        </w:tc>
        <w:tc>
          <w:tcPr>
            <w:tcW w:type="dxa" w:w="22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римантадин, аскорбиновая кислота</w:t>
            </w:r>
          </w:p>
        </w:tc>
        <w:tc>
          <w:tcPr>
            <w:tcW w:type="dxa" w:w="18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по инструкции</w:t>
            </w:r>
          </w:p>
        </w:tc>
        <w:tc>
          <w:tcPr>
            <w:tcW w:type="dxa" w:w="14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3 дня</w:t>
            </w:r>
          </w:p>
        </w:tc>
        <w:tc>
          <w:tcPr>
            <w:tcW w:type="dxa" w:w="156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орально</w:t>
            </w:r>
          </w:p>
        </w:tc>
      </w:tr>
    </w:tbl>
    <w:p>
      <w:pPr>
        <w:spacing w:after="0" w:before="40"/>
      </w:pPr>
    </w:p>
    <w:p>
      <w:pPr>
        <w:spacing w:after="80"/>
        <w:jc w:val="center"/>
      </w:pPr>
      <w:r>
        <w:rPr>
          <w:rFonts w:ascii="Microsoft YaHei" w:cs="Microsoft YaHei" w:eastAsia="Microsoft YaHei" w:hAnsi="Microsoft YaHei"/>
          <w:i/>
          <w:iCs/>
          <w:color w:val="94A3B8"/>
          <w:sz w:val="18"/>
          <w:szCs w:val="18"/>
        </w:rPr>
        <w:t xml:space="preserve">Таблица 2. Препараты симптоматической терапии</w:t>
      </w:r>
    </w:p>
    <w:p>
      <w:pPr>
        <w:spacing w:after="120" w:line="276"/>
        <w:ind w:firstLine="420"/>
        <w:jc w:val="both"/>
      </w:pPr>
      <w:r>
        <w:rPr>
          <w:rFonts w:ascii="Microsoft YaHei" w:cs="Microsoft YaHei" w:eastAsia="Microsoft YaHei" w:hAnsi="Microsoft YaHei"/>
          <w:color w:val="2D3329"/>
          <w:sz w:val="21"/>
          <w:szCs w:val="21"/>
        </w:rPr>
        <w:t xml:space="preserve">Данные о препаратах и дозировках взяты из зарегистрированной базы ветеринарных препаратов.</w:t>
      </w:r>
    </w:p>
    <w:p>
      <w:pPr>
        <w:spacing w:after="120" w:line="276"/>
        <w:ind w:firstLine="420"/>
        <w:jc w:val="both"/>
      </w:pPr>
      <w:r>
        <w:rPr>
          <w:rFonts w:ascii="Microsoft YaHei" w:cs="Microsoft YaHei" w:eastAsia="Microsoft YaHei" w:hAnsi="Microsoft YaHei"/>
          <w:color w:val="2D3329"/>
          <w:sz w:val="21"/>
          <w:szCs w:val="21"/>
        </w:rPr>
        <w:t xml:space="preserve">Перед применением препарата необходимо ознакомиться с полной инструкцией.</w:t>
      </w:r>
    </w:p>
    <w:p>
      <w:pPr>
        <w:pStyle w:val="Heading1"/>
        <w:spacing w:after="200" w:before="360"/>
      </w:pPr>
      <w:r>
        <w:rPr>
          <w:rFonts w:ascii="SimHei" w:cs="SimHei" w:eastAsia="SimHei" w:hAnsi="SimHei"/>
          <w:b/>
          <w:bCs/>
          <w:color w:val="1A1F16"/>
          <w:sz w:val="32"/>
          <w:szCs w:val="32"/>
        </w:rPr>
        <w:t xml:space="preserve">4. Профилактика</w:t>
      </w:r>
    </w:p>
    <w:p>
      <w:pPr>
        <w:pStyle w:val="Heading2"/>
        <w:spacing w:after="160" w:before="280"/>
      </w:pPr>
      <w:r>
        <w:rPr>
          <w:rFonts w:ascii="SimHei" w:cs="SimHei" w:eastAsia="SimHei" w:hAnsi="SimHei"/>
          <w:b/>
          <w:bCs/>
          <w:color w:val="1A1F16"/>
          <w:sz w:val="28"/>
          <w:szCs w:val="28"/>
        </w:rPr>
        <w:t xml:space="preserve">4.2 Общие меры</w:t>
      </w:r>
    </w:p>
    <w:p>
      <w:pPr>
        <w:spacing w:after="120" w:line="276"/>
        <w:ind w:firstLine="420"/>
        <w:jc w:val="both"/>
      </w:pPr>
      <w:r>
        <w:rPr>
          <w:rFonts w:ascii="Microsoft YaHei" w:cs="Microsoft YaHei" w:eastAsia="Microsoft YaHei" w:hAnsi="Microsoft YaHei"/>
          <w:color w:val="2D3329"/>
          <w:sz w:val="21"/>
          <w:szCs w:val="21"/>
        </w:rPr>
        <w:t xml:space="preserve">Профилактические мероприятия проводятся в соответствии с Ветеринарными правилами, утверждёнными Минсельхозом России.</w:t>
      </w:r>
    </w:p>
    <w:p>
      <w:pPr>
        <w:spacing w:after="120" w:line="276"/>
        <w:ind w:firstLine="420"/>
        <w:jc w:val="both"/>
      </w:pPr>
      <w:r>
        <w:rPr>
          <w:rFonts w:ascii="Microsoft YaHei" w:cs="Microsoft YaHei" w:eastAsia="Microsoft YaHei" w:hAnsi="Microsoft YaHei"/>
          <w:color w:val="2D3329"/>
          <w:sz w:val="21"/>
          <w:szCs w:val="21"/>
        </w:rPr>
        <w:t xml:space="preserve">Мероприятия направлены на предупреждение заноса и распространения возбудителя заболевания.</w:t>
      </w:r>
    </w:p>
    <w:p>
      <w:pPr>
        <w:pStyle w:val="Heading1"/>
        <w:spacing w:after="200" w:before="360"/>
      </w:pPr>
      <w:r>
        <w:rPr>
          <w:rFonts w:ascii="SimHei" w:cs="SimHei" w:eastAsia="SimHei" w:hAnsi="SimHei"/>
          <w:b/>
          <w:bCs/>
          <w:color w:val="1A1F16"/>
          <w:sz w:val="32"/>
          <w:szCs w:val="32"/>
        </w:rPr>
        <w:t xml:space="preserve">5. Меры борьбы</w:t>
      </w:r>
    </w:p>
    <w:p>
      <w:pPr>
        <w:pStyle w:val="Heading2"/>
        <w:spacing w:after="160" w:before="280"/>
      </w:pPr>
      <w:r>
        <w:rPr>
          <w:rFonts w:ascii="SimHei" w:cs="SimHei" w:eastAsia="SimHei" w:hAnsi="SimHei"/>
          <w:b/>
          <w:bCs/>
          <w:color w:val="1A1F16"/>
          <w:sz w:val="28"/>
          <w:szCs w:val="28"/>
        </w:rPr>
        <w:t xml:space="preserve">5.1 Ограничительные меры</w:t>
      </w:r>
    </w:p>
    <w:p>
      <w:pPr>
        <w:spacing w:after="120" w:line="276"/>
        <w:ind w:firstLine="420"/>
        <w:jc w:val="both"/>
      </w:pPr>
      <w:r>
        <w:rPr>
          <w:rFonts w:ascii="Microsoft YaHei" w:cs="Microsoft YaHei" w:eastAsia="Microsoft YaHei" w:hAnsi="Microsoft YaHei"/>
          <w:color w:val="2D3329"/>
          <w:sz w:val="21"/>
          <w:szCs w:val="21"/>
        </w:rPr>
        <w:t xml:space="preserve">При установлении диагноза осуществляются мероприятия в соответствии с действующим законодательством РФ в области ветеринарии.</w:t>
      </w:r>
    </w:p>
    <w:p>
      <w:pPr>
        <w:pStyle w:val="Heading2"/>
        <w:spacing w:after="160" w:before="280"/>
      </w:pPr>
      <w:r>
        <w:rPr>
          <w:rFonts w:ascii="SimHei" w:cs="SimHei" w:eastAsia="SimHei" w:hAnsi="SimHei"/>
          <w:b/>
          <w:bCs/>
          <w:color w:val="1A1F16"/>
          <w:sz w:val="28"/>
          <w:szCs w:val="28"/>
        </w:rPr>
        <w:t xml:space="preserve">5.2 Карантинные меры</w:t>
      </w:r>
    </w:p>
    <w:p>
      <w:pPr>
        <w:spacing w:after="120" w:line="276"/>
        <w:ind w:firstLine="420"/>
        <w:jc w:val="both"/>
      </w:pPr>
      <w:r>
        <w:rPr>
          <w:rFonts w:ascii="Microsoft YaHei" w:cs="Microsoft YaHei" w:eastAsia="Microsoft YaHei" w:hAnsi="Microsoft YaHei"/>
          <w:color w:val="2D3329"/>
          <w:sz w:val="21"/>
          <w:szCs w:val="21"/>
        </w:rPr>
        <w:t xml:space="preserve">Карантинные и ограничительные мероприятия устанавливаются в порядке, определённом законодательством.</w:t>
      </w:r>
    </w:p>
    <w:p>
      <w:pPr>
        <w:pStyle w:val="Heading2"/>
        <w:spacing w:after="160" w:before="280"/>
      </w:pPr>
      <w:r>
        <w:rPr>
          <w:rFonts w:ascii="SimHei" w:cs="SimHei" w:eastAsia="SimHei" w:hAnsi="SimHei"/>
          <w:b/>
          <w:bCs/>
          <w:color w:val="1A1F16"/>
          <w:sz w:val="28"/>
          <w:szCs w:val="28"/>
        </w:rPr>
        <w:t xml:space="preserve">5.3 Дезинфекция</w:t>
      </w:r>
    </w:p>
    <w:p>
      <w:pPr>
        <w:spacing w:after="120" w:line="276"/>
        <w:ind w:firstLine="420"/>
        <w:jc w:val="both"/>
      </w:pPr>
      <w:r>
        <w:rPr>
          <w:rFonts w:ascii="Microsoft YaHei" w:cs="Microsoft YaHei" w:eastAsia="Microsoft YaHei" w:hAnsi="Microsoft YaHei"/>
          <w:color w:val="2D3329"/>
          <w:sz w:val="21"/>
          <w:szCs w:val="21"/>
        </w:rPr>
        <w:t xml:space="preserve">Проводится дезинфекция, дезинсекция и дератизация в соответствии с действующими ветеринарно-санитарными правилами.</w:t>
      </w:r>
    </w:p>
    <w:p>
      <w:pPr>
        <w:spacing w:after="0" w:before="200"/>
      </w:pPr>
    </w:p>
    <w:tbl>
      <w:tblPr>
        <w:tblW w:type="auto" w:w="10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00"/>
          <w:left w:type="dxa" w:w="200"/>
          <w:bottom w:type="dxa" w:w="100"/>
          <w:right w:type="dxa" w:w="200"/>
        </w:tblCellMar>
      </w:tblPr>
      <w:tblGrid>
        <w:gridCol w:w="9360"/>
      </w:tblGrid>
      <w:tr>
        <w:tc>
          <w:tcPr>
            <w:tcW w:type="dxa" w:w="936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shd w:fill="FEF2F2" w:val="clear"/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/>
                <w:bCs/>
                <w:color w:val="B91C1C"/>
                <w:sz w:val="21"/>
                <w:szCs w:val="21"/>
              </w:rPr>
              <w:t xml:space="preserve">⚠️ Все препараты должны применяться строго по инструкции производителя.</w:t>
            </w:r>
          </w:p>
        </w:tc>
      </w:tr>
    </w:tbl>
    <w:tbl>
      <w:tblPr>
        <w:tblW w:type="auto" w:w="10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00"/>
          <w:left w:type="dxa" w:w="200"/>
          <w:bottom w:type="dxa" w:w="100"/>
          <w:right w:type="dxa" w:w="200"/>
        </w:tblCellMar>
      </w:tblPr>
      <w:tblGrid>
        <w:gridCol w:w="9360"/>
      </w:tblGrid>
      <w:tr>
        <w:tc>
          <w:tcPr>
            <w:tcW w:type="dxa" w:w="936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shd w:fill="FEF2F2" w:val="clear"/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/>
                <w:bCs/>
                <w:color w:val="B91C1C"/>
                <w:sz w:val="21"/>
                <w:szCs w:val="21"/>
              </w:rPr>
              <w:t xml:space="preserve">⚠️ Источник: Приказ Минсельхоза РФ №62 от 09.03.2011 (ред. от 25.09.2020, Приказ №564). Препараты из базы ветеринарных препаратов.</w:t>
            </w:r>
          </w:p>
        </w:tc>
      </w:tr>
    </w:tbl>
    <w:sectPr>
      <w:headerReference w:type="default" r:id="rId7"/>
      <w:footerReference w:type="default" r:id="rId8"/>
      <w:pgSz w:w="11906" w:h="16838" w:orient="portrait"/>
      <w:pgMar w:top="180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Microsoft YaHei" w:cs="Microsoft YaHei" w:eastAsia="Microsoft YaHei" w:hAnsi="Microsoft YaHei"/>
        <w:color w:val="94A3B8"/>
        <w:sz w:val="16"/>
        <w:szCs w:val="16"/>
      </w:rPr>
      <w:t xml:space="preserve">— </w:t>
    </w:r>
    <w:r>
      <w:rPr>
        <w:rFonts w:ascii="Microsoft YaHei" w:cs="Microsoft YaHei" w:eastAsia="Microsoft YaHei" w:hAnsi="Microsoft YaHei"/>
        <w:color w:val="94A3B8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Microsoft YaHei" w:cs="Microsoft YaHei" w:eastAsia="Microsoft YaHei" w:hAnsi="Microsoft YaHei"/>
        <w:color w:val="94A3B8"/>
        <w:sz w:val="16"/>
        <w:szCs w:val="16"/>
      </w:rPr>
      <w:t xml:space="preserve"> —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Microsoft YaHei" w:cs="Microsoft YaHei" w:eastAsia="Microsoft YaHei" w:hAnsi="Microsoft YaHei"/>
        <w:i/>
        <w:iCs/>
        <w:color w:val="94A3B8"/>
        <w:sz w:val="16"/>
        <w:szCs w:val="16"/>
      </w:rPr>
      <w:t xml:space="preserve">Европейский гнилец пчел — протокол лечения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icrosoft YaHei" w:cs="Microsoft YaHei" w:eastAsia="Microsoft YaHei" w:hAnsi="Microsoft YaHe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SimHei" w:cs="SimHei" w:eastAsia="SimHei" w:hAnsi="SimHei"/>
      <w:b/>
      <w:bCs/>
      <w:color w:val="1A1F16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60" w:before="280"/>
      <w:outlineLvl w:val="1"/>
    </w:pPr>
    <w:rPr>
      <w:rFonts w:ascii="SimHei" w:cs="SimHei" w:eastAsia="SimHei" w:hAnsi="SimHei"/>
      <w:b/>
      <w:bCs/>
      <w:color w:val="1A1F16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20" w:before="200"/>
      <w:outlineLvl w:val="2"/>
    </w:pPr>
    <w:rPr>
      <w:rFonts w:ascii="SimHei" w:cs="SimHei" w:eastAsia="SimHei" w:hAnsi="SimHei"/>
      <w:b/>
      <w:bCs/>
      <w:color w:val="4A5548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2026-03-29T18:32:46.369Z</dcterms:created>
  <dcterms:modified xsi:type="dcterms:W3CDTF">2026-03-29T18:32:46.370Z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