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5. GELİR MODELİ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Gelir Kaynağı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Birim Fiyat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5 Yıllık Hedef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SaaS Abonelik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₺10K-35K/ay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</w:tcPr>
          <w:p>
            <w:pPr>
              <w:jc w:val="center"/>
            </w:pPr>
            <w:r>
              <w:rPr>
                <w:b/>
                <w:bCs/>
                <w:color w:val="4CAF50"/>
                <w:sz w:val="24"/>
                <w:szCs w:val="24"/>
              </w:rPr>
              <w:t xml:space="preserve">₺410M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Entegrasyon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₺120K-350K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</w:tcPr>
          <w:p>
            <w:pPr>
              <w:jc w:val="center"/>
            </w:pPr>
            <w:r>
              <w:rPr>
                <w:b/>
                <w:bCs/>
                <w:color w:val="4CAF50"/>
                <w:sz w:val="24"/>
                <w:szCs w:val="24"/>
              </w:rPr>
              <w:t xml:space="preserve">₺30M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Eğitim Programları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₺6.5K/kişi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</w:tcPr>
          <w:p>
            <w:pPr>
              <w:jc w:val="center"/>
            </w:pPr>
            <w:r>
              <w:rPr>
                <w:b/>
                <w:bCs/>
                <w:color w:val="4CAF50"/>
                <w:sz w:val="24"/>
                <w:szCs w:val="24"/>
              </w:rPr>
              <w:t xml:space="preserve">₺8M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Veri Analizi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₺12K-20K/ay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</w:tcPr>
          <w:p>
            <w:pPr>
              <w:jc w:val="center"/>
            </w:pPr>
            <w:r>
              <w:rPr>
                <w:b/>
                <w:bCs/>
                <w:color w:val="4CAF50"/>
                <w:sz w:val="24"/>
                <w:szCs w:val="24"/>
              </w:rPr>
              <w:t xml:space="preserve">₺12M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TOPLAM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CAF5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₺460M</w:t>
            </w:r>
          </w:p>
        </w:tc>
      </w:tr>
    </w:tbl>
    <w:p>
      <w:pPr>
        <w:spacing w:before="240" w:after="120"/>
      </w:pPr>
      <w:r>
        <w:rPr>
          <w:i/>
          <w:iCs/>
          <w:color w:val="666666"/>
          <w:sz w:val="20"/>
          <w:szCs w:val="20"/>
        </w:rPr>
        <w:t xml:space="preserve">Birim maliyet: ₺4,800 | Brüt kar marjı: %108 | Başa baş noktası: 3. yıl</w:t>
      </w:r>
    </w:p>
    <w:r>
      <w:br w:type="page"/>
    </w:r>
    <w:p>
      <w:pPr>
        <w:pStyle w:val="Heading1"/>
      </w:pPr>
      <w:r>
        <w:t xml:space="preserve">6. KLİNİK VALİDASYON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4680"/>
        <w:gridCol w:w="468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1F5FE" w:val="clear"/>
            <w:vAlign w:val="center"/>
          </w:tcPr>
          <w:p>
            <w:pPr>
              <w:spacing w:before="200" w:after="200"/>
              <w:jc w:val="center"/>
            </w:pPr>
            <w:r>
              <w:rPr>
                <w:sz w:val="36"/>
                <w:szCs w:val="36"/>
              </w:rPr>
              <w:t xml:space="preserve">👨‍⚕️</w:t>
            </w:r>
          </w:p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Uzm. Dr. Mahsa Sedaghatıhagh</w:t>
            </w:r>
          </w:p>
          <w:p>
            <w:pPr>
              <w:spacing w:before="80"/>
              <w:jc w:val="center"/>
            </w:pPr>
            <w:r>
              <w:rPr>
                <w:color w:val="666666"/>
                <w:sz w:val="18"/>
                <w:szCs w:val="18"/>
              </w:rPr>
              <w:t xml:space="preserve">Özel Doğa Hospital</w:t>
            </w:r>
          </w:p>
          <w:p>
            <w:pPr>
              <w:spacing w:before="120" w:after="200"/>
              <w:jc w:val="center"/>
            </w:pPr>
            <w:r>
              <w:rPr>
                <w:sz w:val="18"/>
                <w:szCs w:val="18"/>
              </w:rPr>
              <w:t xml:space="preserve">Klinik validasyon, hasta profilleri ve karar destek mekanizmaları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3E5F5" w:val="clear"/>
            <w:vAlign w:val="center"/>
          </w:tcPr>
          <w:p>
            <w:pPr>
              <w:spacing w:before="200" w:after="200"/>
              <w:jc w:val="center"/>
            </w:pPr>
            <w:r>
              <w:rPr>
                <w:sz w:val="36"/>
                <w:szCs w:val="36"/>
              </w:rPr>
              <w:t xml:space="preserve">👨‍⚕️</w:t>
            </w:r>
          </w:p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Uzm. Dr. Asil İşçi</w:t>
            </w:r>
          </w:p>
          <w:p>
            <w:pPr>
              <w:spacing w:before="80"/>
              <w:jc w:val="center"/>
            </w:pPr>
            <w:r>
              <w:rPr>
                <w:color w:val="666666"/>
                <w:sz w:val="18"/>
                <w:szCs w:val="18"/>
              </w:rPr>
              <w:t xml:space="preserve">İSTÜN Kolan Hospital</w:t>
            </w:r>
          </w:p>
          <w:p>
            <w:pPr>
              <w:spacing w:before="120" w:after="200"/>
              <w:jc w:val="center"/>
            </w:pPr>
            <w:r>
              <w:rPr>
                <w:sz w:val="18"/>
                <w:szCs w:val="18"/>
              </w:rPr>
              <w:t xml:space="preserve">Klinik uygulanabilirlik, girişimsel kardiyoloji deneyimi</w:t>
            </w:r>
          </w:p>
        </w:tc>
      </w:tr>
    </w:tbl>
    <w:p>
      <w:pPr>
        <w:spacing w:before="240" w:after="120"/>
      </w:pPr>
      <w:r>
        <w:rPr>
          <w:b/>
          <w:bCs/>
          <w:sz w:val="20"/>
          <w:szCs w:val="20"/>
        </w:rPr>
        <w:t xml:space="preserve">Doğrulama: 500 hasta verisi | ROC-AUC &gt;0.90 | 3 pilot hastane | 60 gün gerçek ortam testi</w:t>
      </w:r>
    </w:p>
    <w:r>
      <w:br w:type="page"/>
    </w:r>
    <w:p>
      <w:pPr>
        <w:pStyle w:val="Heading1"/>
      </w:pPr>
      <w:r>
        <w:t xml:space="preserve">7. KURUMSAL İŞBİRLİKLERİ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Kurum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Kategori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Destek Kapsamı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3F2FD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İstanbul Topkapı Üniversitesi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before="100" w:after="100"/>
              <w:jc w:val="center"/>
            </w:pPr>
            <w:r>
              <w:rPr>
                <w:color w:val="1976D2"/>
                <w:sz w:val="20"/>
                <w:szCs w:val="20"/>
              </w:rPr>
              <w:t xml:space="preserve">Akademik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before="100" w:after="100"/>
            </w:pPr>
            <w:r>
              <w:rPr>
                <w:sz w:val="18"/>
                <w:szCs w:val="18"/>
              </w:rPr>
              <w:t xml:space="preserve">Ar-Ge, EKG modeli araştırmaları, akademik yayın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CE4EC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Özel Doğa Hospital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before="100" w:after="100"/>
              <w:jc w:val="center"/>
            </w:pPr>
            <w:r>
              <w:rPr>
                <w:color w:val="C2185B"/>
                <w:sz w:val="20"/>
                <w:szCs w:val="20"/>
              </w:rPr>
              <w:t xml:space="preserve">Klinik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before="100" w:after="100"/>
            </w:pPr>
            <w:r>
              <w:rPr>
                <w:sz w:val="18"/>
                <w:szCs w:val="18"/>
              </w:rPr>
              <w:t xml:space="preserve">Klinik validasyon, hasta verisi, pilot uygulama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3E5F5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İSTÜN Kolan Hospital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before="100" w:after="100"/>
              <w:jc w:val="center"/>
            </w:pPr>
            <w:r>
              <w:rPr>
                <w:color w:val="7B1FA2"/>
                <w:sz w:val="20"/>
                <w:szCs w:val="20"/>
              </w:rPr>
              <w:t xml:space="preserve">Klinik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before="100" w:after="100"/>
            </w:pPr>
            <w:r>
              <w:rPr>
                <w:sz w:val="18"/>
                <w:szCs w:val="18"/>
              </w:rPr>
              <w:t xml:space="preserve">Girişimsel kardiyoloji validasyonu, gerçek ortam testi</w:t>
            </w:r>
          </w:p>
        </w:tc>
      </w:tr>
    </w:tbl>
    <w:p>
      <w:pPr>
        <w:spacing w:before="240"/>
      </w:pPr>
      <w:r>
        <w:rPr>
          <w:b/>
          <w:bCs/>
          <w:color w:val="4CAF50"/>
          <w:sz w:val="20"/>
          <w:szCs w:val="20"/>
        </w:rPr>
        <w:t xml:space="preserve">✓ İyi niyet mektupları ekli | ✓ MoU imza aşamasında | ✓ Pilot uygulama hazır</w:t>
      </w:r>
    </w:p>
    <w:r>
      <w:br w:type="page"/>
    </w:r>
    <w:p>
      <w:pPr>
        <w:pStyle w:val="Heading1"/>
      </w:pPr>
      <w:r>
        <w:t xml:space="preserve">8. KAYNAKÇA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Dünya Sağlık Örgütü (WHO). (2024). Cardiovascular diseases (CVDs) fact sheet.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Türkiye İstatistik Kurumu (TÜİK). (2024). Ölüm nedeni istatistikleri.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Newman-Toker, D. E., et al. (2024). Diagnostic errors in cardiovascular emergencies: A systematic review. JAMA Internal Medicine.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Grand View Research. (2024). Artificial Intelligence In Healthcare Market Size &amp; Trends.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Fortune Business Insights. (2024). Healthcare AI Market Growth Analysis.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McKinsey &amp; Company. (2024). The State of AI in Healthcare.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Statista. (2024). Healthcare Technology Market in Turkey.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IMARC Group. (2024). Turkey Healthcare Market Report.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MarketsandMarkets. (2024). Medical Imaging AI Market Forecast.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T.C. Sağlık Bakanlığı. (2024). Sağlık İstatistikleri Yıllığı.</w:t>
      </w:r>
    </w:p>
    <w:r>
      <w:br w:type="page"/>
    </w:r>
    <w:p>
      <w:pPr>
        <w:spacing w:before="1440"/>
        <w:jc w:val="center"/>
      </w:pPr>
      <w:r>
        <w:rPr>
          <w:b/>
          <w:bCs/>
          <w:color w:val="2E5090"/>
          <w:sz w:val="32"/>
          <w:szCs w:val="32"/>
        </w:rPr>
        <w:t xml:space="preserve">BYM TECHNOLOGY HEALTH CENTER</w:t>
      </w:r>
    </w:p>
    <w:p>
      <w:pPr>
        <w:spacing w:before="240"/>
        <w:jc w:val="center"/>
      </w:pPr>
      <w:r>
        <w:rPr>
          <w:sz w:val="24"/>
          <w:szCs w:val="24"/>
        </w:rPr>
        <w:t xml:space="preserve">📧 bymtechnology3@gmail.com</w:t>
      </w:r>
    </w:p>
    <w:p>
      <w:pPr>
        <w:spacing w:before="120"/>
        <w:jc w:val="center"/>
      </w:pPr>
      <w:r>
        <w:rPr>
          <w:sz w:val="20"/>
          <w:szCs w:val="20"/>
        </w:rPr>
        <w:t xml:space="preserve">📍 İstanbul Topkapı Üniversitesi Teknoloji Geliştirme Bölgesi</w:t>
      </w:r>
    </w:p>
    <w:p>
      <w:pPr>
        <w:spacing w:before="480"/>
        <w:jc w:val="center"/>
      </w:pPr>
      <w:r>
        <w:rPr>
          <w:b/>
          <w:bCs/>
          <w:sz w:val="22"/>
          <w:szCs w:val="22"/>
        </w:rPr>
        <w:t xml:space="preserve">TÜBİTAK BİGG 1812 Programı</w:t>
      </w:r>
    </w:p>
    <w:p>
      <w:pPr>
        <w:spacing w:before="80"/>
        <w:jc w:val="center"/>
      </w:pPr>
      <w:r>
        <w:rPr>
          <w:sz w:val="20"/>
          <w:szCs w:val="20"/>
        </w:rPr>
        <w:t xml:space="preserve">Ürünleştirme ve Ticarileştirme Desteği Başvurusu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240"/>
      <w:jc w:val="center"/>
    </w:pPr>
    <w:rPr>
      <w:rFonts w:ascii="Arial" w:cs="Arial" w:eastAsia="Arial" w:hAnsi="Arial"/>
      <w:b/>
      <w:bCs/>
      <w:color w:val="1F4788"/>
      <w:sz w:val="48"/>
      <w:szCs w:val="48"/>
    </w:rPr>
  </w:style>
  <w:style w:type="paragraph" w:styleId="Heading1">
    <w:name w:val="Heading 1"/>
    <w:basedOn w:val="Normal"/>
    <w:pPr>
      <w:pBdr>
        <w:bottom w:val="single" w:color="2E5090" w:sz="6"/>
      </w:pBdr>
      <w:spacing w:before="360" w:after="180"/>
      <w:outlineLvl w:val="0"/>
    </w:pPr>
    <w:rPr>
      <w:rFonts w:ascii="Arial" w:cs="Arial" w:eastAsia="Arial" w:hAnsi="Arial"/>
      <w:b/>
      <w:bCs/>
      <w:color w:val="2E5090"/>
      <w:sz w:val="32"/>
      <w:szCs w:val="32"/>
    </w:rPr>
  </w:style>
  <w:style w:type="paragraph" w:styleId="Heading2">
    <w:name w:val="Heading 2"/>
    <w:basedOn w:val="Normal"/>
    <w:pPr>
      <w:spacing w:before="240" w:after="120"/>
      <w:outlineLvl w:val="1"/>
    </w:pPr>
    <w:rPr>
      <w:rFonts w:ascii="Arial" w:cs="Arial" w:eastAsia="Arial" w:hAnsi="Arial"/>
      <w:b/>
      <w:bCs/>
      <w:color w:val="2E509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2025-11-11T21:45:39.762Z</dcterms:created>
  <dcterms:modified xsi:type="dcterms:W3CDTF">2025-11-11T21:45:39.763Z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