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4E5F"/>
          <w:sz w:val="44"/>
          <w:szCs w:val="44"/>
        </w:rPr>
        <w:t xml:space="preserve">How Sturdy Is Your Trial Result?</w:t>
      </w:r>
    </w:p>
    <w:p>
      <w:pPr>
        <w:spacing w:after="60"/>
      </w:pPr>
      <w:r>
        <w:rPr>
          <w:i/>
          <w:iCs/>
          <w:color w:val="444444"/>
          <w:sz w:val="26"/>
          <w:szCs w:val="26"/>
        </w:rPr>
        <w:t xml:space="preserve">A physician's guide to robustness analysis with the stabilitest package</w:t>
      </w:r>
    </w:p>
    <w:p>
      <w:pPr>
        <w:pBdr>
          <w:bottom w:val="single" w:color="1F4E5F" w:sz="12"/>
        </w:pBdr>
        <w:spacing w:after="320"/>
      </w:pPr>
      <w:r>
        <w:rPr>
          <w:color w:val="666666"/>
          <w:sz w:val="20"/>
          <w:szCs w:val="20"/>
        </w:rPr>
        <w:t xml:space="preserve">Plain-language companion to stabilitest v0.6.0 - August 2026</w:t>
      </w:r>
    </w:p>
    <w:p>
      <w:pPr>
        <w:pStyle w:val="Heading1"/>
        <w:spacing w:after="160" w:before="320"/>
      </w:pPr>
      <w:r>
        <w:rPr>
          <w:b/>
          <w:bCs/>
          <w:color w:val="1F4E5F"/>
          <w:sz w:val="28"/>
          <w:szCs w:val="28"/>
        </w:rPr>
        <w:t xml:space="preserve">1. The question a p-value does not answer</w:t>
      </w:r>
    </w:p>
    <w:p>
      <w:pPr>
        <w:spacing w:after="160" w:line="276"/>
      </w:pPr>
      <w:r>
        <w:rPr>
          <w:sz w:val="22"/>
          <w:szCs w:val="22"/>
        </w:rPr>
        <w:t xml:space="preserve">Imagine two randomized trials of a new analgesic. Both report exactly the same headline: patients on treatment improved more than patients on placebo, p = 0.048 - statistically significant. In the first trial, that verdict survives almost anything you do to the data. In the second, the entire result rests on one extraordinary responder: remove that single patient, and the significance vanishes.</w:t>
      </w:r>
    </w:p>
    <w:p>
      <w:pPr>
        <w:spacing w:after="160" w:line="276"/>
      </w:pPr>
      <w:r>
        <w:rPr>
          <w:sz w:val="22"/>
          <w:szCs w:val="22"/>
        </w:rPr>
        <w:t xml:space="preserve">Standard reporting treats these two trials identically. The p-value tells you how surprising the data would be if the drug did nothing; it says nothing about how easily the conclusion could be overturned. Regulators have noticed. The international guideline on trial statistics (ICH E9 and its R1 addendum) explicitly asks sponsors to demonstrate the robustness of trial conclusions - their sensitivity to data problems and analytic assumptions. What has been missing is a standard, quantitative way to do it.</w:t>
      </w:r>
    </w:p>
    <w:p>
      <w:pPr>
        <w:spacing w:after="160" w:line="276"/>
      </w:pPr>
      <w:r>
        <w:rPr>
          <w:sz w:val="22"/>
          <w:szCs w:val="22"/>
        </w:rPr>
        <w:t xml:space="preserve">The stabilitest package - an add-on for the R statistical environment used by trial statisticians - was built for exactly this. It takes a completed primary analysis and asks one question from three different directions: how much of the data does this conclusion actually rest on? This guide explains what it does, what its outputs mean, and how the reference ranges behind its verdicts were established - and why, for most analyses, it deliberately declines to give a verdict at all.</w:t>
      </w:r>
    </w:p>
    <w:p>
      <w:pPr>
        <w:pStyle w:val="Heading1"/>
        <w:spacing w:after="160" w:before="320"/>
      </w:pPr>
      <w:r>
        <w:rPr>
          <w:b/>
          <w:bCs/>
          <w:color w:val="1F4E5F"/>
          <w:sz w:val="28"/>
          <w:szCs w:val="28"/>
        </w:rPr>
        <w:t xml:space="preserve">2. Three stress tests for one conclusion</w:t>
      </w:r>
    </w:p>
    <w:p>
      <w:pPr>
        <w:pStyle w:val="Heading2"/>
        <w:spacing w:after="120" w:before="240"/>
      </w:pPr>
      <w:r>
        <w:rPr>
          <w:b/>
          <w:bCs/>
          <w:color w:val="1F4E5F"/>
          <w:sz w:val="24"/>
          <w:szCs w:val="24"/>
        </w:rPr>
        <w:t xml:space="preserve">2.1 Remove one patient at a time (the jackknife)</w:t>
      </w:r>
    </w:p>
    <w:p>
      <w:pPr>
        <w:spacing w:after="160" w:line="276"/>
      </w:pPr>
      <w:r>
        <w:rPr>
          <w:sz w:val="22"/>
          <w:szCs w:val="22"/>
        </w:rPr>
        <w:t xml:space="preserve">The analysis is rerun once per patient, each time leaving that one patient out - 55 reruns for a 55-patient trial. If the significance verdict survives every rerun, no single individual is personally carrying the result. Just as importantly, the procedure names the patients whose data move the result most, telling you exactly whose charts deserve a data-quality review.</w:t>
      </w:r>
    </w:p>
    <w:p>
      <w:pPr>
        <w:spacing w:after="160" w:line="276"/>
      </w:pPr>
      <w:r>
        <w:rPr>
          <w:sz w:val="22"/>
          <w:szCs w:val="22"/>
        </w:rPr>
        <w:t xml:space="preserve">One caveat physicians will find intuitive: in a large trial, no single patient can usually flip the result, so passing this test in a 400-patient study says little. Its main value there is identification, not reassurance.</w:t>
      </w:r>
    </w:p>
    <w:p>
      <w:pPr>
        <w:pStyle w:val="Heading2"/>
        <w:spacing w:after="120" w:before="240"/>
      </w:pPr>
      <w:r>
        <w:rPr>
          <w:b/>
          <w:bCs/>
          <w:color w:val="1F4E5F"/>
          <w:sz w:val="24"/>
          <w:szCs w:val="24"/>
        </w:rPr>
        <w:t xml:space="preserve">2.2 The determined skeptic (worst-case removal)</w:t>
      </w:r>
    </w:p>
    <w:p>
      <w:pPr>
        <w:spacing w:after="160" w:line="276"/>
      </w:pPr>
      <w:r>
        <w:rPr>
          <w:sz w:val="22"/>
          <w:szCs w:val="22"/>
        </w:rPr>
        <w:t xml:space="preserve">Now imagine a skeptical reviewer who is allowed to delete patients from your dataset - and who always deletes the patient whose removal hurts your result the most, one at a time, recalculating after each deletion. How many patients would this adversary need to remove before your finding loses significance?</w:t>
      </w:r>
    </w:p>
    <w:p>
      <w:pPr>
        <w:spacing w:after="160" w:line="276"/>
      </w:pPr>
      <w:r>
        <w:rPr>
          <w:sz w:val="22"/>
          <w:szCs w:val="22"/>
        </w:rPr>
        <w:t>The removal fragility index records how many patients the determined skeptic removed before the conclusion changed. In the historical Welch simulation, null scenarios often changed after 1-2 removals, while large-effect scenarios usually required more. These are group-level patterns, not validated diagnostic cutoffs for an individual trial.</w:t>
      </w:r>
    </w:p>
    <w:p>
      <w:pPr>
        <w:spacing w:after="160" w:line="276"/>
      </w:pPr>
      <w:r>
        <w:rPr>
          <w:sz w:val="22"/>
          <w:szCs w:val="22"/>
        </w:rPr>
        <w:t xml:space="preserve">This is deliberately harsher than the familiar reassurance that a result “survived removal of the outliers.” The most damaging patients are usually not the obvious outliers. In simulations, judging sturdiness by removing outliers made results look two to five times more robust than they proved to be under the determined skeptic. A result can survive outlier removal and still be one clever deletion away from reversal.</w:t>
      </w:r>
    </w:p>
    <w:p>
      <w:pPr>
        <w:pStyle w:val="Heading2"/>
        <w:spacing w:after="120" w:before="240"/>
      </w:pPr>
      <w:r>
        <w:rPr>
          <w:b/>
          <w:bCs/>
          <w:color w:val="1F4E5F"/>
          <w:sz w:val="24"/>
          <w:szCs w:val="24"/>
        </w:rPr>
        <w:t>2.3 Bootstrap same-decision rate</w:t>
      </w:r>
    </w:p>
    <w:p>
      <w:pPr>
        <w:spacing w:after="160" w:line="276"/>
      </w:pPr>
      <w:r>
        <w:rPr>
          <w:sz w:val="22"/>
          <w:szCs w:val="22"/>
        </w:rPr>
        <w:t>Finally, the computer repeatedly resamples the observed patients and counts how often each resample reaches the same significance decision. The result is the bootstrap same-decision rate; for example, 92% means that 92% of these observed-data resamples preserved the original decision.</w:t>
      </w:r>
    </w:p>
    <w:p>
      <w:pPr>
        <w:spacing w:after="160" w:line="276"/>
      </w:pPr>
      <w:r>
        <w:rPr>
          <w:sz w:val="22"/>
          <w:szCs w:val="22"/>
        </w:rPr>
        <w:t>This rate mostly restates how far the p-value sits from 0.05. A borderline result gives about 50-60% even in perfectly clean data. It is an empirical plug-in quantity under the observed data, not the probability that a new trial will replicate the finding. That is why it is reported separately and weighted 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26"/>
      </w:tblGrid>
      <w:tr>
        <w:trPr>
          <w:tblHeader/>
        </w:trPr>
        <w:tc>
          <w:tcPr>
            <w:tcW w:type="dxa" w:w="2100"/>
            <w:shd w:fill="EAF1F4" w:val="clear"/>
            <w:tcMar>
              <w:top w:type="dxa" w:w="80"/>
              <w:left w:type="dxa" w:w="120"/>
              <w:bottom w:type="dxa" w:w="80"/>
              <w:right w:type="dxa" w:w="120"/>
            </w:tcMar>
          </w:tcPr>
          <w:p>
            <w:pPr>
              <w:jc w:val="left"/>
            </w:pPr>
            <w:r>
              <w:rPr>
                <w:b/>
                <w:bCs/>
                <w:sz w:val="20"/>
                <w:szCs w:val="20"/>
              </w:rPr>
              <w:t xml:space="preserve">Stress test</w:t>
            </w:r>
          </w:p>
        </w:tc>
        <w:tc>
          <w:tcPr>
            <w:tcW w:type="dxa" w:w="4200"/>
            <w:shd w:fill="EAF1F4" w:val="clear"/>
            <w:tcMar>
              <w:top w:type="dxa" w:w="80"/>
              <w:left w:type="dxa" w:w="120"/>
              <w:bottom w:type="dxa" w:w="80"/>
              <w:right w:type="dxa" w:w="120"/>
            </w:tcMar>
          </w:tcPr>
          <w:p>
            <w:pPr>
              <w:jc w:val="left"/>
            </w:pPr>
            <w:r>
              <w:rPr>
                <w:b/>
                <w:bCs/>
                <w:sz w:val="20"/>
                <w:szCs w:val="20"/>
              </w:rPr>
              <w:t xml:space="preserve">The question, in plain words</w:t>
            </w:r>
          </w:p>
        </w:tc>
        <w:tc>
          <w:tcPr>
            <w:tcW w:type="dxa" w:w="2726"/>
            <w:shd w:fill="EAF1F4" w:val="clear"/>
            <w:tcMar>
              <w:top w:type="dxa" w:w="80"/>
              <w:left w:type="dxa" w:w="120"/>
              <w:bottom w:type="dxa" w:w="80"/>
              <w:right w:type="dxa" w:w="120"/>
            </w:tcMar>
          </w:tcPr>
          <w:p>
            <w:pPr>
              <w:jc w:val="left"/>
            </w:pPr>
            <w:r>
              <w:rPr>
                <w:b/>
                <w:bCs/>
                <w:sz w:val="20"/>
                <w:szCs w:val="20"/>
              </w:rPr>
              <w:t xml:space="preserve">What it reports</w:t>
            </w:r>
          </w:p>
        </w:tc>
      </w:tr>
      <w:tr>
        <w:tc>
          <w:tcPr>
            <w:tcW w:type="dxa" w:w="2100"/>
            <w:tcMar>
              <w:top w:type="dxa" w:w="80"/>
              <w:left w:type="dxa" w:w="120"/>
              <w:bottom w:type="dxa" w:w="80"/>
              <w:right w:type="dxa" w:w="120"/>
            </w:tcMar>
          </w:tcPr>
          <w:p>
            <w:pPr>
              <w:jc w:val="left"/>
            </w:pPr>
            <w:r>
              <w:rPr>
                <w:b w:val="false"/>
                <w:bCs w:val="false"/>
                <w:sz w:val="20"/>
                <w:szCs w:val="20"/>
              </w:rPr>
              <w:t xml:space="preserve">Leave-one-out (jackknife)</w:t>
            </w:r>
          </w:p>
        </w:tc>
        <w:tc>
          <w:tcPr>
            <w:tcW w:type="dxa" w:w="4200"/>
            <w:tcMar>
              <w:top w:type="dxa" w:w="80"/>
              <w:left w:type="dxa" w:w="120"/>
              <w:bottom w:type="dxa" w:w="80"/>
              <w:right w:type="dxa" w:w="120"/>
            </w:tcMar>
          </w:tcPr>
          <w:p>
            <w:pPr>
              <w:jc w:val="left"/>
            </w:pPr>
            <w:r>
              <w:rPr>
                <w:b w:val="false"/>
                <w:bCs w:val="false"/>
                <w:sz w:val="20"/>
                <w:szCs w:val="20"/>
              </w:rPr>
              <w:t xml:space="preserve">Is any single patient personally carrying the verdict?</w:t>
            </w:r>
          </w:p>
        </w:tc>
        <w:tc>
          <w:tcPr>
            <w:tcW w:type="dxa" w:w="2726"/>
            <w:tcMar>
              <w:top w:type="dxa" w:w="80"/>
              <w:left w:type="dxa" w:w="120"/>
              <w:bottom w:type="dxa" w:w="80"/>
              <w:right w:type="dxa" w:w="120"/>
            </w:tcMar>
          </w:tcPr>
          <w:p>
            <w:pPr>
              <w:jc w:val="left"/>
            </w:pPr>
            <w:r>
              <w:rPr>
                <w:b w:val="false"/>
                <w:bCs w:val="false"/>
                <w:sz w:val="20"/>
                <w:szCs w:val="20"/>
              </w:rPr>
              <w:t xml:space="preserve">% of single removals that preserve the conclusion; a list of influential patients</w:t>
            </w:r>
          </w:p>
        </w:tc>
      </w:tr>
      <w:tr>
        <w:tc>
          <w:tcPr>
            <w:tcW w:type="dxa" w:w="2100"/>
            <w:tcMar>
              <w:top w:type="dxa" w:w="80"/>
              <w:left w:type="dxa" w:w="120"/>
              <w:bottom w:type="dxa" w:w="80"/>
              <w:right w:type="dxa" w:w="120"/>
            </w:tcMar>
          </w:tcPr>
          <w:p>
            <w:pPr>
              <w:jc w:val="left"/>
            </w:pPr>
            <w:r>
              <w:rPr>
                <w:b w:val="false"/>
                <w:bCs w:val="false"/>
                <w:sz w:val="20"/>
                <w:szCs w:val="20"/>
              </w:rPr>
              <w:t xml:space="preserve">Worst-case removal (the determined skeptic)</w:t>
            </w:r>
          </w:p>
        </w:tc>
        <w:tc>
          <w:tcPr>
            <w:tcW w:type="dxa" w:w="4200"/>
            <w:tcMar>
              <w:top w:type="dxa" w:w="80"/>
              <w:left w:type="dxa" w:w="120"/>
              <w:bottom w:type="dxa" w:w="80"/>
              <w:right w:type="dxa" w:w="120"/>
            </w:tcMar>
          </w:tcPr>
          <w:p>
            <w:pPr>
              <w:jc w:val="left"/>
            </w:pPr>
            <w:r>
              <w:rPr>
                <w:b w:val="false"/>
                <w:bCs w:val="false"/>
                <w:sz w:val="20"/>
                <w:szCs w:val="20"/>
              </w:rPr>
              <w:t xml:space="preserve">How few patients would a determined critic need to delete to overturn the finding?</w:t>
            </w:r>
          </w:p>
        </w:tc>
        <w:tc>
          <w:tcPr>
            <w:tcW w:type="dxa" w:w="2726"/>
            <w:tcMar>
              <w:top w:type="dxa" w:w="80"/>
              <w:left w:type="dxa" w:w="120"/>
              <w:bottom w:type="dxa" w:w="80"/>
              <w:right w:type="dxa" w:w="120"/>
            </w:tcMar>
          </w:tcPr>
          <w:p>
            <w:pPr>
              <w:jc w:val="left"/>
            </w:pPr>
            <w:r>
              <w:rPr>
                <w:b w:val="false"/>
                <w:bCs w:val="false"/>
                <w:sz w:val="20"/>
                <w:szCs w:val="20"/>
              </w:rPr>
              <w:t xml:space="preserve">The removal fragility index: the number (and identities) of patients whose removal flips the result</w:t>
            </w:r>
          </w:p>
        </w:tc>
      </w:tr>
      <w:tr>
        <w:tc>
          <w:tcPr>
            <w:tcW w:type="dxa" w:w="2100"/>
            <w:tcMar>
              <w:top w:type="dxa" w:w="80"/>
              <w:left w:type="dxa" w:w="120"/>
              <w:bottom w:type="dxa" w:w="80"/>
              <w:right w:type="dxa" w:w="120"/>
            </w:tcMar>
          </w:tcPr>
          <w:p>
            <w:pPr>
              <w:jc w:val="left"/>
            </w:pPr>
            <w:r>
              <w:rPr>
                <w:b w:val="false"/>
                <w:bCs w:val="false"/>
                <w:sz w:val="20"/>
                <w:szCs w:val="20"/>
              </w:rPr>
              <w:t>Bootstrap same-decision rate</w:t>
            </w:r>
          </w:p>
        </w:tc>
        <w:tc>
          <w:tcPr>
            <w:tcW w:type="dxa" w:w="4200"/>
            <w:tcMar>
              <w:top w:type="dxa" w:w="80"/>
              <w:left w:type="dxa" w:w="120"/>
              <w:bottom w:type="dxa" w:w="80"/>
              <w:right w:type="dxa" w:w="120"/>
            </w:tcMar>
          </w:tcPr>
          <w:p>
            <w:pPr>
              <w:jc w:val="left"/>
            </w:pPr>
            <w:r>
              <w:rPr>
                <w:b w:val="false"/>
                <w:bCs w:val="false"/>
                <w:sz w:val="20"/>
                <w:szCs w:val="20"/>
              </w:rPr>
              <w:t>How often do resamples from the observed data preserve the original significance decision?</w:t>
            </w:r>
          </w:p>
        </w:tc>
        <w:tc>
          <w:tcPr>
            <w:tcW w:type="dxa" w:w="2726"/>
            <w:tcMar>
              <w:top w:type="dxa" w:w="80"/>
              <w:left w:type="dxa" w:w="120"/>
              <w:bottom w:type="dxa" w:w="80"/>
              <w:right w:type="dxa" w:w="120"/>
            </w:tcMar>
          </w:tcPr>
          <w:p>
            <w:pPr>
              <w:jc w:val="left"/>
            </w:pPr>
            <w:r>
              <w:rPr>
                <w:b w:val="false"/>
                <w:bCs w:val="false"/>
                <w:sz w:val="20"/>
                <w:szCs w:val="20"/>
              </w:rPr>
              <w:t>A same-decision percentage (for example, 92% of observed-data resamples preserve the decision)</w:t>
            </w:r>
          </w:p>
        </w:tc>
      </w:tr>
    </w:tbl>
    <w:p>
      <w:pPr>
        <w:spacing w:after="200"/>
      </w:pPr>
      <w:r>
        <w:rPr>
          <w:sz w:val="22"/>
          <w:szCs w:val="22"/>
        </w:rPr>
        <w:t xml:space="preserve"/>
      </w:r>
    </w:p>
    <w:p>
      <w:pPr>
        <w:pStyle w:val="Heading1"/>
        <w:spacing w:after="160" w:before="320"/>
      </w:pPr>
      <w:r>
        <w:rPr>
          <w:b/>
          <w:bCs/>
          <w:color w:val="1F4E5F"/>
          <w:sz w:val="28"/>
          <w:szCs w:val="28"/>
        </w:rPr>
        <w:t xml:space="preserve">3. The 0-100 robustness score</w:t>
      </w:r>
    </w:p>
    <w:p>
      <w:pPr>
        <w:spacing w:after="160" w:line="276"/>
      </w:pPr>
      <w:r>
        <w:rPr>
          <w:sz w:val="22"/>
          <w:szCs w:val="22"/>
        </w:rPr>
        <w:t>The three stress tests are combined into a single score from 0 to 100, much as clinical practice combines several measurements into a composite index. By default, the fragility test and the leave-one-out test each contribute 40% and the bootstrap same-decision rate contributes 20%; the weights are stated openly and can be fixed in advance in the trial's statistical analysis plan.</w:t>
      </w:r>
    </w:p>
    <w:p>
      <w:pPr>
        <w:spacing w:after="160" w:line="276"/>
      </w:pPr>
      <w:r>
        <w:rPr>
          <w:b/>
          <w:bCs/>
          <w:sz w:val="22"/>
          <w:szCs w:val="22"/>
        </w:rPr>
        <w:t xml:space="preserve">The score is a communication device, not the substance. </w:t>
      </w:r>
      <w:r>
        <w:rPr>
          <w:sz w:val="22"/>
          <w:szCs w:val="22"/>
        </w:rPr>
        <w:t xml:space="preserve">Two results with the same score can be sturdy in different ways, so the components - especially the fragility index and the named patients behind it - are what belong in a clinical study report. Think of the score the way you think of a summary risk index: useful for triage, never a substitute for the underlying findings.</w:t>
      </w:r>
    </w:p>
    <w:p>
      <w:pPr>
        <w:pStyle w:val="Heading1"/>
        <w:spacing w:after="160" w:before="320"/>
      </w:pPr>
      <w:r>
        <w:rPr>
          <w:b/>
          <w:bCs/>
          <w:color w:val="1F4E5F"/>
          <w:sz w:val="28"/>
          <w:szCs w:val="28"/>
        </w:rPr>
        <w:t xml:space="preserve">4. Verdicts need reference ranges - and honesty about them</w:t>
      </w:r>
    </w:p>
    <w:p>
      <w:pPr>
        <w:spacing w:after="160" w:line="276"/>
      </w:pPr>
      <w:r>
        <w:rPr>
          <w:sz w:val="22"/>
          <w:szCs w:val="22"/>
        </w:rPr>
        <w:t xml:space="preserve">A troponin value means nothing without a validated reference range, and a robustness score is no different. Before a score of 72 can be called “Robust,” someone must show what scores genuine effects and chance findings actually produce. That is done with calibration studies: thousands of simulated trials in which the truth is known - the drug works, or it does not - each analysed exactly as a real trial would be.</w:t>
      </w:r>
    </w:p>
    <w:p>
      <w:pPr>
        <w:spacing w:after="160" w:line="276"/>
      </w:pPr>
      <w:r>
        <w:rPr>
          <w:sz w:val="22"/>
          <w:szCs w:val="22"/>
        </w:rPr>
        <w:t>An early Welch simulation suggested that average scores differed between null and large-effect scenarios, but the score distributions overlapped too much to justify clinical reference ranges. The prospective Welch study, version welch-2026-2, ended at training with no_feasible_thresholds. Because no candidate met the pre-specified requirements, the held-out validation data were not opened. The technical archive retains the exact audit identifiers.</w:t>
      </w:r>
    </w:p>
    <w:p>
      <w:pPr>
        <w:spacing w:after="160" w:line="276"/>
      </w:pPr>
      <w:r>
        <w:rPr>
          <w:sz w:val="22"/>
          <w:szCs w:val="22"/>
        </w:rPr>
        <w:t>One setting currently has a validated categorical interpretation: comparing two groups on a yes/no outcome with Fisher's exact test. A score of 58 or below is Fragile and a score above 58 is Not fragile; there is no Robust tier. This mapping applies only within its validated profile (roughly 25-200 patients per arm, arms of similar size, and a control-arm event rate between 8% and 55% with at least three events and three non-events) and only under the specific weighting used by the calibration study. Outside that profile, or under the package's default weighting, the numeric breakdown is still reported but the label is left blank.</w:t>
      </w:r>
    </w:p>
    <w:p>
      <w:pPr>
        <w:spacing w:after="160" w:line="276"/>
      </w:pPr>
      <w:r>
        <w:rPr>
          <w:b/>
          <w:bCs/>
          <w:sz w:val="22"/>
          <w:szCs w:val="22"/>
        </w:rPr>
        <w:t xml:space="preserve">Welch categorical labels are suppressed; numeric scores and component metrics remain available. </w:t>
      </w:r>
      <w:r>
        <w:rPr>
          <w:sz w:val="22"/>
          <w:szCs w:val="22"/>
        </w:rPr>
        <w:t>The same rule applies to adjusted comparisons, survival analyses, binary-outcome trials outside the validated Fisher profile, and equivalence testing. In plain language, stabilitest still shows the measurements but leaves the categorical label blank when no validated reference range exists. This deliberate fail-closed behaviour avoids presenting an invented diagnosis.</w:t>
      </w:r>
    </w:p>
    <w:p>
      <w:pPr>
        <w:pStyle w:val="Heading1"/>
        <w:spacing w:after="160" w:before="320"/>
      </w:pPr>
      <w:r>
        <w:rPr>
          <w:b/>
          <w:bCs/>
          <w:color w:val="1F4E5F"/>
          <w:sz w:val="28"/>
          <w:szCs w:val="28"/>
        </w:rPr>
        <w:t xml:space="preserve">5. A worked example: the chronic pain trial</w:t>
      </w:r>
    </w:p>
    <w:p>
      <w:pPr>
        <w:spacing w:after="160" w:line="276"/>
      </w:pPr>
      <w:r>
        <w:rPr>
          <w:sz w:val="22"/>
          <w:szCs w:val="22"/>
        </w:rPr>
        <w:t xml:space="preserve">The package ships with a fully reproducible example: a phase II randomized trial of an analgesic versus placebo in chronic pain, 55 patients, primary endpoint change in pain score (0-100 scale) at week 12. Patients on treatment improved by 19.8 points on average versus 8.4 on placebo - a difference of 11.4 points, p = 0.0018.</w:t>
      </w:r>
    </w:p>
    <w:p>
      <w:pPr>
        <w:spacing w:after="160" w:line="276"/>
      </w:pPr>
      <w:r>
        <w:rPr>
          <w:sz w:val="22"/>
          <w:szCs w:val="22"/>
        </w:rPr>
        <w:t>The robustness analysis returns a numeric score of 72.5. No categorical Welch verdict is emitted. The score is built from:</w:t>
      </w:r>
    </w:p>
    <w:p>
      <w:pPr>
        <w:pStyle w:val="ListParagraph"/>
        <w:numPr>
          <w:ilvl w:val="0"/>
          <w:numId w:val="2"/>
        </w:numPr>
        <w:spacing w:after="100" w:line="276"/>
      </w:pPr>
      <w:r>
        <w:rPr>
          <w:b/>
          <w:bCs/>
          <w:sz w:val="22"/>
          <w:szCs w:val="22"/>
        </w:rPr>
        <w:t xml:space="preserve">Leave-one-out: </w:t>
      </w:r>
      <w:r>
        <w:rPr>
          <w:sz w:val="22"/>
          <w:szCs w:val="22"/>
        </w:rPr>
        <w:t xml:space="preserve">the verdict survived all 55 single-patient removals; the p-value never rose above 0.0034.</w:t>
      </w:r>
    </w:p>
    <w:p>
      <w:pPr>
        <w:pStyle w:val="ListParagraph"/>
        <w:numPr>
          <w:ilvl w:val="0"/>
          <w:numId w:val="2"/>
        </w:numPr>
        <w:spacing w:after="100" w:line="276"/>
      </w:pPr>
      <w:r>
        <w:rPr>
          <w:b/>
          <w:bCs/>
          <w:sz w:val="22"/>
          <w:szCs w:val="22"/>
        </w:rPr>
        <w:t xml:space="preserve">Determined skeptic: </w:t>
      </w:r>
      <w:r>
        <w:rPr>
          <w:sz w:val="22"/>
          <w:szCs w:val="22"/>
        </w:rPr>
        <w:t>6 patients (11% of the sample) had to be removed before significance was lost (p rising step by step from 0.0018 to 0.060). This is useful descriptive context for reviewing the result and the named patients, but it is not a validated diagnosis of whether the treatment effect is genuine.</w:t>
      </w:r>
    </w:p>
    <w:p>
      <w:pPr>
        <w:pStyle w:val="ListParagraph"/>
        <w:numPr>
          <w:ilvl w:val="0"/>
          <w:numId w:val="2"/>
        </w:numPr>
        <w:spacing w:after="100" w:line="276"/>
      </w:pPr>
      <w:r>
        <w:rPr>
          <w:b/>
          <w:bCs/>
          <w:sz w:val="22"/>
          <w:szCs w:val="22"/>
        </w:rPr>
        <w:t>Bootstrap same-decision rate: 92% of observed-data resamples preserved the conclusion.</w:t>
      </w:r>
      <w:r>
        <w:rPr>
          <w:sz w:val="22"/>
          <w:szCs w:val="22"/>
        </w:rPr>
      </w:r>
    </w:p>
    <w:p>
      <w:pPr>
        <w:spacing w:after="160" w:line="276"/>
      </w:pPr>
      <w:r>
        <w:rPr>
          <w:sz w:val="22"/>
          <w:szCs w:val="22"/>
        </w:rPr>
        <w:t>What does a clinician do with this? The six named patients - led by one extreme responder whose pain fell by 52 points - deserve source-data review: protocol adherence, concomitant medication, and transcription errors. A supplementary rank-based analysis, which is less influenced by extreme values, is also sensible. The useful result is the component profile and the list of charts to review, not an unsupported Robust label.</w:t>
      </w:r>
    </w:p>
    <w:p>
      <w:pPr>
        <w:pStyle w:val="Heading1"/>
        <w:spacing w:after="160" w:before="320"/>
      </w:pPr>
      <w:r>
        <w:rPr>
          <w:b/>
          <w:bCs/>
          <w:color w:val="1F4E5F"/>
          <w:sz w:val="28"/>
          <w:szCs w:val="28"/>
        </w:rPr>
        <w:t>6. When validation honestly fails: Welch and adjusted analyses</w:t>
      </w:r>
    </w:p>
    <w:p>
      <w:pPr>
        <w:spacing w:after="160" w:line="276"/>
      </w:pPr>
      <w:r>
        <w:rPr>
          <w:sz w:val="22"/>
          <w:szCs w:val="22"/>
        </w:rPr>
        <w:t>The prospective Welch study, version welch-2026-2, ended at training with no_feasible_thresholds. It completed 4,500 significant training analyses, but no proposed cutoff was both safe against false reassurance and useful for identifying clear effects. Because no candidate met the pre-specified requirements, the held-out validation data were not opened. A second prospective study with deliberately relaxed requirements (version welch-2026-3) found a single cutoff in training, but a simple rule based on the p-value alone did as well on the same data, so the study closed without a label. Welch categorical labels are suppressed in both cases; the held-out validation data were not opened.</w:t>
      </w:r>
    </w:p>
    <w:p>
      <w:pPr>
        <w:spacing w:after="160" w:line="276"/>
      </w:pPr>
      <w:r>
        <w:rPr>
          <w:sz w:val="22"/>
          <w:szCs w:val="22"/>
        </w:rPr>
        <w:t>The earlier 55/70 Welch bands therefore remain historical exploratory markers, not clinical reference ranges. In prospective training they would have reassured 45.8% of null results and identified only 49.9% of clear-effect results. The package did not loosen its requirements to make the bands pass; it kept the numeric output and left the Welch label blank.</w:t>
      </w:r>
    </w:p>
    <w:p>
      <w:pPr>
        <w:spacing w:after="160" w:line="276"/>
      </w:pPr>
      <w:r>
        <w:rPr>
          <w:sz w:val="22"/>
          <w:szCs w:val="22"/>
        </w:rPr>
        <w:t>Adjusted analyses tell a similar story. Two pre-registered ANCOVA training studies found no cutoff that met the frozen error requirements, so both stopped before held-out validation. ANCOVA analyses still return numeric scores and stress-test details, but their categorical label is blank. For a physician, that silence is preferable to an invented reference range.</w:t>
      </w:r>
    </w:p>
    <w:p>
      <w:pPr>
        <w:spacing w:after="160" w:line="276"/>
      </w:pPr>
      <w:r>
        <w:rPr>
          <w:sz w:val="22"/>
          <w:szCs w:val="22"/>
        </w:rPr>
        <w:t>A later pre-registered ANCOVA study asked whether the score could detect assumption violations better than the p-value alone. The added discrimination was statistically indistinguishable from zero. Across these negative studies, the original requirements were not weakened and numeric outputs were retained. This is what fail-closed means in practice: useful measurements remain visible, while an unsupported categorical diagnosis does not.</w:t>
      </w:r>
    </w:p>
    <w:p>
      <w:pPr>
        <w:pStyle w:val="Heading1"/>
        <w:spacing w:after="160" w:before="320"/>
      </w:pPr>
      <w:r>
        <w:rPr>
          <w:b/>
          <w:bCs/>
          <w:color w:val="1F4E5F"/>
          <w:sz w:val="28"/>
          <w:szCs w:val="28"/>
        </w:rPr>
        <w:t xml:space="preserve">7. Reading a trial with robustness eyes: a short checklist</w:t>
      </w:r>
    </w:p>
    <w:p>
      <w:pPr>
        <w:pStyle w:val="ListParagraph"/>
        <w:numPr>
          <w:ilvl w:val="0"/>
          <w:numId w:val="2"/>
        </w:numPr>
        <w:spacing w:after="100" w:line="276"/>
      </w:pPr>
      <w:r>
        <w:rPr>
          <w:sz w:val="22"/>
          <w:szCs w:val="22"/>
        </w:rPr>
        <w:t>How many patients would a determined skeptic need to remove to overturn the finding? If fewer than about 5% of the sample, treat that as a prompt for careful clinical and data-quality review, not as a validated diagnostic cutoff.</w:t>
      </w:r>
    </w:p>
    <w:p>
      <w:pPr>
        <w:pStyle w:val="ListParagraph"/>
        <w:numPr>
          <w:ilvl w:val="0"/>
          <w:numId w:val="2"/>
        </w:numPr>
        <w:spacing w:after="100" w:line="276"/>
      </w:pPr>
      <w:r>
        <w:rPr>
          <w:sz w:val="22"/>
          <w:szCs w:val="22"/>
        </w:rPr>
        <w:t xml:space="preserve">Were those specific patients reviewed clinically (data quality, protocol deviations), or only counted?</w:t>
      </w:r>
    </w:p>
    <w:p>
      <w:pPr>
        <w:pStyle w:val="ListParagraph"/>
        <w:numPr>
          <w:ilvl w:val="0"/>
          <w:numId w:val="2"/>
        </w:numPr>
        <w:spacing w:after="100" w:line="276"/>
      </w:pPr>
      <w:r>
        <w:rPr>
          <w:sz w:val="22"/>
          <w:szCs w:val="22"/>
        </w:rPr>
        <w:t xml:space="preserve">Does the p-value sit on a knife edge (0.049) or with a comfortable margin - and was its trajectory under removal shown?</w:t>
      </w:r>
    </w:p>
    <w:p>
      <w:pPr>
        <w:pStyle w:val="ListParagraph"/>
        <w:numPr>
          <w:ilvl w:val="0"/>
          <w:numId w:val="2"/>
        </w:numPr>
        <w:spacing w:after="100" w:line="276"/>
      </w:pPr>
      <w:r>
        <w:rPr>
          <w:sz w:val="22"/>
          <w:szCs w:val="22"/>
        </w:rPr>
        <w:t xml:space="preserve">Was the robustness assessment pre-specified in the statistical analysis plan, or added after the results were known?</w:t>
      </w:r>
    </w:p>
    <w:p>
      <w:pPr>
        <w:pStyle w:val="ListParagraph"/>
        <w:numPr>
          <w:ilvl w:val="0"/>
          <w:numId w:val="2"/>
        </w:numPr>
        <w:spacing w:after="100" w:line="276"/>
      </w:pPr>
      <w:r>
        <w:rPr>
          <w:sz w:val="22"/>
          <w:szCs w:val="22"/>
        </w:rPr>
        <w:t>If a categorical label is printed, was it validated for this exact analysis type, profile, and weighting? If the label is blank, use the numeric components rather than borrowing a reference range from another method.</w:t>
      </w:r>
    </w:p>
    <w:p>
      <w:pPr>
        <w:pStyle w:val="Heading1"/>
        <w:pageBreakBefore/>
        <w:spacing w:after="160" w:before="320"/>
      </w:pPr>
      <w:r>
        <w:rPr>
          <w:b/>
          <w:bCs/>
          <w:color w:val="1F4E5F"/>
          <w:sz w:val="28"/>
          <w:szCs w:val="28"/>
        </w:rPr>
        <w:t xml:space="preserve">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EAF1F4" w:val="clear"/>
            <w:tcMar>
              <w:top w:type="dxa" w:w="80"/>
              <w:left w:type="dxa" w:w="120"/>
              <w:bottom w:type="dxa" w:w="80"/>
              <w:right w:type="dxa" w:w="120"/>
            </w:tcMar>
          </w:tcPr>
          <w:p>
            <w:pPr>
              <w:jc w:val="left"/>
            </w:pPr>
            <w:r>
              <w:rPr>
                <w:b/>
                <w:bCs/>
                <w:sz w:val="20"/>
                <w:szCs w:val="20"/>
              </w:rPr>
              <w:t xml:space="preserve">Term</w:t>
            </w:r>
          </w:p>
        </w:tc>
        <w:tc>
          <w:tcPr>
            <w:tcW w:type="dxa" w:w="6526"/>
            <w:shd w:fill="EAF1F4" w:val="clear"/>
            <w:tcMar>
              <w:top w:type="dxa" w:w="80"/>
              <w:left w:type="dxa" w:w="120"/>
              <w:bottom w:type="dxa" w:w="80"/>
              <w:right w:type="dxa" w:w="120"/>
            </w:tcMar>
          </w:tcPr>
          <w:p>
            <w:pPr>
              <w:jc w:val="left"/>
            </w:pPr>
            <w:r>
              <w:rPr>
                <w:b/>
                <w:bCs/>
                <w:sz w:val="20"/>
                <w:szCs w:val="20"/>
              </w:rPr>
              <w:t xml:space="preserve">Plain meaning</w:t>
            </w:r>
          </w:p>
        </w:tc>
      </w:tr>
      <w:tr>
        <w:tc>
          <w:tcPr>
            <w:tcW w:type="dxa" w:w="2500"/>
            <w:tcMar>
              <w:top w:type="dxa" w:w="80"/>
              <w:left w:type="dxa" w:w="120"/>
              <w:bottom w:type="dxa" w:w="80"/>
              <w:right w:type="dxa" w:w="120"/>
            </w:tcMar>
          </w:tcPr>
          <w:p>
            <w:pPr>
              <w:jc w:val="left"/>
            </w:pPr>
            <w:r>
              <w:rPr>
                <w:b/>
                <w:bCs/>
                <w:sz w:val="20"/>
                <w:szCs w:val="20"/>
              </w:rPr>
              <w:t xml:space="preserve">p-value</w:t>
            </w:r>
          </w:p>
        </w:tc>
        <w:tc>
          <w:tcPr>
            <w:tcW w:type="dxa" w:w="6526"/>
            <w:tcMar>
              <w:top w:type="dxa" w:w="80"/>
              <w:left w:type="dxa" w:w="120"/>
              <w:bottom w:type="dxa" w:w="80"/>
              <w:right w:type="dxa" w:w="120"/>
            </w:tcMar>
          </w:tcPr>
          <w:p>
            <w:pPr>
              <w:jc w:val="left"/>
            </w:pPr>
            <w:r>
              <w:rPr>
                <w:b w:val="false"/>
                <w:bCs w:val="false"/>
                <w:sz w:val="20"/>
                <w:szCs w:val="20"/>
              </w:rPr>
              <w:t xml:space="preserve">How surprising the observed data would be if the treatment truly had no effect. It measures surprise, not sturdiness.</w:t>
            </w:r>
          </w:p>
        </w:tc>
      </w:tr>
      <w:tr>
        <w:tc>
          <w:tcPr>
            <w:tcW w:type="dxa" w:w="2500"/>
            <w:tcMar>
              <w:top w:type="dxa" w:w="80"/>
              <w:left w:type="dxa" w:w="120"/>
              <w:bottom w:type="dxa" w:w="80"/>
              <w:right w:type="dxa" w:w="120"/>
            </w:tcMar>
          </w:tcPr>
          <w:p>
            <w:pPr>
              <w:jc w:val="left"/>
            </w:pPr>
            <w:r>
              <w:rPr>
                <w:b/>
                <w:bCs/>
                <w:sz w:val="20"/>
                <w:szCs w:val="20"/>
              </w:rPr>
              <w:t xml:space="preserve">Statistical significance</w:t>
            </w:r>
          </w:p>
        </w:tc>
        <w:tc>
          <w:tcPr>
            <w:tcW w:type="dxa" w:w="6526"/>
            <w:tcMar>
              <w:top w:type="dxa" w:w="80"/>
              <w:left w:type="dxa" w:w="120"/>
              <w:bottom w:type="dxa" w:w="80"/>
              <w:right w:type="dxa" w:w="120"/>
            </w:tcMar>
          </w:tcPr>
          <w:p>
            <w:pPr>
              <w:jc w:val="left"/>
            </w:pPr>
            <w:r>
              <w:rPr>
                <w:b w:val="false"/>
                <w:bCs w:val="false"/>
                <w:sz w:val="20"/>
                <w:szCs w:val="20"/>
              </w:rPr>
              <w:t xml:space="preserve">The convention of calling a result positive when p is below 0.05.</w:t>
            </w:r>
          </w:p>
        </w:tc>
      </w:tr>
      <w:tr>
        <w:tc>
          <w:tcPr>
            <w:tcW w:type="dxa" w:w="2500"/>
            <w:tcMar>
              <w:top w:type="dxa" w:w="80"/>
              <w:left w:type="dxa" w:w="120"/>
              <w:bottom w:type="dxa" w:w="80"/>
              <w:right w:type="dxa" w:w="120"/>
            </w:tcMar>
          </w:tcPr>
          <w:p>
            <w:pPr>
              <w:jc w:val="left"/>
            </w:pPr>
            <w:r>
              <w:rPr>
                <w:b/>
                <w:bCs/>
                <w:sz w:val="20"/>
                <w:szCs w:val="20"/>
              </w:rPr>
              <w:t xml:space="preserve">Jackknife (leave-one-out)</w:t>
            </w:r>
          </w:p>
        </w:tc>
        <w:tc>
          <w:tcPr>
            <w:tcW w:type="dxa" w:w="6526"/>
            <w:tcMar>
              <w:top w:type="dxa" w:w="80"/>
              <w:left w:type="dxa" w:w="120"/>
              <w:bottom w:type="dxa" w:w="80"/>
              <w:right w:type="dxa" w:w="120"/>
            </w:tcMar>
          </w:tcPr>
          <w:p>
            <w:pPr>
              <w:jc w:val="left"/>
            </w:pPr>
            <w:r>
              <w:rPr>
                <w:b w:val="false"/>
                <w:bCs w:val="false"/>
                <w:sz w:val="20"/>
                <w:szCs w:val="20"/>
              </w:rPr>
              <w:t xml:space="preserve">Rerunning the analysis once per patient, each time with that one patient removed.</w:t>
            </w:r>
          </w:p>
        </w:tc>
      </w:tr>
      <w:tr>
        <w:tc>
          <w:tcPr>
            <w:tcW w:type="dxa" w:w="2500"/>
            <w:tcMar>
              <w:top w:type="dxa" w:w="80"/>
              <w:left w:type="dxa" w:w="120"/>
              <w:bottom w:type="dxa" w:w="80"/>
              <w:right w:type="dxa" w:w="120"/>
            </w:tcMar>
          </w:tcPr>
          <w:p>
            <w:pPr>
              <w:jc w:val="left"/>
            </w:pPr>
            <w:r>
              <w:rPr>
                <w:b/>
                <w:bCs/>
                <w:sz w:val="20"/>
                <w:szCs w:val="20"/>
              </w:rPr>
              <w:t xml:space="preserve">Removal fragility index</w:t>
            </w:r>
          </w:p>
        </w:tc>
        <w:tc>
          <w:tcPr>
            <w:tcW w:type="dxa" w:w="6526"/>
            <w:tcMar>
              <w:top w:type="dxa" w:w="80"/>
              <w:left w:type="dxa" w:w="120"/>
              <w:bottom w:type="dxa" w:w="80"/>
              <w:right w:type="dxa" w:w="120"/>
            </w:tcMar>
          </w:tcPr>
          <w:p>
            <w:pPr>
              <w:jc w:val="left"/>
            </w:pPr>
            <w:r>
              <w:rPr>
                <w:b w:val="false"/>
                <w:bCs w:val="false"/>
                <w:sz w:val="20"/>
                <w:szCs w:val="20"/>
              </w:rPr>
              <w:t>The smallest number of patients found whose removal makes the result lose significance. Small values prompt review; they are not a diagnosis of a chance finding.</w:t>
            </w:r>
          </w:p>
        </w:tc>
      </w:tr>
      <w:tr>
        <w:tc>
          <w:tcPr>
            <w:tcW w:type="dxa" w:w="2500"/>
            <w:tcMar>
              <w:top w:type="dxa" w:w="80"/>
              <w:left w:type="dxa" w:w="120"/>
              <w:bottom w:type="dxa" w:w="80"/>
              <w:right w:type="dxa" w:w="120"/>
            </w:tcMar>
          </w:tcPr>
          <w:p>
            <w:pPr>
              <w:jc w:val="left"/>
            </w:pPr>
            <w:r>
              <w:rPr>
                <w:b/>
                <w:bCs/>
                <w:sz w:val="20"/>
                <w:szCs w:val="20"/>
              </w:rPr>
              <w:t xml:space="preserve">Worst-case (adversarial) removal</w:t>
            </w:r>
          </w:p>
        </w:tc>
        <w:tc>
          <w:tcPr>
            <w:tcW w:type="dxa" w:w="6526"/>
            <w:tcMar>
              <w:top w:type="dxa" w:w="80"/>
              <w:left w:type="dxa" w:w="120"/>
              <w:bottom w:type="dxa" w:w="80"/>
              <w:right w:type="dxa" w:w="120"/>
            </w:tcMar>
          </w:tcPr>
          <w:p>
            <w:pPr>
              <w:jc w:val="left"/>
            </w:pPr>
            <w:r>
              <w:rPr>
                <w:b w:val="false"/>
                <w:bCs w:val="false"/>
                <w:sz w:val="20"/>
                <w:szCs w:val="20"/>
              </w:rPr>
              <w:t xml:space="preserve">Removing, at each step, the patient whose loss damages the result most. Much stricter than removing obvious outliers.</w:t>
            </w:r>
          </w:p>
        </w:tc>
      </w:tr>
      <w:tr>
        <w:tc>
          <w:tcPr>
            <w:tcW w:type="dxa" w:w="2500"/>
            <w:tcMar>
              <w:top w:type="dxa" w:w="80"/>
              <w:left w:type="dxa" w:w="120"/>
              <w:bottom w:type="dxa" w:w="80"/>
              <w:right w:type="dxa" w:w="120"/>
            </w:tcMar>
          </w:tcPr>
          <w:p>
            <w:pPr>
              <w:jc w:val="left"/>
            </w:pPr>
            <w:r>
              <w:rPr>
                <w:b/>
                <w:bCs/>
                <w:sz w:val="20"/>
                <w:szCs w:val="20"/>
              </w:rPr>
              <w:t xml:space="preserve">Bootstrap</w:t>
            </w:r>
          </w:p>
        </w:tc>
        <w:tc>
          <w:tcPr>
            <w:tcW w:type="dxa" w:w="6526"/>
            <w:tcMar>
              <w:top w:type="dxa" w:w="80"/>
              <w:left w:type="dxa" w:w="120"/>
              <w:bottom w:type="dxa" w:w="80"/>
              <w:right w:type="dxa" w:w="120"/>
            </w:tcMar>
          </w:tcPr>
          <w:p>
            <w:pPr>
              <w:jc w:val="left"/>
            </w:pPr>
            <w:r>
              <w:rPr>
                <w:b w:val="false"/>
                <w:bCs w:val="false"/>
                <w:sz w:val="20"/>
                <w:szCs w:val="20"/>
              </w:rPr>
              <w:t>Repeatedly resampling the observed patients and rerunning the analysis.</w:t>
            </w:r>
          </w:p>
        </w:tc>
      </w:tr>
      <w:tr>
        <w:tc>
          <w:tcPr>
            <w:tcW w:type="dxa" w:w="2500"/>
            <w:tcMar>
              <w:top w:type="dxa" w:w="80"/>
              <w:left w:type="dxa" w:w="120"/>
              <w:bottom w:type="dxa" w:w="80"/>
              <w:right w:type="dxa" w:w="120"/>
            </w:tcMar>
          </w:tcPr>
          <w:p>
            <w:pPr>
              <w:jc w:val="left"/>
            </w:pPr>
            <w:r>
              <w:rPr>
                <w:b/>
                <w:bCs/>
                <w:sz w:val="20"/>
                <w:szCs w:val="20"/>
              </w:rPr>
              <w:t>Bootstrap same-decision rate</w:t>
            </w:r>
          </w:p>
        </w:tc>
        <w:tc>
          <w:tcPr>
            <w:tcW w:type="dxa" w:w="6526"/>
            <w:tcMar>
              <w:top w:type="dxa" w:w="80"/>
              <w:left w:type="dxa" w:w="120"/>
              <w:bottom w:type="dxa" w:w="80"/>
              <w:right w:type="dxa" w:w="120"/>
            </w:tcMar>
          </w:tcPr>
          <w:p>
            <w:pPr>
              <w:jc w:val="left"/>
            </w:pPr>
            <w:r>
              <w:rPr>
                <w:b w:val="false"/>
                <w:bCs w:val="false"/>
                <w:sz w:val="20"/>
                <w:szCs w:val="20"/>
              </w:rPr>
              <w:t>The share of observed-data resamples that preserve the original significance decision; not a future-trial replication probability.</w:t>
            </w:r>
          </w:p>
        </w:tc>
      </w:tr>
      <w:tr>
        <w:tc>
          <w:tcPr>
            <w:tcW w:type="dxa" w:w="2500"/>
            <w:tcMar>
              <w:top w:type="dxa" w:w="80"/>
              <w:left w:type="dxa" w:w="120"/>
              <w:bottom w:type="dxa" w:w="80"/>
              <w:right w:type="dxa" w:w="120"/>
            </w:tcMar>
          </w:tcPr>
          <w:p>
            <w:pPr>
              <w:jc w:val="left"/>
            </w:pPr>
            <w:r>
              <w:rPr>
                <w:b/>
                <w:bCs/>
                <w:sz w:val="20"/>
                <w:szCs w:val="20"/>
              </w:rPr>
              <w:t xml:space="preserve">Composite robustness score</w:t>
            </w:r>
          </w:p>
        </w:tc>
        <w:tc>
          <w:tcPr>
            <w:tcW w:type="dxa" w:w="6526"/>
            <w:tcMar>
              <w:top w:type="dxa" w:w="80"/>
              <w:left w:type="dxa" w:w="120"/>
              <w:bottom w:type="dxa" w:w="80"/>
              <w:right w:type="dxa" w:w="120"/>
            </w:tcMar>
          </w:tcPr>
          <w:p>
            <w:pPr>
              <w:jc w:val="left"/>
            </w:pPr>
            <w:r>
              <w:rPr>
                <w:b w:val="false"/>
                <w:bCs w:val="false"/>
                <w:sz w:val="20"/>
                <w:szCs w:val="20"/>
              </w:rPr>
              <w:t>A 0-100 summary combining the three stress tests (default emphasis: fragility and leave-one-out 40% each, bootstrap same-decision rate 20%).</w:t>
            </w:r>
          </w:p>
        </w:tc>
      </w:tr>
      <w:tr>
        <w:tc>
          <w:tcPr>
            <w:tcW w:type="dxa" w:w="2500"/>
            <w:tcMar>
              <w:top w:type="dxa" w:w="80"/>
              <w:left w:type="dxa" w:w="120"/>
              <w:bottom w:type="dxa" w:w="80"/>
              <w:right w:type="dxa" w:w="120"/>
            </w:tcMar>
          </w:tcPr>
          <w:p>
            <w:pPr>
              <w:jc w:val="left"/>
            </w:pPr>
            <w:r>
              <w:rPr>
                <w:b/>
                <w:bCs/>
                <w:sz w:val="20"/>
                <w:szCs w:val="20"/>
              </w:rPr>
              <w:t xml:space="preserve">Calibration (reference ranges)</w:t>
            </w:r>
          </w:p>
        </w:tc>
        <w:tc>
          <w:tcPr>
            <w:tcW w:type="dxa" w:w="6526"/>
            <w:tcMar>
              <w:top w:type="dxa" w:w="80"/>
              <w:left w:type="dxa" w:w="120"/>
              <w:bottom w:type="dxa" w:w="80"/>
              <w:right w:type="dxa" w:w="120"/>
            </w:tcMar>
          </w:tcPr>
          <w:p>
            <w:pPr>
              <w:jc w:val="left"/>
            </w:pPr>
            <w:r>
              <w:rPr>
                <w:b w:val="false"/>
                <w:bCs w:val="false"/>
                <w:sz w:val="20"/>
                <w:szCs w:val="20"/>
              </w:rPr>
              <w:t>Studies using simulated trials with known truth to test whether proposed score cutoffs are safe and useful before categorical labels are allowed.</w:t>
            </w:r>
          </w:p>
        </w:tc>
      </w:tr>
      <w:tr>
        <w:tc>
          <w:tcPr>
            <w:tcW w:type="dxa" w:w="2500"/>
            <w:tcMar>
              <w:top w:type="dxa" w:w="80"/>
              <w:left w:type="dxa" w:w="120"/>
              <w:bottom w:type="dxa" w:w="80"/>
              <w:right w:type="dxa" w:w="120"/>
            </w:tcMar>
          </w:tcPr>
          <w:p>
            <w:pPr>
              <w:jc w:val="left"/>
            </w:pPr>
            <w:r>
              <w:rPr>
                <w:b/>
                <w:bCs/>
                <w:sz w:val="20"/>
                <w:szCs w:val="20"/>
              </w:rPr>
              <w:t xml:space="preserve">Fisher's exact test</w:t>
            </w:r>
          </w:p>
        </w:tc>
        <w:tc>
          <w:tcPr>
            <w:tcW w:type="dxa" w:w="6526"/>
            <w:tcMar>
              <w:top w:type="dxa" w:w="80"/>
              <w:left w:type="dxa" w:w="120"/>
              <w:bottom w:type="dxa" w:w="80"/>
              <w:right w:type="dxa" w:w="120"/>
            </w:tcMar>
          </w:tcPr>
          <w:p>
            <w:pPr>
              <w:jc w:val="left"/>
            </w:pPr>
            <w:r>
              <w:rPr>
                <w:b w:val="false"/>
                <w:bCs w:val="false"/>
                <w:sz w:val="20"/>
                <w:szCs w:val="20"/>
              </w:rPr>
              <w:t>A test comparing two groups on a yes/no outcome. It is the only current setting with a validated categorical label - Fragile or Not fragile - within its calibrated profile (Section 4).</w:t>
            </w:r>
          </w:p>
        </w:tc>
      </w:tr>
      <w:tr>
        <w:tc>
          <w:tcPr>
            <w:tcW w:type="dxa" w:w="2500"/>
            <w:tcMar>
              <w:top w:type="dxa" w:w="80"/>
              <w:left w:type="dxa" w:w="120"/>
              <w:bottom w:type="dxa" w:w="80"/>
              <w:right w:type="dxa" w:w="120"/>
            </w:tcMar>
          </w:tcPr>
          <w:p>
            <w:pPr>
              <w:jc w:val="left"/>
            </w:pPr>
            <w:r>
              <w:rPr>
                <w:b/>
                <w:bCs/>
                <w:sz w:val="20"/>
                <w:szCs w:val="20"/>
              </w:rPr>
              <w:t xml:space="preserve">Fail-closed</w:t>
            </w:r>
          </w:p>
        </w:tc>
        <w:tc>
          <w:tcPr>
            <w:tcW w:type="dxa" w:w="6526"/>
            <w:tcMar>
              <w:top w:type="dxa" w:w="80"/>
              <w:left w:type="dxa" w:w="120"/>
              <w:bottom w:type="dxa" w:w="80"/>
              <w:right w:type="dxa" w:w="120"/>
            </w:tcMar>
          </w:tcPr>
          <w:p>
            <w:pPr>
              <w:jc w:val="left"/>
            </w:pPr>
            <w:r>
              <w:rPr>
                <w:b w:val="false"/>
                <w:bCs w:val="false"/>
                <w:sz w:val="20"/>
                <w:szCs w:val="20"/>
              </w:rPr>
              <w:t>The design principle that numeric results remain visible but the categorical label is left blank unless cutoffs were validated for that exact analysis type.</w:t>
            </w:r>
          </w:p>
        </w:tc>
      </w:tr>
      <w:tr>
        <w:tc>
          <w:tcPr>
            <w:tcW w:type="dxa" w:w="2500"/>
            <w:tcMar>
              <w:top w:type="dxa" w:w="80"/>
              <w:left w:type="dxa" w:w="120"/>
              <w:bottom w:type="dxa" w:w="80"/>
              <w:right w:type="dxa" w:w="120"/>
            </w:tcMar>
          </w:tcPr>
          <w:p>
            <w:pPr>
              <w:jc w:val="left"/>
            </w:pPr>
            <w:r>
              <w:rPr>
                <w:b/>
                <w:bCs/>
                <w:sz w:val="20"/>
                <w:szCs w:val="20"/>
              </w:rPr>
              <w:t xml:space="preserve">ANCOVA</w:t>
            </w:r>
          </w:p>
        </w:tc>
        <w:tc>
          <w:tcPr>
            <w:tcW w:type="dxa" w:w="6526"/>
            <w:tcMar>
              <w:top w:type="dxa" w:w="80"/>
              <w:left w:type="dxa" w:w="120"/>
              <w:bottom w:type="dxa" w:w="80"/>
              <w:right w:type="dxa" w:w="120"/>
            </w:tcMar>
          </w:tcPr>
          <w:p>
            <w:pPr>
              <w:jc w:val="left"/>
            </w:pPr>
            <w:r>
              <w:rPr>
                <w:b w:val="false"/>
                <w:bCs w:val="false"/>
                <w:sz w:val="20"/>
                <w:szCs w:val="20"/>
              </w:rPr>
              <w:t xml:space="preserve">A common adjusted analysis: comparing treatment groups while accounting for each patient's baseline value.</w:t>
            </w:r>
          </w:p>
        </w:tc>
      </w:tr>
      <w:tr>
        <w:tc>
          <w:tcPr>
            <w:tcW w:type="dxa" w:w="2500"/>
            <w:tcMar>
              <w:top w:type="dxa" w:w="80"/>
              <w:left w:type="dxa" w:w="120"/>
              <w:bottom w:type="dxa" w:w="80"/>
              <w:right w:type="dxa" w:w="120"/>
            </w:tcMar>
          </w:tcPr>
          <w:p>
            <w:pPr>
              <w:jc w:val="left"/>
            </w:pPr>
            <w:r>
              <w:rPr>
                <w:b/>
                <w:bCs/>
                <w:sz w:val="20"/>
                <w:szCs w:val="20"/>
              </w:rPr>
              <w:t xml:space="preserve">SAP</w:t>
            </w:r>
          </w:p>
        </w:tc>
        <w:tc>
          <w:tcPr>
            <w:tcW w:type="dxa" w:w="6526"/>
            <w:tcMar>
              <w:top w:type="dxa" w:w="80"/>
              <w:left w:type="dxa" w:w="120"/>
              <w:bottom w:type="dxa" w:w="80"/>
              <w:right w:type="dxa" w:w="120"/>
            </w:tcMar>
          </w:tcPr>
          <w:p>
            <w:pPr>
              <w:jc w:val="left"/>
            </w:pPr>
            <w:r>
              <w:rPr>
                <w:b w:val="false"/>
                <w:bCs w:val="false"/>
                <w:sz w:val="20"/>
                <w:szCs w:val="20"/>
              </w:rPr>
              <w:t xml:space="preserve">Statistical analysis plan - the pre-specified description of how a trial will be analysed.</w:t>
            </w:r>
          </w:p>
        </w:tc>
      </w:tr>
    </w:tbl>
    <w:p>
      <w:pPr>
        <w:spacing w:after="120"/>
      </w:pPr>
      <w:r>
        <w:rPr>
          <w:sz w:val="22"/>
          <w:szCs w:val="22"/>
        </w:rPr>
        <w:t xml:space="preserve"/>
      </w:r>
    </w:p>
    <w:p>
      <w:pPr>
        <w:pBdr>
          <w:top w:val="single" w:color="999999" w:sz="6"/>
        </w:pBdr>
        <w:spacing w:before="200"/>
      </w:pPr>
      <w:r>
        <w:rPr>
          <w:i/>
          <w:iCs/>
          <w:color w:val="666666"/>
          <w:sz w:val="18"/>
          <w:szCs w:val="18"/>
        </w:rPr>
        <w:t xml:space="preserve">Prepared as a plain-language companion to the stabilitest R package, version 0.6.0 (August 2026). The technical manuscript, simulation code, and pre-registered calibration materials are available in the package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2026-08-06T09:31:34.554Z</dcterms:created>
  <dcterms:modified xsi:type="dcterms:W3CDTF">2026-08-06T09:31:34.555Z</dcterms:modified>
</cp:coreProperties>
</file>

<file path=docProps/custom.xml><?xml version="1.0" encoding="utf-8"?>
<Properties xmlns="http://schemas.openxmlformats.org/officeDocument/2006/custom-properties" xmlns:vt="http://schemas.openxmlformats.org/officeDocument/2006/docPropsVTypes"/>
</file>