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right"/>
      </w:pPr>
      <w:r>
        <w:rPr>
          <w:rFonts w:ascii="Yu Gothic" w:hAnsi="Yu Gothic" w:eastAsia="Yu Gothic"/>
          <w:b/>
          <w:color w:val="C00000"/>
          <w:sz w:val="22"/>
        </w:rPr>
        <w:t>社外秘</w:t>
      </w:r>
    </w:p>
    <w:p/>
    <w:p>
      <w:pPr>
        <w:jc w:val="center"/>
      </w:pPr>
      <w:r>
        <w:rPr>
          <w:rFonts w:ascii="Yu Gothic" w:hAnsi="Yu Gothic" w:eastAsia="Yu Gothic"/>
          <w:sz w:val="28"/>
        </w:rPr>
        <w:t>WebSpec2Doc システム開発</w:t>
      </w:r>
    </w:p>
    <w:p>
      <w:pPr>
        <w:jc w:val="center"/>
      </w:pPr>
      <w:r>
        <w:rPr>
          <w:rFonts w:ascii="Yu Gothic" w:hAnsi="Yu Gothic" w:eastAsia="Yu Gothic"/>
          <w:b/>
          <w:sz w:val="52"/>
        </w:rPr>
        <w:t>受入テスト仕様書（UAT / L4）</w:t>
      </w:r>
    </w:p>
    <w:p/>
    <w:p>
      <w:pPr>
        <w:jc w:val="center"/>
      </w:pPr>
      <w:r>
        <w:rPr>
          <w:rFonts w:ascii="Yu Gothic" w:hAnsi="Yu Gothic" w:eastAsia="Yu Gothic"/>
          <w:color w:val="555555"/>
          <w:sz w:val="24"/>
        </w:rPr>
        <w:t>WS2D-AT-001</w:t>
      </w:r>
    </w:p>
    <w:p/>
    <w:p/>
    <w:p/>
    <w:p/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  <w:shd w:fill="D9E2F3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文書ID</w:t>
            </w:r>
          </w:p>
        </w:tc>
        <w:tc>
          <w:tcPr>
            <w:tcW w:type="dxa" w:w="4961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WS2D-AT-001</w:t>
            </w:r>
          </w:p>
        </w:tc>
      </w:tr>
      <w:tr>
        <w:tc>
          <w:tcPr>
            <w:tcW w:type="dxa" w:w="4961"/>
            <w:shd w:fill="D9E2F3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版数</w:t>
            </w:r>
          </w:p>
        </w:tc>
        <w:tc>
          <w:tcPr>
            <w:tcW w:type="dxa" w:w="4961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1.0</w:t>
            </w:r>
          </w:p>
        </w:tc>
      </w:tr>
      <w:tr>
        <w:tc>
          <w:tcPr>
            <w:tcW w:type="dxa" w:w="4961"/>
            <w:shd w:fill="D9E2F3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作成日</w:t>
            </w:r>
          </w:p>
        </w:tc>
        <w:tc>
          <w:tcPr>
            <w:tcW w:type="dxa" w:w="4961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2026-08-02</w:t>
            </w:r>
          </w:p>
        </w:tc>
      </w:tr>
      <w:tr>
        <w:tc>
          <w:tcPr>
            <w:tcW w:type="dxa" w:w="4961"/>
            <w:shd w:fill="D9E2F3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作成者</w:t>
            </w:r>
          </w:p>
        </w:tc>
        <w:tc>
          <w:tcPr>
            <w:tcW w:type="dxa" w:w="4961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開発チーム</w:t>
            </w:r>
          </w:p>
        </w:tc>
      </w:tr>
      <w:tr>
        <w:tc>
          <w:tcPr>
            <w:tcW w:type="dxa" w:w="4961"/>
            <w:shd w:fill="D9E2F3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機密区分</w:t>
            </w:r>
          </w:p>
        </w:tc>
        <w:tc>
          <w:tcPr>
            <w:tcW w:type="dxa" w:w="4961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社外秘</w:t>
            </w:r>
          </w:p>
        </w:tc>
      </w:tr>
      <w:tr>
        <w:tc>
          <w:tcPr>
            <w:tcW w:type="dxa" w:w="4961"/>
            <w:shd w:fill="D9E2F3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正本</w:t>
            </w:r>
          </w:p>
        </w:tc>
        <w:tc>
          <w:tcPr>
            <w:tcW w:type="dxa" w:w="4961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docs/sdlc/40_test/WS2D-AT-001_受入テスト仕様書.md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文書管理情報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  <w:shd w:fill="D9E2F3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文書名</w:t>
            </w:r>
          </w:p>
        </w:tc>
        <w:tc>
          <w:tcPr>
            <w:tcW w:type="dxa" w:w="4961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受入テスト仕様書（UAT / L4）</w:t>
            </w:r>
          </w:p>
        </w:tc>
      </w:tr>
      <w:tr>
        <w:tc>
          <w:tcPr>
            <w:tcW w:type="dxa" w:w="4961"/>
            <w:shd w:fill="D9E2F3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文書ID</w:t>
            </w:r>
          </w:p>
        </w:tc>
        <w:tc>
          <w:tcPr>
            <w:tcW w:type="dxa" w:w="4961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WS2D-AT-001</w:t>
            </w:r>
          </w:p>
        </w:tc>
      </w:tr>
      <w:tr>
        <w:tc>
          <w:tcPr>
            <w:tcW w:type="dxa" w:w="4961"/>
            <w:shd w:fill="D9E2F3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プロジェクト名</w:t>
            </w:r>
          </w:p>
        </w:tc>
        <w:tc>
          <w:tcPr>
            <w:tcW w:type="dxa" w:w="4961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WebSpec2Doc</w:t>
            </w:r>
          </w:p>
        </w:tc>
      </w:tr>
      <w:tr>
        <w:tc>
          <w:tcPr>
            <w:tcW w:type="dxa" w:w="4961"/>
            <w:shd w:fill="D9E2F3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配布先</w:t>
            </w:r>
          </w:p>
        </w:tc>
        <w:tc>
          <w:tcPr>
            <w:tcW w:type="dxa" w:w="4961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発注者、開発チーム、運用担当</w:t>
            </w:r>
          </w:p>
        </w:tc>
      </w:tr>
      <w:tr>
        <w:tc>
          <w:tcPr>
            <w:tcW w:type="dxa" w:w="4961"/>
            <w:shd w:fill="D9E2F3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保管場所</w:t>
            </w:r>
          </w:p>
        </w:tc>
        <w:tc>
          <w:tcPr>
            <w:tcW w:type="dxa" w:w="4961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リポジトリ docs/sdlc/ 配下</w:t>
            </w:r>
          </w:p>
        </w:tc>
      </w:tr>
      <w:tr>
        <w:tc>
          <w:tcPr>
            <w:tcW w:type="dxa" w:w="4961"/>
            <w:shd w:fill="D9E2F3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更新方法</w:t>
            </w:r>
          </w:p>
        </w:tc>
        <w:tc>
          <w:tcPr>
            <w:tcW w:type="dxa" w:w="4961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正本 Markdown を修正し scripts/build_delivery_docs.py で再生成</w:t>
            </w:r>
          </w:p>
        </w:tc>
      </w:tr>
    </w:tbl>
    <w:p/>
    <w:p>
      <w:pPr>
        <w:pStyle w:val="Heading1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承認欄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c>
          <w:tcPr>
            <w:tcW w:type="dxa" w:w="2480"/>
            <w:shd w:fill="D9E2F3"/>
          </w:tcPr>
          <w:p>
            <w:r>
              <w:rPr>
                <w:b/>
                <w:sz w:val="19"/>
              </w:rPr>
            </w:r>
            <w:r>
              <w:rPr>
                <w:rFonts w:ascii="Yu Gothic" w:hAnsi="Yu Gothic" w:eastAsia="Yu Gothic"/>
                <w:b/>
                <w:sz w:val="19"/>
              </w:rPr>
              <w:t>区分</w:t>
            </w:r>
          </w:p>
        </w:tc>
        <w:tc>
          <w:tcPr>
            <w:tcW w:type="dxa" w:w="2480"/>
            <w:shd w:fill="D9E2F3"/>
          </w:tcPr>
          <w:p>
            <w:r>
              <w:rPr>
                <w:b/>
                <w:sz w:val="19"/>
              </w:rPr>
            </w:r>
            <w:r>
              <w:rPr>
                <w:rFonts w:ascii="Yu Gothic" w:hAnsi="Yu Gothic" w:eastAsia="Yu Gothic"/>
                <w:b/>
                <w:sz w:val="19"/>
              </w:rPr>
              <w:t>氏名</w:t>
            </w:r>
          </w:p>
        </w:tc>
        <w:tc>
          <w:tcPr>
            <w:tcW w:type="dxa" w:w="2480"/>
            <w:shd w:fill="D9E2F3"/>
          </w:tcPr>
          <w:p>
            <w:r>
              <w:rPr>
                <w:b/>
                <w:sz w:val="19"/>
              </w:rPr>
            </w:r>
            <w:r>
              <w:rPr>
                <w:rFonts w:ascii="Yu Gothic" w:hAnsi="Yu Gothic" w:eastAsia="Yu Gothic"/>
                <w:b/>
                <w:sz w:val="19"/>
              </w:rPr>
              <w:t>承認日</w:t>
            </w:r>
          </w:p>
        </w:tc>
        <w:tc>
          <w:tcPr>
            <w:tcW w:type="dxa" w:w="2480"/>
            <w:shd w:fill="D9E2F3"/>
          </w:tcPr>
          <w:p>
            <w:r>
              <w:rPr>
                <w:b/>
                <w:sz w:val="19"/>
              </w:rPr>
            </w:r>
            <w:r>
              <w:rPr>
                <w:rFonts w:ascii="Yu Gothic" w:hAnsi="Yu Gothic" w:eastAsia="Yu Gothic"/>
                <w:b/>
                <w:sz w:val="19"/>
              </w:rPr>
              <w:t>備考</w:t>
            </w:r>
          </w:p>
        </w:tc>
      </w:tr>
      <w:tr>
        <w:tc>
          <w:tcPr>
            <w:tcW w:type="dxa" w:w="2480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作成</w:t>
            </w:r>
          </w:p>
        </w:tc>
        <w:tc>
          <w:tcPr>
            <w:tcW w:type="dxa" w:w="2480"/>
          </w:tcPr>
          <w:p>
            <w:r>
              <w:rPr>
                <w:sz w:val="19"/>
              </w:rPr>
            </w:r>
          </w:p>
        </w:tc>
        <w:tc>
          <w:tcPr>
            <w:tcW w:type="dxa" w:w="2480"/>
          </w:tcPr>
          <w:p>
            <w:r>
              <w:rPr>
                <w:sz w:val="19"/>
              </w:rPr>
            </w:r>
          </w:p>
        </w:tc>
        <w:tc>
          <w:tcPr>
            <w:tcW w:type="dxa" w:w="2480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480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査閲</w:t>
            </w:r>
          </w:p>
        </w:tc>
        <w:tc>
          <w:tcPr>
            <w:tcW w:type="dxa" w:w="2480"/>
          </w:tcPr>
          <w:p>
            <w:r>
              <w:rPr>
                <w:sz w:val="19"/>
              </w:rPr>
            </w:r>
          </w:p>
        </w:tc>
        <w:tc>
          <w:tcPr>
            <w:tcW w:type="dxa" w:w="2480"/>
          </w:tcPr>
          <w:p>
            <w:r>
              <w:rPr>
                <w:sz w:val="19"/>
              </w:rPr>
            </w:r>
          </w:p>
        </w:tc>
        <w:tc>
          <w:tcPr>
            <w:tcW w:type="dxa" w:w="2480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480"/>
            <w:shd w:fill="D9E2F3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承認</w:t>
            </w:r>
          </w:p>
        </w:tc>
        <w:tc>
          <w:tcPr>
            <w:tcW w:type="dxa" w:w="2480"/>
          </w:tcPr>
          <w:p>
            <w:r>
              <w:rPr>
                <w:sz w:val="19"/>
              </w:rPr>
            </w:r>
          </w:p>
        </w:tc>
        <w:tc>
          <w:tcPr>
            <w:tcW w:type="dxa" w:w="2480"/>
          </w:tcPr>
          <w:p>
            <w:r>
              <w:rPr>
                <w:sz w:val="19"/>
              </w:rPr>
            </w:r>
          </w:p>
        </w:tc>
        <w:tc>
          <w:tcPr>
            <w:tcW w:type="dxa" w:w="2480"/>
          </w:tcPr>
          <w:p>
            <w:r>
              <w:rPr>
                <w:sz w:val="19"/>
              </w:rPr>
            </w:r>
          </w:p>
        </w:tc>
      </w:tr>
    </w:tbl>
    <w:p>
      <w:r>
        <w:rPr>
          <w:rFonts w:ascii="Yu Gothic" w:hAnsi="Yu Gothic" w:eastAsia="Yu Gothic"/>
          <w:color w:val="777777"/>
          <w:sz w:val="18"/>
        </w:rPr>
        <w:t>※ 承認欄は納品時に記入する。</w:t>
      </w:r>
    </w:p>
    <w:p>
      <w:r>
        <w:br w:type="page"/>
      </w:r>
    </w:p>
    <w:p>
      <w:pPr>
        <w:pStyle w:val="Heading1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目次</w:t>
      </w:r>
    </w:p>
    <w:p>
      <w:r>
        <w:rPr>
          <w:rFonts w:ascii="Yu Gothic" w:hAnsi="Yu Gothic" w:eastAsia="Yu Gothic"/>
        </w:rPr>
        <w:fldChar w:fldCharType="begin" w:dirty="true"/>
        <w:instrText xml:space="preserve">TOC \o "1-3" \h \z \u</w:instrText>
        <w:fldChar w:fldCharType="separate"/>
        <w:t>（Word で開き F9 キーを押すと目次が生成されます）</w:t>
        <w:fldChar w:fldCharType="end"/>
      </w:r>
    </w:p>
    <w:p>
      <w:r>
        <w:br w:type="page"/>
      </w:r>
    </w:p>
    <w:p>
      <w:pPr>
        <w:pStyle w:val="Heading1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表目次</w:t>
      </w:r>
    </w:p>
    <w:p>
      <w:pPr>
        <w:ind w:left="240"/>
      </w:pPr>
      <w:r>
        <w:rPr>
          <w:rFonts w:ascii="Yu Gothic" w:hAnsi="Yu Gothic" w:eastAsia="Yu Gothic"/>
          <w:sz w:val="20"/>
        </w:rPr>
        <w:t>表 2-1　critical 機能（11件、AT-001〜AT-011）</w:t>
      </w:r>
    </w:p>
    <w:p>
      <w:pPr>
        <w:ind w:left="240"/>
      </w:pPr>
      <w:r>
        <w:rPr>
          <w:rFonts w:ascii="Yu Gothic" w:hAnsi="Yu Gothic" w:eastAsia="Yu Gothic"/>
          <w:sz w:val="20"/>
        </w:rPr>
        <w:t>表 2-2　high 機能（20件、AT-012〜AT-031）</w:t>
      </w:r>
    </w:p>
    <w:p>
      <w:pPr>
        <w:ind w:left="240"/>
      </w:pPr>
      <w:r>
        <w:rPr>
          <w:rFonts w:ascii="Yu Gothic" w:hAnsi="Yu Gothic" w:eastAsia="Yu Gothic"/>
          <w:sz w:val="20"/>
        </w:rPr>
        <w:t>表 2-3　複合シナリオ（4件、AT-032〜AT-035）</w:t>
      </w:r>
    </w:p>
    <w:p>
      <w:pPr>
        <w:ind w:left="240"/>
      </w:pPr>
      <w:r>
        <w:rPr>
          <w:rFonts w:ascii="Yu Gothic" w:hAnsi="Yu Gothic" w:eastAsia="Yu Gothic"/>
          <w:sz w:val="20"/>
        </w:rPr>
        <w:t>表 3-1　受入環境</w:t>
      </w:r>
    </w:p>
    <w:p>
      <w:pPr>
        <w:ind w:left="240"/>
      </w:pPr>
      <w:r>
        <w:rPr>
          <w:rFonts w:ascii="Yu Gothic" w:hAnsi="Yu Gothic" w:eastAsia="Yu Gothic"/>
          <w:sz w:val="20"/>
        </w:rPr>
        <w:t>表 4-1　受入体制と役割</w:t>
      </w:r>
    </w:p>
    <w:p>
      <w:pPr>
        <w:ind w:left="240"/>
      </w:pPr>
      <w:r>
        <w:rPr>
          <w:rFonts w:ascii="Yu Gothic" w:hAnsi="Yu Gothic" w:eastAsia="Yu Gothic"/>
          <w:sz w:val="20"/>
        </w:rPr>
        <w:t>表 5-1　合格基準</w:t>
      </w:r>
    </w:p>
    <w:p>
      <w:pPr>
        <w:ind w:left="240"/>
      </w:pPr>
      <w:r>
        <w:rPr>
          <w:rFonts w:ascii="Yu Gothic" w:hAnsi="Yu Gothic" w:eastAsia="Yu Gothic"/>
          <w:sz w:val="20"/>
        </w:rPr>
        <w:t>表 7-1　受入スケジュール</w:t>
      </w:r>
    </w:p>
    <w:p>
      <w:pPr>
        <w:ind w:left="240"/>
      </w:pPr>
      <w:r>
        <w:rPr>
          <w:rFonts w:ascii="Yu Gothic" w:hAnsi="Yu Gothic" w:eastAsia="Yu Gothic"/>
          <w:sz w:val="20"/>
        </w:rPr>
        <w:t>表 8-1　署名欄</w:t>
      </w:r>
    </w:p>
    <w:p>
      <w:pPr>
        <w:ind w:left="240"/>
      </w:pPr>
      <w:r>
        <w:rPr>
          <w:rFonts w:ascii="Yu Gothic" w:hAnsi="Yu Gothic" w:eastAsia="Yu Gothic"/>
          <w:sz w:val="20"/>
        </w:rPr>
        <w:t>表 9-1　改訂履歴</w:t>
      </w:r>
    </w:p>
    <w:p>
      <w:pPr>
        <w:ind w:left="240"/>
      </w:pPr>
      <w:r>
        <w:rPr>
          <w:rFonts w:ascii="Yu Gothic" w:hAnsi="Yu Gothic" w:eastAsia="Yu Gothic"/>
          <w:sz w:val="20"/>
        </w:rPr>
        <w:t>表 10-1　各ケースの不合格判定条件（failure_modes 対照表）</w:t>
      </w:r>
    </w:p>
    <w:p>
      <w:pPr>
        <w:ind w:left="240"/>
      </w:pPr>
      <w:r>
        <w:rPr>
          <w:rFonts w:ascii="Yu Gothic" w:hAnsi="Yu Gothic" w:eastAsia="Yu Gothic"/>
          <w:sz w:val="20"/>
        </w:rPr>
        <w:t>表 12-1　本書のカバレッジ確認</w:t>
      </w:r>
    </w:p>
    <w:p>
      <w:pPr>
        <w:ind w:left="240"/>
      </w:pPr>
      <w:r>
        <w:rPr>
          <w:rFonts w:ascii="Yu Gothic" w:hAnsi="Yu Gothic" w:eastAsia="Yu Gothic"/>
          <w:sz w:val="20"/>
        </w:rPr>
        <w:t>表 13-1　用語の定義</w:t>
      </w:r>
    </w:p>
    <w:p>
      <w:r>
        <w:br w:type="page"/>
      </w:r>
    </w:p>
    <w:p>
      <w:pPr>
        <w:pStyle w:val="ListBullet"/>
      </w:pPr>
      <w:r>
        <w:rPr>
          <w:rFonts w:ascii="Yu Gothic" w:hAnsi="Yu Gothic" w:eastAsia="Yu Gothic"/>
        </w:rPr>
        <w:t>版数: 2.0 / 作成日: 2026-08-02（前版 1.0 / 2026-07-16、38行）</w:t>
      </w:r>
    </w:p>
    <w:p>
      <w:pPr>
        <w:pStyle w:val="ListBullet"/>
      </w:pPr>
      <w:r>
        <w:rPr>
          <w:rFonts w:ascii="Yu Gothic" w:hAnsi="Yu Gothic" w:eastAsia="Yu Gothic"/>
        </w:rPr>
        <w:t>準拠: ISTQB Foundation Level Syllabus v4.0（受入テスト）、ISO/IEC/IEEE 29119-3</w:t>
      </w:r>
    </w:p>
    <w:p>
      <w:pPr>
        <w:pStyle w:val="ListBullet"/>
      </w:pPr>
      <w:r>
        <w:rPr>
          <w:rFonts w:ascii="Yu Gothic" w:hAnsi="Yu Gothic" w:eastAsia="Yu Gothic"/>
        </w:rPr>
        <w:t xml:space="preserve">関連: 基本 UAT シナリオ（UAT-01〜07）は </w:t>
      </w:r>
      <w:r>
        <w:rPr>
          <w:rFonts w:ascii="Consolas" w:hAnsi="Consolas" w:eastAsia="Consolas"/>
          <w:sz w:val="18"/>
        </w:rPr>
        <w:t>docs/TESTING_STRATEGY.md</w:t>
      </w:r>
      <w:r>
        <w:rPr>
          <w:rFonts w:ascii="Yu Gothic" w:hAnsi="Yu Gothic" w:eastAsia="Yu Gothic"/>
        </w:rPr>
        <w:t xml:space="preserve"> §4 を正とする。</w:t>
      </w:r>
    </w:p>
    <w:p>
      <w:r>
        <w:rPr>
          <w:rFonts w:ascii="Yu Gothic" w:hAnsi="Yu Gothic" w:eastAsia="Yu Gothic"/>
        </w:rPr>
        <w:t>本書はそれを補完し、</w:t>
      </w:r>
      <w:r>
        <w:rPr>
          <w:rFonts w:ascii="Consolas" w:hAnsi="Consolas" w:eastAsia="Consolas"/>
          <w:sz w:val="18"/>
        </w:rPr>
        <w:t>quality/feature_contracts.yml</w:t>
      </w:r>
      <w:r>
        <w:rPr>
          <w:rFonts w:ascii="Yu Gothic" w:hAnsi="Yu Gothic" w:eastAsia="Yu Gothic"/>
        </w:rPr>
        <w:t xml:space="preserve"> の </w:t>
      </w:r>
      <w:r>
        <w:rPr>
          <w:rFonts w:ascii="Consolas" w:hAnsi="Consolas" w:eastAsia="Consolas"/>
          <w:sz w:val="18"/>
        </w:rPr>
        <w:t>risk_level: critical/high</w:t>
      </w:r>
      <w:r>
        <w:rPr>
          <w:rFonts w:ascii="Yu Gothic" w:hAnsi="Yu Gothic" w:eastAsia="Yu Gothic"/>
        </w:rPr>
        <w:t xml:space="preserve"> 全 31 機能を機械的に洗い出して受入ケース化したものである。</w:t>
      </w:r>
    </w:p>
    <w:p>
      <w:pPr>
        <w:pStyle w:val="ListBullet"/>
      </w:pPr>
      <w:r>
        <w:rPr>
          <w:rFonts w:ascii="Yu Gothic" w:hAnsi="Yu Gothic" w:eastAsia="Yu Gothic"/>
          <w:b/>
        </w:rPr>
        <w:t>実施結果は捏造しない</w:t>
      </w:r>
      <w:r>
        <w:rPr>
          <w:rFonts w:ascii="Yu Gothic" w:hAnsi="Yu Gothic" w:eastAsia="Yu Gothic"/>
        </w:rPr>
        <w:t>: 下表「判定」欄はすべて「未実施」とする。実利用者が実施した</w:t>
      </w:r>
    </w:p>
    <w:p>
      <w:r>
        <w:rPr>
          <w:rFonts w:ascii="Yu Gothic" w:hAnsi="Yu Gothic" w:eastAsia="Yu Gothic"/>
        </w:rPr>
        <w:t>時点で結果（合格/不合格/気づき）を記入すること。本書の作成時点では一切の実施を行っていない。</w:t>
      </w:r>
    </w:p>
    <w:p>
      <w:pPr>
        <w:pStyle w:val="Heading2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1. 受入の目的と判定基準</w:t>
      </w:r>
    </w:p>
    <w:p>
      <w:r>
        <w:rPr>
          <w:rFonts w:ascii="Yu Gothic" w:hAnsi="Yu Gothic" w:eastAsia="Yu Gothic"/>
        </w:rPr>
        <w:t>受入テスト（L4）の目的は、</w:t>
      </w:r>
      <w:r>
        <w:rPr>
          <w:rFonts w:ascii="Consolas" w:hAnsi="Consolas" w:eastAsia="Consolas"/>
          <w:sz w:val="18"/>
        </w:rPr>
        <w:t>docs/TESTING_STRATEGY.md</w:t>
      </w:r>
      <w:r>
        <w:rPr>
          <w:rFonts w:ascii="Yu Gothic" w:hAnsi="Yu Gothic" w:eastAsia="Yu Gothic"/>
        </w:rPr>
        <w:t xml:space="preserve"> が定める「L1+L2（コードが壊れていない）」 「L3（ブラウザで動く）」だけでは証明できない「</w:t>
      </w:r>
      <w:r>
        <w:rPr>
          <w:rFonts w:ascii="Yu Gothic" w:hAnsi="Yu Gothic" w:eastAsia="Yu Gothic"/>
          <w:b/>
        </w:rPr>
        <w:t>利用者が実際に価値を受け取れる</w:t>
      </w:r>
      <w:r>
        <w:rPr>
          <w:rFonts w:ascii="Yu Gothic" w:hAnsi="Yu Gothic" w:eastAsia="Yu Gothic"/>
        </w:rPr>
        <w:t>」ことを 確認することにある（</w:t>
      </w:r>
      <w:r>
        <w:rPr>
          <w:rFonts w:ascii="Consolas" w:hAnsi="Consolas" w:eastAsia="Consolas"/>
          <w:sz w:val="18"/>
        </w:rPr>
        <w:t>docs/DEFINITION_OF_DONE.md</w:t>
      </w:r>
      <w:r>
        <w:rPr>
          <w:rFonts w:ascii="Yu Gothic" w:hAnsi="Yu Gothic" w:eastAsia="Yu Gothic"/>
        </w:rPr>
        <w:t xml:space="preserve"> の原則）。</w:t>
      </w:r>
    </w:p>
    <w:p>
      <w:r>
        <w:rPr>
          <w:rFonts w:ascii="Yu Gothic" w:hAnsi="Yu Gothic" w:eastAsia="Yu Gothic"/>
        </w:rPr>
        <w:t>判定基準は次の3点をすべて満たすこととする。</w:t>
      </w:r>
    </w:p>
    <w:p>
      <w:pPr>
        <w:pStyle w:val="ListNumber"/>
      </w:pPr>
      <w:r>
        <w:rPr>
          <w:rFonts w:ascii="Yu Gothic" w:hAnsi="Yu Gothic" w:eastAsia="Yu Gothic"/>
        </w:rPr>
        <w:t>対象シナリオを、初見・マニュアルなしの前提で実施し、迷いなく完了できること</w:t>
      </w:r>
    </w:p>
    <w:p>
      <w:r>
        <w:rPr>
          <w:rFonts w:ascii="Yu Gothic" w:hAnsi="Yu Gothic" w:eastAsia="Yu Gothic"/>
        </w:rPr>
        <w:t>（</w:t>
      </w:r>
      <w:r>
        <w:rPr>
          <w:rFonts w:ascii="Consolas" w:hAnsi="Consolas" w:eastAsia="Consolas"/>
          <w:sz w:val="18"/>
        </w:rPr>
        <w:t>docs/TESTING_STRATEGY.md</w:t>
      </w:r>
      <w:r>
        <w:rPr>
          <w:rFonts w:ascii="Yu Gothic" w:hAnsi="Yu Gothic" w:eastAsia="Yu Gothic"/>
        </w:rPr>
        <w:t xml:space="preserve"> が定めるペルソナ: ISTQB FL 取得済みジュニアテスト担当者）。</w:t>
      </w:r>
    </w:p>
    <w:p>
      <w:pPr>
        <w:pStyle w:val="ListNumber"/>
      </w:pPr>
      <w:r>
        <w:rPr>
          <w:rFonts w:ascii="Yu Gothic" w:hAnsi="Yu Gothic" w:eastAsia="Yu Gothic"/>
        </w:rPr>
        <w:t xml:space="preserve">期待結果と実際の挙動が一致すること。一致しない場合は </w:t>
      </w:r>
      <w:r>
        <w:rPr>
          <w:rFonts w:ascii="Consolas" w:hAnsi="Consolas" w:eastAsia="Consolas"/>
          <w:sz w:val="18"/>
        </w:rPr>
        <w:t>WS2D-DL-001</w:t>
      </w:r>
      <w:r>
        <w:rPr>
          <w:rFonts w:ascii="Yu Gothic" w:hAnsi="Yu Gothic" w:eastAsia="Yu Gothic"/>
        </w:rPr>
        <w:t xml:space="preserve"> の起票プロセスに</w:t>
      </w:r>
    </w:p>
    <w:p>
      <w:r>
        <w:rPr>
          <w:rFonts w:ascii="Yu Gothic" w:hAnsi="Yu Gothic" w:eastAsia="Yu Gothic"/>
        </w:rPr>
        <w:t>従って不具合として記録し、本書の判定を「不合格」とする。</w:t>
      </w:r>
    </w:p>
    <w:p>
      <w:pPr>
        <w:pStyle w:val="ListNumber"/>
      </w:pPr>
      <w:r>
        <w:rPr>
          <w:rFonts w:ascii="Consolas" w:hAnsi="Consolas" w:eastAsia="Consolas"/>
          <w:sz w:val="18"/>
        </w:rPr>
        <w:t>WS2D-TP-001</w:t>
      </w:r>
      <w:r>
        <w:rPr>
          <w:rFonts w:ascii="Yu Gothic" w:hAnsi="Yu Gothic" w:eastAsia="Yu Gothic"/>
        </w:rPr>
        <w:t xml:space="preserve"> §8.2 の出口基準（L1+L2 green・L3 green・critical/high 指摘ゼロ）を</w:t>
      </w:r>
    </w:p>
    <w:p>
      <w:r>
        <w:rPr>
          <w:rFonts w:ascii="Yu Gothic" w:hAnsi="Yu Gothic" w:eastAsia="Yu Gothic"/>
        </w:rPr>
        <w:t>本受入の前提条件として満たしていること。</w:t>
      </w:r>
    </w:p>
    <w:p>
      <w:pPr>
        <w:pStyle w:val="Heading2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2. 受入テストケース一覧</w:t>
      </w:r>
    </w:p>
    <w:p>
      <w:r>
        <w:rPr>
          <w:rFonts w:ascii="Consolas" w:hAnsi="Consolas" w:eastAsia="Consolas"/>
          <w:sz w:val="18"/>
        </w:rPr>
        <w:t>quality/feature_contracts.yml</w:t>
      </w:r>
      <w:r>
        <w:rPr>
          <w:rFonts w:ascii="Yu Gothic" w:hAnsi="Yu Gothic" w:eastAsia="Yu Gothic"/>
        </w:rPr>
        <w:t xml:space="preserve"> の </w:t>
      </w:r>
      <w:r>
        <w:rPr>
          <w:rFonts w:ascii="Consolas" w:hAnsi="Consolas" w:eastAsia="Consolas"/>
          <w:sz w:val="18"/>
        </w:rPr>
        <w:t>risk_level: critical</w:t>
      </w:r>
      <w:r>
        <w:rPr>
          <w:rFonts w:ascii="Yu Gothic" w:hAnsi="Yu Gothic" w:eastAsia="Yu Gothic"/>
        </w:rPr>
        <w:t>（11件）・</w:t>
      </w:r>
      <w:r>
        <w:rPr>
          <w:rFonts w:ascii="Consolas" w:hAnsi="Consolas" w:eastAsia="Consolas"/>
          <w:sz w:val="18"/>
        </w:rPr>
        <w:t>risk_level: high</w:t>
      </w:r>
      <w:r>
        <w:rPr>
          <w:rFonts w:ascii="Yu Gothic" w:hAnsi="Yu Gothic" w:eastAsia="Yu Gothic"/>
        </w:rPr>
        <w:t xml:space="preserve">（20件） の全 31 機能を対象に、各1ケース以上を割り当てた。加えて複数機能にまたがる複合シナリオを 4 件追加し、合計 </w:t>
      </w:r>
      <w:r>
        <w:rPr>
          <w:rFonts w:ascii="Yu Gothic" w:hAnsi="Yu Gothic" w:eastAsia="Yu Gothic"/>
          <w:b/>
        </w:rPr>
        <w:t>35 ケース</w:t>
      </w:r>
      <w:r>
        <w:rPr>
          <w:rFonts w:ascii="Yu Gothic" w:hAnsi="Yu Gothic" w:eastAsia="Yu Gothic"/>
        </w:rPr>
        <w:t>とする（最低基準の 25 ケースを上回る）。</w:t>
      </w:r>
    </w:p>
    <w:p>
      <w:pPr>
        <w:pStyle w:val="Heading3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2.1 critical 機能（11件、AT-001〜AT-011）</w:t>
      </w:r>
    </w:p>
    <w:p>
      <w:pPr>
        <w:jc w:val="center"/>
      </w:pPr>
      <w:r>
        <w:rPr>
          <w:rFonts w:ascii="Yu Gothic" w:hAnsi="Yu Gothic" w:eastAsia="Yu Gothic"/>
          <w:b/>
          <w:color w:val="444444"/>
          <w:sz w:val="18"/>
        </w:rPr>
        <w:t>表 2-1　critical 機能（11件、AT-001〜AT-011）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17"/>
        <w:gridCol w:w="1417"/>
        <w:gridCol w:w="1417"/>
        <w:gridCol w:w="1417"/>
        <w:gridCol w:w="1417"/>
        <w:gridCol w:w="1417"/>
        <w:gridCol w:w="1417"/>
      </w:tblGrid>
      <w:tr>
        <w:tc>
          <w:tcPr>
            <w:tcW w:type="dxa" w:w="1417"/>
            <w:shd w:fill="D9E2F3"/>
          </w:tcPr>
          <w:p>
            <w:r>
              <w:rPr>
                <w:b/>
                <w:sz w:val="17"/>
              </w:rPr>
            </w:r>
            <w:r>
              <w:rPr>
                <w:rFonts w:ascii="Yu Gothic" w:hAnsi="Yu Gothic" w:eastAsia="Yu Gothic"/>
                <w:b/>
                <w:sz w:val="17"/>
              </w:rPr>
              <w:t>ケースID</w:t>
            </w:r>
          </w:p>
        </w:tc>
        <w:tc>
          <w:tcPr>
            <w:tcW w:type="dxa" w:w="1417"/>
            <w:shd w:fill="D9E2F3"/>
          </w:tcPr>
          <w:p>
            <w:r>
              <w:rPr>
                <w:b/>
                <w:sz w:val="17"/>
              </w:rPr>
            </w:r>
            <w:r>
              <w:rPr>
                <w:rFonts w:ascii="Yu Gothic" w:hAnsi="Yu Gothic" w:eastAsia="Yu Gothic"/>
                <w:b/>
                <w:sz w:val="17"/>
              </w:rPr>
              <w:t>要件ID</w:t>
            </w:r>
          </w:p>
        </w:tc>
        <w:tc>
          <w:tcPr>
            <w:tcW w:type="dxa" w:w="1417"/>
            <w:shd w:fill="D9E2F3"/>
          </w:tcPr>
          <w:p>
            <w:r>
              <w:rPr>
                <w:b/>
                <w:sz w:val="17"/>
              </w:rPr>
            </w:r>
            <w:r>
              <w:rPr>
                <w:rFonts w:ascii="Yu Gothic" w:hAnsi="Yu Gothic" w:eastAsia="Yu Gothic"/>
                <w:b/>
                <w:sz w:val="17"/>
              </w:rPr>
              <w:t>シナリオ</w:t>
            </w:r>
          </w:p>
        </w:tc>
        <w:tc>
          <w:tcPr>
            <w:tcW w:type="dxa" w:w="1417"/>
            <w:shd w:fill="D9E2F3"/>
          </w:tcPr>
          <w:p>
            <w:r>
              <w:rPr>
                <w:b/>
                <w:sz w:val="17"/>
              </w:rPr>
            </w:r>
            <w:r>
              <w:rPr>
                <w:rFonts w:ascii="Yu Gothic" w:hAnsi="Yu Gothic" w:eastAsia="Yu Gothic"/>
                <w:b/>
                <w:sz w:val="17"/>
              </w:rPr>
              <w:t>前提条件</w:t>
            </w:r>
          </w:p>
        </w:tc>
        <w:tc>
          <w:tcPr>
            <w:tcW w:type="dxa" w:w="1417"/>
            <w:shd w:fill="D9E2F3"/>
          </w:tcPr>
          <w:p>
            <w:r>
              <w:rPr>
                <w:b/>
                <w:sz w:val="17"/>
              </w:rPr>
            </w:r>
            <w:r>
              <w:rPr>
                <w:rFonts w:ascii="Yu Gothic" w:hAnsi="Yu Gothic" w:eastAsia="Yu Gothic"/>
                <w:b/>
                <w:sz w:val="17"/>
              </w:rPr>
              <w:t>手順</w:t>
            </w:r>
          </w:p>
        </w:tc>
        <w:tc>
          <w:tcPr>
            <w:tcW w:type="dxa" w:w="1417"/>
            <w:shd w:fill="D9E2F3"/>
          </w:tcPr>
          <w:p>
            <w:r>
              <w:rPr>
                <w:b/>
                <w:sz w:val="17"/>
              </w:rPr>
            </w:r>
            <w:r>
              <w:rPr>
                <w:rFonts w:ascii="Yu Gothic" w:hAnsi="Yu Gothic" w:eastAsia="Yu Gothic"/>
                <w:b/>
                <w:sz w:val="17"/>
              </w:rPr>
              <w:t>期待結果</w:t>
            </w:r>
          </w:p>
        </w:tc>
        <w:tc>
          <w:tcPr>
            <w:tcW w:type="dxa" w:w="1417"/>
            <w:shd w:fill="D9E2F3"/>
          </w:tcPr>
          <w:p>
            <w:r>
              <w:rPr>
                <w:b/>
                <w:sz w:val="17"/>
              </w:rPr>
            </w:r>
            <w:r>
              <w:rPr>
                <w:rFonts w:ascii="Yu Gothic" w:hAnsi="Yu Gothic" w:eastAsia="Yu Gothic"/>
                <w:b/>
                <w:sz w:val="17"/>
              </w:rPr>
              <w:t>判定</w:t>
            </w:r>
          </w:p>
        </w:tc>
      </w:tr>
      <w:tr>
        <w:tc>
          <w:tcPr>
            <w:tcW w:type="dxa" w:w="1417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AT-001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discover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URL解析による画面発見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 xml:space="preserve">対象URLが到達可能で、ローカル/プライベートURL許可設定がある場合は </w:t>
            </w:r>
            <w:r>
              <w:rPr>
                <w:rFonts w:ascii="Consolas" w:hAnsi="Consolas" w:eastAsia="Consolas"/>
                <w:sz w:val="17"/>
              </w:rPr>
              <w:t>WEBSPEC2DOC_ALLOW_LOCAL=1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ダッシュボードでURLを入力し「発見」を実行、候補画面一覧を確認する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候補画面が一覧表示される。無効なURL・タイムアウト・ログイン壁検出時は分かりやすい日本語のエラー/状態表示が出る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未実施</w:t>
            </w:r>
          </w:p>
        </w:tc>
      </w:tr>
      <w:tr>
        <w:tc>
          <w:tcPr>
            <w:tcW w:type="dxa" w:w="1417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AT-002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crawl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クロールとレポート生成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discover完了済み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「クロール開始」を実行し、進捗表示を確認後、完了したreport.htmlを開く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report.html/report.json/スクリーンショットが生成される。キャンセル操作・タイムアウト発生時も途中結果（チェックポイント）が保持される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未実施</w:t>
            </w:r>
          </w:p>
        </w:tc>
      </w:tr>
      <w:tr>
        <w:tc>
          <w:tcPr>
            <w:tcW w:type="dxa" w:w="1417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AT-003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login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認証つきサイトの解析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ログイン壁のあるテスト対象サイトを用意する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ログイン検出後、GUIで認証情報を入力し記録、再クロールを実行する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 xml:space="preserve">認証後ページが解析対象に含まれる。入力したパスワードは </w:t>
            </w:r>
            <w:r>
              <w:rPr>
                <w:rFonts w:ascii="Consolas" w:hAnsi="Consolas" w:eastAsia="Consolas"/>
                <w:sz w:val="17"/>
              </w:rPr>
              <w:t>auth.json</w:t>
            </w:r>
            <w:r>
              <w:rPr>
                <w:rFonts w:ascii="Yu Gothic" w:hAnsi="Yu Gothic" w:eastAsia="Yu Gothic"/>
                <w:sz w:val="17"/>
              </w:rPr>
              <w:t xml:space="preserve"> 等に平文保存されない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未実施</w:t>
            </w:r>
          </w:p>
        </w:tc>
      </w:tr>
      <w:tr>
        <w:tc>
          <w:tcPr>
            <w:tcW w:type="dxa" w:w="1417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AT-004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account_auth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アカウント認証とロックアウト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初期セットアップ未実施の環境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/auth/setup</w:t>
            </w:r>
            <w:r>
              <w:rPr>
                <w:rFonts w:ascii="Yu Gothic" w:hAnsi="Yu Gothic" w:eastAsia="Yu Gothic"/>
                <w:sz w:val="17"/>
              </w:rPr>
              <w:t xml:space="preserve"> で初期作成→ログアウト→誤ったパスワードで5回連続ログイン試行→正しいパスワードで再試行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5回失敗後に一定時間ロックアウトされ、正しいパスワードでも一時的に拒否される。ロック解除後は正常にログインできる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未実施</w:t>
            </w:r>
          </w:p>
        </w:tc>
      </w:tr>
      <w:tr>
        <w:tc>
          <w:tcPr>
            <w:tcW w:type="dxa" w:w="1417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AT-005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tenant_membership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テナント選択とロール管理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複数テナントに所属するユーザーアカウント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テナント選択画面で切替→管理者コンソールでメンバーの招待・ロール変更を行う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選択したテナントのワークスペースに切り替わり、一般/管理者ロールに応じて操作可否が画面に反映される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未実施</w:t>
            </w:r>
          </w:p>
        </w:tc>
      </w:tr>
      <w:tr>
        <w:tc>
          <w:tcPr>
            <w:tcW w:type="dxa" w:w="1417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AT-006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tenant_isolation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テナント間データ分離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テナントA・Bが存在し、それぞれでクロール実施済み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テナントAで生成した出力をテナントBのセッションから参照試行、他テナントのAPIトークンでアクセス試行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テナントBからテナントAの出力・観点DBへアクセスできない。他テナントのAPIトークンでのアクセスは拒否される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未実施</w:t>
            </w:r>
          </w:p>
        </w:tc>
      </w:tr>
      <w:tr>
        <w:tc>
          <w:tcPr>
            <w:tcW w:type="dxa" w:w="1417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AT-007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diff_history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再クロールによる差分検知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一度クロール済みのサイトが登録済み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対象サイトを再クロールし、履歴画面で前回との差分比較を確認する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前回比の仕様ドリフトが diff_report.html に提示され、比較元/比較先のスナップショット日時が明示される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未実施</w:t>
            </w:r>
          </w:p>
        </w:tc>
      </w:tr>
      <w:tr>
        <w:tc>
          <w:tcPr>
            <w:tcW w:type="dxa" w:w="1417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AT-008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document_mbt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文書駆動MBTによるテスト設計生成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要件定義書等の参照文書をアップロード済み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AutoRunでDoc Fusion経由の文書を投入し、MBT生成を実行、生成物（テストデータ・検証観測・ペアワイズケース）を確認する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要件と実測から test_data／validation_observations／pairwise_cases が生成され、未マッチ要件がある場合はその旨が明示される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未実施</w:t>
            </w:r>
          </w:p>
        </w:tc>
      </w:tr>
      <w:tr>
        <w:tc>
          <w:tcPr>
            <w:tcW w:type="dxa" w:w="1417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AT-009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sso_oidc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SSO（OIDC）ログイン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OIDCプロバイダ設定済みの環境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/auth/oidc/login</w:t>
            </w:r>
            <w:r>
              <w:rPr>
                <w:rFonts w:ascii="Yu Gothic" w:hAnsi="Yu Gothic" w:eastAsia="Yu Gothic"/>
                <w:sz w:val="17"/>
              </w:rPr>
              <w:t xml:space="preserve"> からIdP認証へ遷移し、コールバックを確認する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正規ログイン時はセッションが確立する。state/issuer/audience/nonce不一致時は明確に拒否される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未実施</w:t>
            </w:r>
          </w:p>
        </w:tc>
      </w:tr>
      <w:tr>
        <w:tc>
          <w:tcPr>
            <w:tcW w:type="dxa" w:w="1417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AT-010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autorun_stage_approval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AutoRun段階承認パイプライン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URL投入済みでAutoRunを開始できる状態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目的→計画→観点→設計→詳細→ケースの各段階で承認操作を行う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各段階で承認待ちUIが明示され、未承認のまま次段階へ自動的に進まない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未実施</w:t>
            </w:r>
          </w:p>
        </w:tc>
      </w:tr>
      <w:tr>
        <w:tc>
          <w:tcPr>
            <w:tcW w:type="dxa" w:w="1417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AT-011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autorun_security_kernel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AutoRunセキュリティカーネル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AutoRun実行中でLLM呼び出し等の外部送信を伴う操作がある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外部送信を伴う操作を実行し、</w:t>
            </w:r>
            <w:r>
              <w:rPr>
                <w:rFonts w:ascii="Consolas" w:hAnsi="Consolas" w:eastAsia="Consolas"/>
                <w:sz w:val="17"/>
              </w:rPr>
              <w:t>egress_log.ndjson</w:t>
            </w:r>
            <w:r>
              <w:rPr>
                <w:rFonts w:ascii="Yu Gothic" w:hAnsi="Yu Gothic" w:eastAsia="Yu Gothic"/>
                <w:sz w:val="17"/>
              </w:rPr>
              <w:t xml:space="preserve"> を確認する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SSRF/DNSリバインディング等の試行が拒否され、秘密情報がログ上で秘匿化（redact）される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未実施</w:t>
            </w:r>
          </w:p>
        </w:tc>
      </w:tr>
    </w:tbl>
    <w:p/>
    <w:p>
      <w:pPr>
        <w:pStyle w:val="Heading3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2.2 high 機能（20件、AT-012〜AT-031）</w:t>
      </w:r>
    </w:p>
    <w:p>
      <w:pPr>
        <w:jc w:val="center"/>
      </w:pPr>
      <w:r>
        <w:rPr>
          <w:rFonts w:ascii="Yu Gothic" w:hAnsi="Yu Gothic" w:eastAsia="Yu Gothic"/>
          <w:b/>
          <w:color w:val="444444"/>
          <w:sz w:val="18"/>
        </w:rPr>
        <w:t>表 2-2　high 機能（20件、AT-012〜AT-031）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17"/>
        <w:gridCol w:w="1417"/>
        <w:gridCol w:w="1417"/>
        <w:gridCol w:w="1417"/>
        <w:gridCol w:w="1417"/>
        <w:gridCol w:w="1417"/>
        <w:gridCol w:w="1417"/>
      </w:tblGrid>
      <w:tr>
        <w:tc>
          <w:tcPr>
            <w:tcW w:type="dxa" w:w="1417"/>
            <w:shd w:fill="D9E2F3"/>
          </w:tcPr>
          <w:p>
            <w:r>
              <w:rPr>
                <w:b/>
                <w:sz w:val="17"/>
              </w:rPr>
            </w:r>
            <w:r>
              <w:rPr>
                <w:rFonts w:ascii="Yu Gothic" w:hAnsi="Yu Gothic" w:eastAsia="Yu Gothic"/>
                <w:b/>
                <w:sz w:val="17"/>
              </w:rPr>
              <w:t>ケースID</w:t>
            </w:r>
          </w:p>
        </w:tc>
        <w:tc>
          <w:tcPr>
            <w:tcW w:type="dxa" w:w="1417"/>
            <w:shd w:fill="D9E2F3"/>
          </w:tcPr>
          <w:p>
            <w:r>
              <w:rPr>
                <w:b/>
                <w:sz w:val="17"/>
              </w:rPr>
            </w:r>
            <w:r>
              <w:rPr>
                <w:rFonts w:ascii="Yu Gothic" w:hAnsi="Yu Gothic" w:eastAsia="Yu Gothic"/>
                <w:b/>
                <w:sz w:val="17"/>
              </w:rPr>
              <w:t>要件ID</w:t>
            </w:r>
          </w:p>
        </w:tc>
        <w:tc>
          <w:tcPr>
            <w:tcW w:type="dxa" w:w="1417"/>
            <w:shd w:fill="D9E2F3"/>
          </w:tcPr>
          <w:p>
            <w:r>
              <w:rPr>
                <w:b/>
                <w:sz w:val="17"/>
              </w:rPr>
            </w:r>
            <w:r>
              <w:rPr>
                <w:rFonts w:ascii="Yu Gothic" w:hAnsi="Yu Gothic" w:eastAsia="Yu Gothic"/>
                <w:b/>
                <w:sz w:val="17"/>
              </w:rPr>
              <w:t>シナリオ</w:t>
            </w:r>
          </w:p>
        </w:tc>
        <w:tc>
          <w:tcPr>
            <w:tcW w:type="dxa" w:w="1417"/>
            <w:shd w:fill="D9E2F3"/>
          </w:tcPr>
          <w:p>
            <w:r>
              <w:rPr>
                <w:b/>
                <w:sz w:val="17"/>
              </w:rPr>
            </w:r>
            <w:r>
              <w:rPr>
                <w:rFonts w:ascii="Yu Gothic" w:hAnsi="Yu Gothic" w:eastAsia="Yu Gothic"/>
                <w:b/>
                <w:sz w:val="17"/>
              </w:rPr>
              <w:t>前提条件</w:t>
            </w:r>
          </w:p>
        </w:tc>
        <w:tc>
          <w:tcPr>
            <w:tcW w:type="dxa" w:w="1417"/>
            <w:shd w:fill="D9E2F3"/>
          </w:tcPr>
          <w:p>
            <w:r>
              <w:rPr>
                <w:b/>
                <w:sz w:val="17"/>
              </w:rPr>
            </w:r>
            <w:r>
              <w:rPr>
                <w:rFonts w:ascii="Yu Gothic" w:hAnsi="Yu Gothic" w:eastAsia="Yu Gothic"/>
                <w:b/>
                <w:sz w:val="17"/>
              </w:rPr>
              <w:t>手順</w:t>
            </w:r>
          </w:p>
        </w:tc>
        <w:tc>
          <w:tcPr>
            <w:tcW w:type="dxa" w:w="1417"/>
            <w:shd w:fill="D9E2F3"/>
          </w:tcPr>
          <w:p>
            <w:r>
              <w:rPr>
                <w:b/>
                <w:sz w:val="17"/>
              </w:rPr>
            </w:r>
            <w:r>
              <w:rPr>
                <w:rFonts w:ascii="Yu Gothic" w:hAnsi="Yu Gothic" w:eastAsia="Yu Gothic"/>
                <w:b/>
                <w:sz w:val="17"/>
              </w:rPr>
              <w:t>期待結果</w:t>
            </w:r>
          </w:p>
        </w:tc>
        <w:tc>
          <w:tcPr>
            <w:tcW w:type="dxa" w:w="1417"/>
            <w:shd w:fill="D9E2F3"/>
          </w:tcPr>
          <w:p>
            <w:r>
              <w:rPr>
                <w:b/>
                <w:sz w:val="17"/>
              </w:rPr>
            </w:r>
            <w:r>
              <w:rPr>
                <w:rFonts w:ascii="Yu Gothic" w:hAnsi="Yu Gothic" w:eastAsia="Yu Gothic"/>
                <w:b/>
                <w:sz w:val="17"/>
              </w:rPr>
              <w:t>判定</w:t>
            </w:r>
          </w:p>
        </w:tc>
      </w:tr>
      <w:tr>
        <w:tc>
          <w:tcPr>
            <w:tcW w:type="dxa" w:w="1417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AT-012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autorun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AutoRun全自動実行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URL投入済み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承認操作を経てテスト実行を行い、結果を確認する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実行結果がテストケース単位でPASS/FAILとして提示される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未実施</w:t>
            </w:r>
          </w:p>
        </w:tc>
      </w:tr>
      <w:tr>
        <w:tc>
          <w:tcPr>
            <w:tcW w:type="dxa" w:w="1417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AT-013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settings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設定変更と観点適用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設定画面にアクセス可能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環境設定値を変更・保存し、観点テンプレートを適用する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不正な値は拒否され、正常値は</w:t>
            </w:r>
            <w:r>
              <w:rPr>
                <w:rFonts w:ascii="Consolas" w:hAnsi="Consolas" w:eastAsia="Consolas"/>
                <w:sz w:val="17"/>
              </w:rPr>
              <w:t>.env</w:t>
            </w:r>
            <w:r>
              <w:rPr>
                <w:rFonts w:ascii="Yu Gothic" w:hAnsi="Yu Gothic" w:eastAsia="Yu Gothic"/>
                <w:sz w:val="17"/>
              </w:rPr>
              <w:t>に反映される。適用した観点がテスト設計に反映される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未実施</w:t>
            </w:r>
          </w:p>
        </w:tc>
      </w:tr>
      <w:tr>
        <w:tc>
          <w:tcPr>
            <w:tcW w:type="dxa" w:w="1417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AT-014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doc_fusion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文書×実測突合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参照文書をアップロード済み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crawl実行後にDoc Fusionを実行し、doc_fusion.mdを確認する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文書記載のルールと実測の不一致が検出される。幻覚（根拠のない引用）は除外される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未実施</w:t>
            </w:r>
          </w:p>
        </w:tc>
      </w:tr>
      <w:tr>
        <w:tc>
          <w:tcPr>
            <w:tcW w:type="dxa" w:w="1417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AT-015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exploration_capture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探索セッション記録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実ブラウザでの操作記録機能を起動できる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画面を操作しながらセッションを記録し、カバレッジヒートマップを確認する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操作がセッションとして記録され、ヒートマップの分子に反映される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未実施</w:t>
            </w:r>
          </w:p>
        </w:tc>
      </w:tr>
      <w:tr>
        <w:tc>
          <w:tcPr>
            <w:tcW w:type="dxa" w:w="1417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AT-016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old_new_comparison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現新比較モード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新旧2つのサイトURLが用意されている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比較モードを実行し、comparison.htmlを確認する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スクリーンショット差分・リンク切れが提示され、誤検知として除外した項目の内訳が開示される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未実施</w:t>
            </w:r>
          </w:p>
        </w:tc>
      </w:tr>
      <w:tr>
        <w:tc>
          <w:tcPr>
            <w:tcW w:type="dxa" w:w="1417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AT-017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snapshot_retention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スナップショット保持・容量管理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複数回クロール済みでスナップショットが蓄積している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保持ポリシーを設定し、古いスナップショットの自動削除とストレージ使用量表示を確認する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ポリシーどおりに世代管理される。シンボリックリンクを用いた領域外アクセスは拒否される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未実施</w:t>
            </w:r>
          </w:p>
        </w:tc>
      </w:tr>
      <w:tr>
        <w:tc>
          <w:tcPr>
            <w:tcW w:type="dxa" w:w="1417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AT-018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admin_audit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管理操作の監査ログ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管理者権限を持つユーザー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設定変更等の管理操作を実施し、監査ログ画面で確認する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操作が</w:t>
            </w:r>
            <w:r>
              <w:rPr>
                <w:rFonts w:ascii="Consolas" w:hAnsi="Consolas" w:eastAsia="Consolas"/>
                <w:sz w:val="17"/>
              </w:rPr>
              <w:t>admin_audit.jsonl</w:t>
            </w:r>
            <w:r>
              <w:rPr>
                <w:rFonts w:ascii="Yu Gothic" w:hAnsi="Yu Gothic" w:eastAsia="Yu Gothic"/>
                <w:sz w:val="17"/>
              </w:rPr>
              <w:t>に記録され、秘密情報はマスクされた状態で表示される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未実施</w:t>
            </w:r>
          </w:p>
        </w:tc>
      </w:tr>
      <w:tr>
        <w:tc>
          <w:tcPr>
            <w:tcW w:type="dxa" w:w="1417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AT-019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ci_drift_monitor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CI組み込みドリフト監視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GitHub Actions（spec-drift.yml）設定済み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ワークフローを手動トリガし、drift_summary.jsonとSlack通知を確認する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差分検知時に通知が送られ、無変更時は正常終了（no_change_path）する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未実施</w:t>
            </w:r>
          </w:p>
        </w:tc>
      </w:tr>
      <w:tr>
        <w:tc>
          <w:tcPr>
            <w:tcW w:type="dxa" w:w="1417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AT-020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evidence_pack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証跡パック生成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AutoRun実行が完了している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証跡パック生成操作を行い、evidence_pack.htmlを確認する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実施証跡が、主張できる範囲（claim_scope）を明示した形で生成される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未実施</w:t>
            </w:r>
          </w:p>
        </w:tc>
      </w:tr>
      <w:tr>
        <w:tc>
          <w:tcPr>
            <w:tcW w:type="dxa" w:w="1417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AT-021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diff_severity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差分の重要度判定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差分のあるクロール結果が存在する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diff_report.htmlで重要度別内訳を確認し、除外ルールを設定して再判定する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同一入力から同一出力となる決定的な重要度判定が行われ、除外内訳が開示される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未実施</w:t>
            </w:r>
          </w:p>
        </w:tc>
      </w:tr>
      <w:tr>
        <w:tc>
          <w:tcPr>
            <w:tcW w:type="dxa" w:w="1417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AT-022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api_v1_openapi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REST API v1とOpenAPI公開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APIトークンが発行済み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/api/v1/docs</w:t>
            </w:r>
            <w:r>
              <w:rPr>
                <w:rFonts w:ascii="Yu Gothic" w:hAnsi="Yu Gothic" w:eastAsia="Yu Gothic"/>
                <w:sz w:val="17"/>
              </w:rPr>
              <w:t>にアクセスし、エンドポイントを実行、権限外操作を試行する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OpenAPI仕様が閲覧でき、非admin権限での操作は適切に拒否される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未実施</w:t>
            </w:r>
          </w:p>
        </w:tc>
      </w:tr>
      <w:tr>
        <w:tc>
          <w:tcPr>
            <w:tcW w:type="dxa" w:w="1417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AT-023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autorun_result_report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AutoRun実行結果レポート専用ページ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AutoRun実行が完了している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「テスト実行レポートを見る」を押下する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ダッシュボード・計画・設計・ケース・実行結果が専用ページで一気通貫に閲覧できる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未実施</w:t>
            </w:r>
          </w:p>
        </w:tc>
      </w:tr>
      <w:tr>
        <w:tc>
          <w:tcPr>
            <w:tcW w:type="dxa" w:w="1417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AT-024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autorun_self_check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AutoRun自己検証（ミューテーションテスト）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テストケースが生成済み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自己検証を実行し、mutation_verification.jsonを確認する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弱いテスト（欠陥を検出できないテスト）の一覧が提示される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未実施</w:t>
            </w:r>
          </w:p>
        </w:tc>
      </w:tr>
      <w:tr>
        <w:tc>
          <w:tcPr>
            <w:tcW w:type="dxa" w:w="1417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AT-025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autorun_nonfunctional_judge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AutoRun非機能判定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基準線となる過去の測定データが存在する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非機能判定を実行し、nonfunctional_judgement.jsonを確認する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基準線比の合否と、観測できなかった領域が明示される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未実施</w:t>
            </w:r>
          </w:p>
        </w:tc>
      </w:tr>
      <w:tr>
        <w:tc>
          <w:tcPr>
            <w:tcW w:type="dxa" w:w="1417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AT-026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autorun_failure_triage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AutoRun失敗の原因特定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テスト失敗が発生している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失敗トリアージを実行し、failure_hypotheses.jsonを確認する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原因候補が提示され、説明できない失敗はその旨が明示される（原因の断定はしない）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未実施</w:t>
            </w:r>
          </w:p>
        </w:tc>
      </w:tr>
      <w:tr>
        <w:tc>
          <w:tcPr>
            <w:tcW w:type="dxa" w:w="1417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AT-027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technique_engine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テスト技法エンジン（被覆配列）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複数因子を持つ設定項目が存在する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ペアワイズケースを生成し、被覆率レポートを確認する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決定的な被覆配列（同一入力から同一出力）が生成され、被覆不能な組合せが列挙される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未実施</w:t>
            </w:r>
          </w:p>
        </w:tc>
      </w:tr>
      <w:tr>
        <w:tc>
          <w:tcPr>
            <w:tcW w:type="dxa" w:w="1417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AT-028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autorun_extended_techniques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テスト技法の網羅的適用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AutoRun設計段階に到達している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分類ツリー・直交表・原因結果グラフの生成結果を確認する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各技法の適用結果が表示され、直交表には直交性検査結果が付与される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未実施</w:t>
            </w:r>
          </w:p>
        </w:tc>
      </w:tr>
      <w:tr>
        <w:tc>
          <w:tcPr>
            <w:tcW w:type="dxa" w:w="1417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AT-029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state_transition_table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状態遷移表生成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crawlが完了している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遷移図タブから状態遷移表を確認する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0-switch/1-switchテストパスと無効遷移ケースが提示される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未実施</w:t>
            </w:r>
          </w:p>
        </w:tc>
      </w:tr>
      <w:tr>
        <w:tc>
          <w:tcPr>
            <w:tcW w:type="dxa" w:w="1417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AT-030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testcase_table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ローレベルテストケース表の編集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テストケースが生成済み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セルを編集し、編集履歴を確認、Playwrightコードを生成して実行する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編集履歴（変更前後の値）が保持され、生成された</w:t>
            </w:r>
            <w:r>
              <w:rPr>
                <w:rFonts w:ascii="Consolas" w:hAnsi="Consolas" w:eastAsia="Consolas"/>
                <w:sz w:val="17"/>
              </w:rPr>
              <w:t>testcases.spec.ts</w:t>
            </w:r>
            <w:r>
              <w:rPr>
                <w:rFonts w:ascii="Yu Gothic" w:hAnsi="Yu Gothic" w:eastAsia="Yu Gothic"/>
                <w:sz w:val="17"/>
              </w:rPr>
              <w:t>が実行できる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未実施</w:t>
            </w:r>
          </w:p>
        </w:tc>
      </w:tr>
      <w:tr>
        <w:tc>
          <w:tcPr>
            <w:tcW w:type="dxa" w:w="1417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AT-031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cli_mode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CLIモードでの実行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ターミナルからアクセス可能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python -m src.cli autorun &lt;url&gt;</w:t>
            </w:r>
            <w:r>
              <w:rPr>
                <w:rFonts w:ascii="Yu Gothic" w:hAnsi="Yu Gothic" w:eastAsia="Yu Gothic"/>
                <w:sz w:val="17"/>
              </w:rPr>
              <w:t xml:space="preserve"> を実行し、終了コードを確認する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--json</w:t>
            </w:r>
            <w:r>
              <w:rPr>
                <w:rFonts w:ascii="Yu Gothic" w:hAnsi="Yu Gothic" w:eastAsia="Yu Gothic"/>
                <w:sz w:val="17"/>
              </w:rPr>
              <w:t>指定時に機械可読な結果が得られ、終了コード（0/1/2/130）が状況に応じて意味を持つ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未実施</w:t>
            </w:r>
          </w:p>
        </w:tc>
      </w:tr>
    </w:tbl>
    <w:p/>
    <w:p>
      <w:pPr>
        <w:pStyle w:val="Heading3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2.3 複合シナリオ（4件、AT-032〜AT-035）</w:t>
      </w:r>
    </w:p>
    <w:p>
      <w:r>
        <w:rPr>
          <w:rFonts w:ascii="Yu Gothic" w:hAnsi="Yu Gothic" w:eastAsia="Yu Gothic"/>
        </w:rPr>
        <w:t>複数機能・非機能を横断する実利用シナリオを追加する。前版（1.0）の UAT-8〜12 の一部を 引き継ぎつつ、対象を本改訂の 51 機能構成に合わせて更新した。</w:t>
      </w:r>
    </w:p>
    <w:p>
      <w:pPr>
        <w:jc w:val="center"/>
      </w:pPr>
      <w:r>
        <w:rPr>
          <w:rFonts w:ascii="Yu Gothic" w:hAnsi="Yu Gothic" w:eastAsia="Yu Gothic"/>
          <w:b/>
          <w:color w:val="444444"/>
          <w:sz w:val="18"/>
        </w:rPr>
        <w:t>表 2-3　複合シナリオ（4件、AT-032〜AT-035）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17"/>
        <w:gridCol w:w="1417"/>
        <w:gridCol w:w="1417"/>
        <w:gridCol w:w="1417"/>
        <w:gridCol w:w="1417"/>
        <w:gridCol w:w="1417"/>
        <w:gridCol w:w="1417"/>
      </w:tblGrid>
      <w:tr>
        <w:tc>
          <w:tcPr>
            <w:tcW w:type="dxa" w:w="1417"/>
            <w:shd w:fill="D9E2F3"/>
          </w:tcPr>
          <w:p>
            <w:r>
              <w:rPr>
                <w:b/>
                <w:sz w:val="17"/>
              </w:rPr>
            </w:r>
            <w:r>
              <w:rPr>
                <w:rFonts w:ascii="Yu Gothic" w:hAnsi="Yu Gothic" w:eastAsia="Yu Gothic"/>
                <w:b/>
                <w:sz w:val="17"/>
              </w:rPr>
              <w:t>ケースID</w:t>
            </w:r>
          </w:p>
        </w:tc>
        <w:tc>
          <w:tcPr>
            <w:tcW w:type="dxa" w:w="1417"/>
            <w:shd w:fill="D9E2F3"/>
          </w:tcPr>
          <w:p>
            <w:r>
              <w:rPr>
                <w:b/>
                <w:sz w:val="17"/>
              </w:rPr>
            </w:r>
            <w:r>
              <w:rPr>
                <w:rFonts w:ascii="Yu Gothic" w:hAnsi="Yu Gothic" w:eastAsia="Yu Gothic"/>
                <w:b/>
                <w:sz w:val="17"/>
              </w:rPr>
              <w:t>対象</w:t>
            </w:r>
          </w:p>
        </w:tc>
        <w:tc>
          <w:tcPr>
            <w:tcW w:type="dxa" w:w="1417"/>
            <w:shd w:fill="D9E2F3"/>
          </w:tcPr>
          <w:p>
            <w:r>
              <w:rPr>
                <w:b/>
                <w:sz w:val="17"/>
              </w:rPr>
            </w:r>
            <w:r>
              <w:rPr>
                <w:rFonts w:ascii="Yu Gothic" w:hAnsi="Yu Gothic" w:eastAsia="Yu Gothic"/>
                <w:b/>
                <w:sz w:val="17"/>
              </w:rPr>
              <w:t>シナリオ</w:t>
            </w:r>
          </w:p>
        </w:tc>
        <w:tc>
          <w:tcPr>
            <w:tcW w:type="dxa" w:w="1417"/>
            <w:shd w:fill="D9E2F3"/>
          </w:tcPr>
          <w:p>
            <w:r>
              <w:rPr>
                <w:b/>
                <w:sz w:val="17"/>
              </w:rPr>
            </w:r>
            <w:r>
              <w:rPr>
                <w:rFonts w:ascii="Yu Gothic" w:hAnsi="Yu Gothic" w:eastAsia="Yu Gothic"/>
                <w:b/>
                <w:sz w:val="17"/>
              </w:rPr>
              <w:t>前提条件</w:t>
            </w:r>
          </w:p>
        </w:tc>
        <w:tc>
          <w:tcPr>
            <w:tcW w:type="dxa" w:w="1417"/>
            <w:shd w:fill="D9E2F3"/>
          </w:tcPr>
          <w:p>
            <w:r>
              <w:rPr>
                <w:b/>
                <w:sz w:val="17"/>
              </w:rPr>
            </w:r>
            <w:r>
              <w:rPr>
                <w:rFonts w:ascii="Yu Gothic" w:hAnsi="Yu Gothic" w:eastAsia="Yu Gothic"/>
                <w:b/>
                <w:sz w:val="17"/>
              </w:rPr>
              <w:t>手順</w:t>
            </w:r>
          </w:p>
        </w:tc>
        <w:tc>
          <w:tcPr>
            <w:tcW w:type="dxa" w:w="1417"/>
            <w:shd w:fill="D9E2F3"/>
          </w:tcPr>
          <w:p>
            <w:r>
              <w:rPr>
                <w:b/>
                <w:sz w:val="17"/>
              </w:rPr>
            </w:r>
            <w:r>
              <w:rPr>
                <w:rFonts w:ascii="Yu Gothic" w:hAnsi="Yu Gothic" w:eastAsia="Yu Gothic"/>
                <w:b/>
                <w:sz w:val="17"/>
              </w:rPr>
              <w:t>期待結果</w:t>
            </w:r>
          </w:p>
        </w:tc>
        <w:tc>
          <w:tcPr>
            <w:tcW w:type="dxa" w:w="1417"/>
            <w:shd w:fill="D9E2F3"/>
          </w:tcPr>
          <w:p>
            <w:r>
              <w:rPr>
                <w:b/>
                <w:sz w:val="17"/>
              </w:rPr>
            </w:r>
            <w:r>
              <w:rPr>
                <w:rFonts w:ascii="Yu Gothic" w:hAnsi="Yu Gothic" w:eastAsia="Yu Gothic"/>
                <w:b/>
                <w:sz w:val="17"/>
              </w:rPr>
              <w:t>判定</w:t>
            </w:r>
          </w:p>
        </w:tc>
      </w:tr>
      <w:tr>
        <w:tc>
          <w:tcPr>
            <w:tcW w:type="dxa" w:w="1417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AT-032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tenant_membership + tenant_isolation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マルチテナント総合シナリオ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複数テナント・複数ロールのユーザーが存在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ログイン→テナント選択→システム選択→データ操作→別テナントへの切替を通しで行う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遷移順序が「ログイン→テナント選択→システム選択」で一貫し、テナントをまたいだデータ漏洩がない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未実施</w:t>
            </w:r>
          </w:p>
        </w:tc>
      </w:tr>
      <w:tr>
        <w:tc>
          <w:tcPr>
            <w:tcW w:type="dxa" w:w="1417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AT-033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横断（画面表示・アクセシビリティ）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ダークモード全画面巡回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ダークモード設定が可能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全ビューをダークモードで巡回する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表示崩れ・低コントラストがなく、コンソールエラーが発生しない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未実施</w:t>
            </w:r>
          </w:p>
        </w:tc>
      </w:tr>
      <w:tr>
        <w:tc>
          <w:tcPr>
            <w:tcW w:type="dxa" w:w="1417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AT-034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usage_roi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ROIダッシュボード確認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利用実績ログ（usage_log.jsonl）が存在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ROIダッシュボードを開き、推定削減工数を確認する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推定値であることが明示された上で削減工数が表示される。ログが空の場合は空状態が適切に表示される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未実施</w:t>
            </w:r>
          </w:p>
        </w:tc>
      </w:tr>
      <w:tr>
        <w:tc>
          <w:tcPr>
            <w:tcW w:type="dxa" w:w="1417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AT-035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settings + TV-001観点管理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観点管理からテスト設計への反映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観点管理ビューにアクセス可能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観点を追加・編集し、テンプレートを適用して生成テスト設計に反映されるか確認する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追加した観点が版管理された状態で保持され、生成される観点カテゴリ表（</w:t>
            </w:r>
            <w:r>
              <w:rPr>
                <w:rFonts w:ascii="Consolas" w:hAnsi="Consolas" w:eastAsia="Consolas"/>
                <w:sz w:val="17"/>
              </w:rPr>
              <w:t>WS2D-TV-001</w:t>
            </w:r>
            <w:r>
              <w:rPr>
                <w:rFonts w:ascii="Yu Gothic" w:hAnsi="Yu Gothic" w:eastAsia="Yu Gothic"/>
                <w:sz w:val="17"/>
              </w:rPr>
              <w:t>）に反映される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未実施</w:t>
            </w:r>
          </w:p>
        </w:tc>
      </w:tr>
    </w:tbl>
    <w:p/>
    <w:p>
      <w:pPr>
        <w:pStyle w:val="Heading2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3. 受入環境</w:t>
      </w:r>
    </w:p>
    <w:p>
      <w:pPr>
        <w:jc w:val="center"/>
      </w:pPr>
      <w:r>
        <w:rPr>
          <w:rFonts w:ascii="Yu Gothic" w:hAnsi="Yu Gothic" w:eastAsia="Yu Gothic"/>
          <w:b/>
          <w:color w:val="444444"/>
          <w:sz w:val="18"/>
        </w:rPr>
        <w:t>表 3-1　受入環境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項目</w:t>
            </w:r>
          </w:p>
        </w:tc>
        <w:tc>
          <w:tcPr>
            <w:tcW w:type="dxa" w:w="4961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内容</w:t>
            </w:r>
          </w:p>
        </w:tc>
      </w:tr>
      <w:tr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実行方法</w:t>
            </w:r>
          </w:p>
        </w:tc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ローカル環境（</w:t>
            </w:r>
            <w:r>
              <w:rPr>
                <w:rFonts w:ascii="Consolas" w:hAnsi="Consolas" w:eastAsia="Consolas"/>
                <w:sz w:val="18"/>
              </w:rPr>
              <w:t>FLASK_TESTING=1 WEBSPEC2DOC_ALLOW_LOCAL=1 python app.py</w:t>
            </w:r>
            <w:r>
              <w:rPr>
                <w:rFonts w:ascii="Yu Gothic" w:hAnsi="Yu Gothic" w:eastAsia="Yu Gothic"/>
                <w:sz w:val="18"/>
              </w:rPr>
              <w:t>）</w:t>
            </w:r>
          </w:p>
        </w:tc>
      </w:tr>
      <w:tr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認証系ケース</w:t>
            </w:r>
          </w:p>
        </w:tc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WEBSPEC2DOC_AUTH_MODE</w:t>
            </w:r>
            <w:r>
              <w:rPr>
                <w:rFonts w:ascii="Yu Gothic" w:hAnsi="Yu Gothic" w:eastAsia="Yu Gothic"/>
                <w:sz w:val="18"/>
              </w:rPr>
              <w:t xml:space="preserve"> を該当モードに設定して実施（AT-004/005/006/009/018）</w:t>
            </w:r>
          </w:p>
        </w:tc>
      </w:tr>
      <w:tr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ブラウザ</w:t>
            </w:r>
          </w:p>
        </w:tc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Chromium（推奨）。1280×800・1366×768・1920×1080 の3解像度で確認する</w:t>
            </w:r>
          </w:p>
        </w:tc>
      </w:tr>
      <w:tr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CLIケース</w:t>
            </w:r>
          </w:p>
        </w:tc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ターミナルから直接実行（AT-031）</w:t>
            </w:r>
          </w:p>
        </w:tc>
      </w:tr>
      <w:tr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外部連携ケース</w:t>
            </w:r>
          </w:p>
        </w:tc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OIDCプロバイダのテスト用テナント、OpenAIまたはスタブ環境（AT-009/014/022）</w:t>
            </w:r>
          </w:p>
        </w:tc>
      </w:tr>
      <w:tr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データ</w:t>
            </w:r>
          </w:p>
        </w:tc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実データではなく検証用に作成したサイト・テナント・アカウントを使用する</w:t>
            </w:r>
          </w:p>
        </w:tc>
      </w:tr>
    </w:tbl>
    <w:p/>
    <w:p>
      <w:pPr>
        <w:pStyle w:val="Heading2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4. 受入体制と役割</w:t>
      </w:r>
    </w:p>
    <w:p>
      <w:pPr>
        <w:jc w:val="center"/>
      </w:pPr>
      <w:r>
        <w:rPr>
          <w:rFonts w:ascii="Yu Gothic" w:hAnsi="Yu Gothic" w:eastAsia="Yu Gothic"/>
          <w:b/>
          <w:color w:val="444444"/>
          <w:sz w:val="18"/>
        </w:rPr>
        <w:t>表 4-1　受入体制と役割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役割</w:t>
            </w:r>
          </w:p>
        </w:tc>
        <w:tc>
          <w:tcPr>
            <w:tcW w:type="dxa" w:w="3307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担当</w:t>
            </w:r>
          </w:p>
        </w:tc>
        <w:tc>
          <w:tcPr>
            <w:tcW w:type="dxa" w:w="3307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責務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受入実施者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配布先ユーザーまたはプロダクトオーナー（開発者本人が代行する場合を含む）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各ケースの手順実施・結果記録・気づきのメモ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受入判定者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プロダクトオーナー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§5 の合格基準に基づく最終合否判断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不具合対応窓口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開発チーム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 xml:space="preserve">不合格ケースの </w:t>
            </w:r>
            <w:r>
              <w:rPr>
                <w:rFonts w:ascii="Consolas" w:hAnsi="Consolas" w:eastAsia="Consolas"/>
                <w:sz w:val="18"/>
              </w:rPr>
              <w:t>WS2D-DL-001</w:t>
            </w:r>
            <w:r>
              <w:rPr>
                <w:rFonts w:ascii="Yu Gothic" w:hAnsi="Yu Gothic" w:eastAsia="Yu Gothic"/>
                <w:sz w:val="18"/>
              </w:rPr>
              <w:t xml:space="preserve"> への起票・修正・再検証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証跡管理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受入実施者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各ケースのスクリーンショットを保存し、判定欄と紐付ける</w:t>
            </w:r>
          </w:p>
        </w:tc>
      </w:tr>
    </w:tbl>
    <w:p/>
    <w:p>
      <w:pPr>
        <w:pStyle w:val="Heading2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5. 合格基準</w:t>
      </w:r>
    </w:p>
    <w:p>
      <w:r>
        <w:rPr>
          <w:rFonts w:ascii="Yu Gothic" w:hAnsi="Yu Gothic" w:eastAsia="Yu Gothic"/>
        </w:rPr>
        <w:t>本書は「全件合格」を原則としつつ、</w:t>
      </w:r>
      <w:r>
        <w:rPr>
          <w:rFonts w:ascii="Consolas" w:hAnsi="Consolas" w:eastAsia="Consolas"/>
          <w:sz w:val="18"/>
        </w:rPr>
        <w:t>risk_level</w:t>
      </w:r>
      <w:r>
        <w:rPr>
          <w:rFonts w:ascii="Yu Gothic" w:hAnsi="Yu Gothic" w:eastAsia="Yu Gothic"/>
        </w:rPr>
        <w:t xml:space="preserve"> に応じた許容度を設ける。</w:t>
      </w:r>
    </w:p>
    <w:p>
      <w:pPr>
        <w:jc w:val="center"/>
      </w:pPr>
      <w:r>
        <w:rPr>
          <w:rFonts w:ascii="Yu Gothic" w:hAnsi="Yu Gothic" w:eastAsia="Yu Gothic"/>
          <w:b/>
          <w:color w:val="444444"/>
          <w:sz w:val="18"/>
        </w:rPr>
        <w:t>表 5-1　合格基準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risk_level</w:t>
            </w:r>
          </w:p>
        </w:tc>
        <w:tc>
          <w:tcPr>
            <w:tcW w:type="dxa" w:w="4961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許容基準</w:t>
            </w:r>
          </w:p>
        </w:tc>
      </w:tr>
      <w:tr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critical（AT-001〜011）</w:t>
            </w:r>
          </w:p>
        </w:tc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全件合格が必須</w:t>
            </w:r>
            <w:r>
              <w:rPr>
                <w:rFonts w:ascii="Yu Gothic" w:hAnsi="Yu Gothic" w:eastAsia="Yu Gothic"/>
                <w:sz w:val="18"/>
              </w:rPr>
              <w:t>。1件でも不合格の場合はリリース不可とする</w:t>
            </w:r>
          </w:p>
        </w:tc>
      </w:tr>
      <w:tr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high（AT-012〜031）</w:t>
            </w:r>
          </w:p>
        </w:tc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 xml:space="preserve">原則全件合格。回避策があり </w:t>
            </w:r>
            <w:r>
              <w:rPr>
                <w:rFonts w:ascii="Consolas" w:hAnsi="Consolas" w:eastAsia="Consolas"/>
                <w:sz w:val="18"/>
              </w:rPr>
              <w:t>WS2D-DL-001</w:t>
            </w:r>
            <w:r>
              <w:rPr>
                <w:rFonts w:ascii="Yu Gothic" w:hAnsi="Yu Gothic" w:eastAsia="Yu Gothic"/>
                <w:sz w:val="18"/>
              </w:rPr>
              <w:t xml:space="preserve"> のPriority P3相当と判断できる不具合が</w:t>
            </w:r>
          </w:p>
        </w:tc>
      </w:tr>
    </w:tbl>
    <w:p/>
    <w:p>
      <w:r>
        <w:rPr>
          <w:rFonts w:ascii="Yu Gothic" w:hAnsi="Yu Gothic" w:eastAsia="Yu Gothic"/>
        </w:rPr>
        <w:t>1〜2件に限り、プロダクトオーナー承認のもとで条件付き合格とすることを許容する |</w:t>
      </w:r>
    </w:p>
    <w:p>
      <w:r>
        <w:rPr>
          <w:rFonts w:ascii="Yu Gothic" w:hAnsi="Yu Gothic" w:eastAsia="Yu Gothic"/>
        </w:rPr>
        <w:t>既に検証済みの内容と重複するため、必須条件からは除外可能とする |</w:t>
      </w:r>
    </w:p>
    <w:p>
      <w:r>
        <w:rPr>
          <w:rFonts w:ascii="Yu Gothic" w:hAnsi="Yu Gothic" w:eastAsia="Yu Gothic"/>
        </w:rPr>
        <w:t xml:space="preserve">条件付き合格を選択した場合、残存する不具合と回避策を </w:t>
      </w:r>
      <w:r>
        <w:rPr>
          <w:rFonts w:ascii="Consolas" w:hAnsi="Consolas" w:eastAsia="Consolas"/>
          <w:sz w:val="18"/>
        </w:rPr>
        <w:t>WS2D-TR-001</w:t>
      </w:r>
      <w:r>
        <w:rPr>
          <w:rFonts w:ascii="Yu Gothic" w:hAnsi="Yu Gothic" w:eastAsia="Yu Gothic"/>
        </w:rPr>
        <w:t xml:space="preserve"> の 「残存リスクと既知の制限」に必ず転記すること。</w:t>
      </w:r>
    </w:p>
    <w:p>
      <w:pPr>
        <w:pStyle w:val="Heading2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6. 不合格時の対応フロー</w:t>
      </w:r>
    </w:p>
    <w:p>
      <w:pPr>
        <w:ind w:left="240"/>
      </w:pPr>
      <w:r>
        <w:rPr>
          <w:rFonts w:ascii="Consolas" w:hAnsi="Consolas" w:eastAsia="Consolas"/>
          <w:sz w:val="17"/>
        </w:rPr>
        <w:t>ケース実施 → 期待結果と不一致 → WS2D-DL-001 へ起票（事象・重要度一次判定）</w:t>
        <w:br/>
        <w:t xml:space="preserve">   → 開発チームが原因分析（5 Whys 等の named framework、functional-integrity.md 準拠）</w:t>
        <w:br/>
        <w:t xml:space="preserve">   → 修正 → 該当ケースを再実施 → 合格したら判定を更新</w:t>
        <w:br/>
        <w:t xml:space="preserve">   → critical ケースが再度不合格の場合、リリースを見送り §5 の基準を満たすまで繰り返す</w:t>
      </w:r>
    </w:p>
    <w:p>
      <w:r>
        <w:rPr>
          <w:rFonts w:ascii="Yu Gothic" w:hAnsi="Yu Gothic" w:eastAsia="Yu Gothic"/>
        </w:rPr>
        <w:t>不合格の記録は本書の「判定」欄を直接書き換えるのではなく、</w:t>
      </w:r>
      <w:r>
        <w:rPr>
          <w:rFonts w:ascii="Consolas" w:hAnsi="Consolas" w:eastAsia="Consolas"/>
          <w:sz w:val="18"/>
        </w:rPr>
        <w:t>WS2D-DL-001</w:t>
      </w:r>
      <w:r>
        <w:rPr>
          <w:rFonts w:ascii="Yu Gothic" w:hAnsi="Yu Gothic" w:eastAsia="Yu Gothic"/>
        </w:rPr>
        <w:t xml:space="preserve"> の実績台帳に 起票した上で、本書には最終的な再実施結果（合格/条件付き合格）のみを反映する。 これにより、不合格の経緯を捏造・隠蔽せず追跡可能な状態に保つ。</w:t>
      </w:r>
    </w:p>
    <w:p>
      <w:pPr>
        <w:pStyle w:val="Heading2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7. 受入スケジュール</w:t>
      </w:r>
    </w:p>
    <w:p>
      <w:r>
        <w:rPr>
          <w:rFonts w:ascii="Yu Gothic" w:hAnsi="Yu Gothic" w:eastAsia="Yu Gothic"/>
        </w:rPr>
        <w:t>本プロジェクトはチケット工数管理を行っていないため（</w:t>
      </w:r>
      <w:r>
        <w:rPr>
          <w:rFonts w:ascii="Consolas" w:hAnsi="Consolas" w:eastAsia="Consolas"/>
          <w:sz w:val="18"/>
        </w:rPr>
        <w:t>WS2D-TP-001</w:t>
      </w:r>
      <w:r>
        <w:rPr>
          <w:rFonts w:ascii="Yu Gothic" w:hAnsi="Yu Gothic" w:eastAsia="Yu Gothic"/>
        </w:rPr>
        <w:t xml:space="preserve"> §10 参照）、 受入テストは「実装が落ち着いた区切り（マイルストーン）ごと」に実施する運用とする。</w:t>
      </w:r>
    </w:p>
    <w:p>
      <w:pPr>
        <w:jc w:val="center"/>
      </w:pPr>
      <w:r>
        <w:rPr>
          <w:rFonts w:ascii="Yu Gothic" w:hAnsi="Yu Gothic" w:eastAsia="Yu Gothic"/>
          <w:b/>
          <w:color w:val="444444"/>
          <w:sz w:val="18"/>
        </w:rPr>
        <w:t>表 7-1　受入スケジュール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タイミング</w:t>
            </w:r>
          </w:p>
        </w:tc>
        <w:tc>
          <w:tcPr>
            <w:tcW w:type="dxa" w:w="4961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実施範囲</w:t>
            </w:r>
          </w:p>
        </w:tc>
      </w:tr>
      <w:tr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新機能リリース時</w:t>
            </w:r>
          </w:p>
        </w:tc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当該機能に対応するケース（例: 新機能Xを追加した場合はXに対応するAT-xxxのみ）</w:t>
            </w:r>
          </w:p>
        </w:tc>
      </w:tr>
      <w:tr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大幅UI変更時</w:t>
            </w:r>
          </w:p>
        </w:tc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AT-033（ダークモード巡回）を含む横断ケース一式</w:t>
            </w:r>
          </w:p>
        </w:tc>
      </w:tr>
      <w:tr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全面棚卸し（本改訂のような区切り）</w:t>
            </w:r>
          </w:p>
        </w:tc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35ケース全件</w:t>
            </w:r>
          </w:p>
        </w:tc>
      </w:tr>
    </w:tbl>
    <w:p/>
    <w:p>
      <w:r>
        <w:rPr>
          <w:rFonts w:ascii="Yu Gothic" w:hAnsi="Yu Gothic" w:eastAsia="Yu Gothic"/>
        </w:rPr>
        <w:t>本書は 2026-08-02 時点で全 35 ケースを新規作成したが、実施そのものは行っていない （</w:t>
      </w:r>
      <w:r>
        <w:rPr>
          <w:rFonts w:ascii="Yu Gothic" w:hAnsi="Yu Gothic" w:eastAsia="Yu Gothic"/>
          <w:b/>
        </w:rPr>
        <w:t>未実施</w:t>
      </w:r>
      <w:r>
        <w:rPr>
          <w:rFonts w:ascii="Yu Gothic" w:hAnsi="Yu Gothic" w:eastAsia="Yu Gothic"/>
        </w:rPr>
        <w:t>）。次回の機能リリースまたは棚卸しのタイミングで実施することを推奨する。</w:t>
      </w:r>
    </w:p>
    <w:p>
      <w:pPr>
        <w:pStyle w:val="Heading2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8. 署名欄</w:t>
      </w:r>
    </w:p>
    <w:p>
      <w:pPr>
        <w:jc w:val="center"/>
      </w:pPr>
      <w:r>
        <w:rPr>
          <w:rFonts w:ascii="Yu Gothic" w:hAnsi="Yu Gothic" w:eastAsia="Yu Gothic"/>
          <w:b/>
          <w:color w:val="444444"/>
          <w:sz w:val="18"/>
        </w:rPr>
        <w:t>表 8-1　署名欄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c>
          <w:tcPr>
            <w:tcW w:type="dxa" w:w="2480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役割</w:t>
            </w:r>
          </w:p>
        </w:tc>
        <w:tc>
          <w:tcPr>
            <w:tcW w:type="dxa" w:w="2480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氏名</w:t>
            </w:r>
          </w:p>
        </w:tc>
        <w:tc>
          <w:tcPr>
            <w:tcW w:type="dxa" w:w="2480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実施日</w:t>
            </w:r>
          </w:p>
        </w:tc>
        <w:tc>
          <w:tcPr>
            <w:tcW w:type="dxa" w:w="2480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判定</w:t>
            </w:r>
          </w:p>
        </w:tc>
      </w:tr>
      <w:tr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受入実施者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—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—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—</w:t>
            </w:r>
          </w:p>
        </w:tc>
      </w:tr>
      <w:tr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受入判定者（プロダクトオーナー）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—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—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—</w:t>
            </w:r>
          </w:p>
        </w:tc>
      </w:tr>
    </w:tbl>
    <w:p/>
    <w:p>
      <w:pPr>
        <w:pStyle w:val="Heading2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9. 改訂履歴</w:t>
      </w:r>
    </w:p>
    <w:p>
      <w:pPr>
        <w:jc w:val="center"/>
      </w:pPr>
      <w:r>
        <w:rPr>
          <w:rFonts w:ascii="Yu Gothic" w:hAnsi="Yu Gothic" w:eastAsia="Yu Gothic"/>
          <w:b/>
          <w:color w:val="444444"/>
          <w:sz w:val="18"/>
        </w:rPr>
        <w:t>表 9-1　改訂履歴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c>
          <w:tcPr>
            <w:tcW w:type="dxa" w:w="2480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版</w:t>
            </w:r>
          </w:p>
        </w:tc>
        <w:tc>
          <w:tcPr>
            <w:tcW w:type="dxa" w:w="2480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日付</w:t>
            </w:r>
          </w:p>
        </w:tc>
        <w:tc>
          <w:tcPr>
            <w:tcW w:type="dxa" w:w="2480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内容</w:t>
            </w:r>
          </w:p>
        </w:tc>
        <w:tc>
          <w:tcPr>
            <w:tcW w:type="dxa" w:w="2480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作成者</w:t>
            </w:r>
          </w:p>
        </w:tc>
      </w:tr>
      <w:tr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1.0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2026-07-16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初版（38行、UAT-1〜12の12ケースのみ、うちUAT-8〜12はUI刷新分）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開発チーム</w:t>
            </w:r>
          </w:p>
        </w:tc>
      </w:tr>
      <w:tr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2.0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2026-08-02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全面改訂。</w:t>
            </w:r>
            <w:r>
              <w:rPr>
                <w:rFonts w:ascii="Consolas" w:hAnsi="Consolas" w:eastAsia="Consolas"/>
                <w:sz w:val="18"/>
              </w:rPr>
              <w:t>feature_contracts.yml</w:t>
            </w:r>
            <w:r>
              <w:rPr>
                <w:rFonts w:ascii="Yu Gothic" w:hAnsi="Yu Gothic" w:eastAsia="Yu Gothic"/>
                <w:sz w:val="18"/>
              </w:rPr>
              <w:t xml:space="preserve"> の risk_level: critical/high 全31機能に受入ケースを新規割当（AT-001〜031）、複合シナリオ4件を追加（AT-032〜035）、合格基準・不合格時対応フロー・受入体制を新設。実施結果はすべて「未実施」で提示し捏造なし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開発チーム</w:t>
            </w:r>
          </w:p>
        </w:tc>
      </w:tr>
    </w:tbl>
    <w:p/>
    <w:p>
      <w:pPr>
        <w:pStyle w:val="Heading2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10. 各ケースの不合格判定条件（</w:t>
      </w:r>
      <w:r>
        <w:rPr>
          <w:rFonts w:ascii="Yu Gothic" w:hAnsi="Yu Gothic" w:eastAsia="Yu Gothic"/>
          <w:color w:val="1F3763"/>
          <w:sz w:val="18"/>
        </w:rPr>
        <w:t>failure_modes</w:t>
      </w:r>
      <w:r>
        <w:rPr>
          <w:rFonts w:ascii="Yu Gothic" w:hAnsi="Yu Gothic" w:eastAsia="Yu Gothic"/>
          <w:color w:val="1F3763"/>
        </w:rPr>
        <w:t xml:space="preserve"> 対照表）</w:t>
      </w:r>
    </w:p>
    <w:p>
      <w:r>
        <w:rPr>
          <w:rFonts w:ascii="Consolas" w:hAnsi="Consolas" w:eastAsia="Consolas"/>
          <w:sz w:val="18"/>
        </w:rPr>
        <w:t>quality/feature_contracts.yml</w:t>
      </w:r>
      <w:r>
        <w:rPr>
          <w:rFonts w:ascii="Yu Gothic" w:hAnsi="Yu Gothic" w:eastAsia="Yu Gothic"/>
        </w:rPr>
        <w:t xml:space="preserve"> の各機能が宣言する </w:t>
      </w:r>
      <w:r>
        <w:rPr>
          <w:rFonts w:ascii="Consolas" w:hAnsi="Consolas" w:eastAsia="Consolas"/>
          <w:sz w:val="18"/>
        </w:rPr>
        <w:t>failure_modes</w:t>
      </w:r>
      <w:r>
        <w:rPr>
          <w:rFonts w:ascii="Yu Gothic" w:hAnsi="Yu Gothic" w:eastAsia="Yu Gothic"/>
        </w:rPr>
        <w:t>（起こってはならない 異常系）を、対応する受入ケースと突き合わせる。実施者は手順実行中にこれらの事象が 発生していないかを重点的に確認すること（2026-08-02実測、feature_contracts.ymlより抽出）。</w:t>
      </w:r>
    </w:p>
    <w:p>
      <w:pPr>
        <w:jc w:val="center"/>
      </w:pPr>
      <w:r>
        <w:rPr>
          <w:rFonts w:ascii="Yu Gothic" w:hAnsi="Yu Gothic" w:eastAsia="Yu Gothic"/>
          <w:b/>
          <w:color w:val="444444"/>
          <w:sz w:val="18"/>
        </w:rPr>
        <w:t>表 10-1　各ケースの不合格判定条件（failure_modes 対照表）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ケースID</w:t>
            </w:r>
          </w:p>
        </w:tc>
        <w:tc>
          <w:tcPr>
            <w:tcW w:type="dxa" w:w="3307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要件ID</w:t>
            </w:r>
          </w:p>
        </w:tc>
        <w:tc>
          <w:tcPr>
            <w:tcW w:type="dxa" w:w="3307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監視すべき failure_modes（代表・全件はfeature_contracts.yml参照）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AT-001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discover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invalid_url, timeout, login_wall, restricted_url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AT-002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crawl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login_wall_during_crawl, timeout, cancel, partial_checkpoint, robots_disallowed, mutation_blocked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AT-003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login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invalid_credentials, mfa_required, session_expired, recorder_timeout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AT-004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account_auth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account_locked_after_repeated_failures, inactive_account, weak_password_rejected, open_redirect_blocked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AT-005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tenant_membership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no_membership_blocks_work, tenant_not_selected_redirect, last_tenant_cannot_be_deleted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AT-006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tenant_isolation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invalid_tenant_slug_rejected, cross_tenant_path_traversal_blocked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AT-007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diff_history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missing_snapshot, session_expired_false_diff, snapshot_overwrite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AT-008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document_mbt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missing_reference_docs, unmatched_requirements, no_reachable_path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AT-009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sso_oidc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state_mismatch, issuer_mismatch, audience_mismatch, domain_not_allowed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AT-010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autorun_stage_approval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invalid_domain, unknown_stage, unapproved_items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AT-011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autorun_security_kernel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ssrf_attempt_denied, dns_rebinding_denied, budget_exhausted, secret_redacted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AT-012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autorun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approval_timeout, dependency_missing, execution_timeout_partial_result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AT-013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settings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invalid_json, invalid_type, unsafe_option_enabled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AT-014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doc_fusion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no_match, llm_schema_reject, hallucinated_quote, path_traversal_attempt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AT-015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exploration_capture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no_inventory, no_sessions, unmatched_footprint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AT-016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old_new_comparison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one_side_empty, no_pairs, link_timeout, insignificant_diff_shown_as_change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AT-017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snapshot_retention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invalid_policy, symlink_escape, gc_io_failure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AT-018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admin_audit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malformed_line, secret_value, permission_denied, tenant_escape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AT-019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ci_drift_monitor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missing_webhook, notify_http_error, missing_target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AT-020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evidence_pack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missing_report, missing_screenshots, interrupted_run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AT-021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diff_severity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invalid_regex_rule, all_changes_excluded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AT-022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api_v1_openapi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forbidden_non_admin, cross_tenant_access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AT-023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autorun_result_report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unknown_domain, missing_artifact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AT-024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autorun_self_check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self_check_not_applicable, self_check_execution_error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AT-025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autorun_nonfunctional_judge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no_baseline_first_run, login_wall_unobserved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AT-026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autorun_failure_triage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unexplained_failure, environment_error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AT-027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technique_engine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conflicting_constraints_make_tuples_uncoverable, empty_domain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AT-028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autorun_extended_techniques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no_measured_constraints, no_transitions_observed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AT-029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state_transition_table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no_screens_observed, one_switch_path_truncated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AT-030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testcase_table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concurrent_edit_overwrite, playwright_not_installed, execution_timeout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AT-031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cli_mode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zero_tests_executed_reported_as_success, stage_approval_auto_passed_without_human</w:t>
            </w:r>
          </w:p>
        </w:tc>
      </w:tr>
    </w:tbl>
    <w:p/>
    <w:p>
      <w:pPr>
        <w:pStyle w:val="Heading2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11. 受入テスト実施前の準備手順</w:t>
      </w:r>
    </w:p>
    <w:p>
      <w:r>
        <w:rPr>
          <w:rFonts w:ascii="Yu Gothic" w:hAnsi="Yu Gothic" w:eastAsia="Yu Gothic"/>
        </w:rPr>
        <w:t>実施者が迷わずケースを開始できるよう、複雑な前提条件を要するケース向けの準備手順を示す。</w:t>
      </w:r>
    </w:p>
    <w:p>
      <w:pPr>
        <w:pStyle w:val="Heading3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11.1 マルチテナント環境の準備（AT-005・AT-006・AT-032向け）</w:t>
      </w:r>
    </w:p>
    <w:p>
      <w:pPr>
        <w:pStyle w:val="ListNumber"/>
      </w:pPr>
      <w:r>
        <w:rPr>
          <w:rFonts w:ascii="Yu Gothic" w:hAnsi="Yu Gothic" w:eastAsia="Yu Gothic"/>
        </w:rPr>
        <w:t>テナントA・テナントBの2つのワークスペースを作成する（管理者コンソールから）。</w:t>
      </w:r>
    </w:p>
    <w:p>
      <w:pPr>
        <w:pStyle w:val="ListNumber"/>
      </w:pPr>
      <w:r>
        <w:rPr>
          <w:rFonts w:ascii="Yu Gothic" w:hAnsi="Yu Gothic" w:eastAsia="Yu Gothic"/>
        </w:rPr>
        <w:t>各テナントに最低1名のメンバー（一般ロール）を招待する。</w:t>
      </w:r>
    </w:p>
    <w:p>
      <w:pPr>
        <w:pStyle w:val="ListNumber"/>
      </w:pPr>
      <w:r>
        <w:rPr>
          <w:rFonts w:ascii="Yu Gothic" w:hAnsi="Yu Gothic" w:eastAsia="Yu Gothic"/>
        </w:rPr>
        <w:t>テナントAで最低1回クロールを実施し、出力（</w:t>
      </w:r>
      <w:r>
        <w:rPr>
          <w:rFonts w:ascii="Consolas" w:hAnsi="Consolas" w:eastAsia="Consolas"/>
          <w:sz w:val="18"/>
        </w:rPr>
        <w:t>output/tenants/{slug-a}/</w:t>
      </w:r>
      <w:r>
        <w:rPr>
          <w:rFonts w:ascii="Yu Gothic" w:hAnsi="Yu Gothic" w:eastAsia="Yu Gothic"/>
        </w:rPr>
        <w:t>）を生成しておく。</w:t>
      </w:r>
    </w:p>
    <w:p>
      <w:pPr>
        <w:pStyle w:val="ListNumber"/>
      </w:pPr>
      <w:r>
        <w:rPr>
          <w:rFonts w:ascii="Yu Gothic" w:hAnsi="Yu Gothic" w:eastAsia="Yu Gothic"/>
        </w:rPr>
        <w:t>テナントBのユーザーでログインし、テナントAの出力・観点DB・APIトークンへの</w:t>
      </w:r>
    </w:p>
    <w:p>
      <w:r>
        <w:rPr>
          <w:rFonts w:ascii="Yu Gothic" w:hAnsi="Yu Gothic" w:eastAsia="Yu Gothic"/>
        </w:rPr>
        <w:t>アクセスを試みる準備をする（実施はケース手順内で行う）。</w:t>
      </w:r>
    </w:p>
    <w:p>
      <w:pPr>
        <w:pStyle w:val="Heading3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11.2 SSO/OIDC環境の準備（AT-009向け）</w:t>
      </w:r>
    </w:p>
    <w:p>
      <w:pPr>
        <w:pStyle w:val="ListNumber"/>
      </w:pPr>
      <w:r>
        <w:rPr>
          <w:rFonts w:ascii="Yu Gothic" w:hAnsi="Yu Gothic" w:eastAsia="Yu Gothic"/>
        </w:rPr>
        <w:t>テスト用のOIDCプロバイダ（またはモック）を用意し、</w:t>
      </w:r>
      <w:r>
        <w:rPr>
          <w:rFonts w:ascii="Consolas" w:hAnsi="Consolas" w:eastAsia="Consolas"/>
          <w:sz w:val="18"/>
        </w:rPr>
        <w:t>WEBSPEC2DOC_OIDC_PROVIDER</w:t>
      </w:r>
      <w:r>
        <w:rPr>
          <w:rFonts w:ascii="Yu Gothic" w:hAnsi="Yu Gothic" w:eastAsia="Yu Gothic"/>
        </w:rPr>
        <w:t>等の</w:t>
      </w:r>
    </w:p>
    <w:p>
      <w:r>
        <w:rPr>
          <w:rFonts w:ascii="Yu Gothic" w:hAnsi="Yu Gothic" w:eastAsia="Yu Gothic"/>
        </w:rPr>
        <w:t>環境変数を設定する。</w:t>
      </w:r>
    </w:p>
    <w:p>
      <w:pPr>
        <w:pStyle w:val="ListNumber"/>
      </w:pPr>
      <w:r>
        <w:rPr>
          <w:rFonts w:ascii="Yu Gothic" w:hAnsi="Yu Gothic" w:eastAsia="Yu Gothic"/>
        </w:rPr>
        <w:t>正規の認証情報1組と、意図的に不正な state/issuer を持つリクエストを準備する。</w:t>
      </w:r>
    </w:p>
    <w:p>
      <w:pPr>
        <w:pStyle w:val="ListNumber"/>
      </w:pPr>
      <w:r>
        <w:rPr>
          <w:rFonts w:ascii="Yu Gothic" w:hAnsi="Yu Gothic" w:eastAsia="Yu Gothic"/>
        </w:rPr>
        <w:t>許可ドメイン外のメールアドレスを持つテストアカウントも1つ用意し、</w:t>
      </w:r>
    </w:p>
    <w:p>
      <w:r>
        <w:rPr>
          <w:rFonts w:ascii="Consolas" w:hAnsi="Consolas" w:eastAsia="Consolas"/>
          <w:sz w:val="18"/>
        </w:rPr>
        <w:t>domain_not_allowed</w:t>
      </w:r>
      <w:r>
        <w:rPr>
          <w:rFonts w:ascii="Yu Gothic" w:hAnsi="Yu Gothic" w:eastAsia="Yu Gothic"/>
        </w:rPr>
        <w:t xml:space="preserve"> の検証に用いる。</w:t>
      </w:r>
    </w:p>
    <w:p>
      <w:pPr>
        <w:pStyle w:val="Heading3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11.3 AutoRunセキュリティケースの準備（AT-011向け）</w:t>
      </w:r>
    </w:p>
    <w:p>
      <w:pPr>
        <w:pStyle w:val="ListNumber"/>
      </w:pPr>
      <w:r>
        <w:rPr>
          <w:rFonts w:ascii="Yu Gothic" w:hAnsi="Yu Gothic" w:eastAsia="Yu Gothic"/>
        </w:rPr>
        <w:t>外部送信を要する操作（LLM呼び出し等）を含むAutoRunフローを準備する。</w:t>
      </w:r>
    </w:p>
    <w:p>
      <w:pPr>
        <w:pStyle w:val="ListNumber"/>
      </w:pPr>
      <w:r>
        <w:rPr>
          <w:rFonts w:ascii="Yu Gothic" w:hAnsi="Yu Gothic" w:eastAsia="Yu Gothic"/>
        </w:rPr>
        <w:t>SSRF・DNSリバインディングを試行する想定の入力（内部IPアドレス表記等）を</w:t>
      </w:r>
    </w:p>
    <w:p>
      <w:r>
        <w:rPr>
          <w:rFonts w:ascii="Yu Gothic" w:hAnsi="Yu Gothic" w:eastAsia="Yu Gothic"/>
        </w:rPr>
        <w:t>あらかじめ用意しておく（実際の攻撃ではなく、拒否されることを確認する目的）。</w:t>
      </w:r>
    </w:p>
    <w:p>
      <w:pPr>
        <w:pStyle w:val="ListNumber"/>
      </w:pPr>
      <w:r>
        <w:rPr>
          <w:rFonts w:ascii="Consolas" w:hAnsi="Consolas" w:eastAsia="Consolas"/>
          <w:sz w:val="18"/>
        </w:rPr>
        <w:t>egress_log.ndjson</w:t>
      </w:r>
      <w:r>
        <w:rPr>
          <w:rFonts w:ascii="Yu Gothic" w:hAnsi="Yu Gothic" w:eastAsia="Yu Gothic"/>
        </w:rPr>
        <w:t xml:space="preserve"> の出力先を確認できる状態にしておく。</w:t>
      </w:r>
    </w:p>
    <w:p>
      <w:pPr>
        <w:pStyle w:val="Heading3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11.4 CLI実行環境の準備（AT-031向け）</w:t>
      </w:r>
    </w:p>
    <w:p>
      <w:pPr>
        <w:pStyle w:val="ListNumber"/>
      </w:pPr>
      <w:r>
        <w:rPr>
          <w:rFonts w:ascii="Yu Gothic" w:hAnsi="Yu Gothic" w:eastAsia="Yu Gothic"/>
        </w:rPr>
        <w:t xml:space="preserve">ターミナルから </w:t>
      </w:r>
      <w:r>
        <w:rPr>
          <w:rFonts w:ascii="Consolas" w:hAnsi="Consolas" w:eastAsia="Consolas"/>
          <w:sz w:val="18"/>
        </w:rPr>
        <w:t>venv/bin/python -m src.cli --help</w:t>
      </w:r>
      <w:r>
        <w:rPr>
          <w:rFonts w:ascii="Yu Gothic" w:hAnsi="Yu Gothic" w:eastAsia="Yu Gothic"/>
        </w:rPr>
        <w:t xml:space="preserve"> が実行できることを確認する。</w:t>
      </w:r>
    </w:p>
    <w:p>
      <w:pPr>
        <w:pStyle w:val="ListNumber"/>
      </w:pPr>
      <w:r>
        <w:rPr>
          <w:rFonts w:ascii="Consolas" w:hAnsi="Consolas" w:eastAsia="Consolas"/>
          <w:sz w:val="18"/>
        </w:rPr>
        <w:t>--json</w:t>
      </w:r>
      <w:r>
        <w:rPr>
          <w:rFonts w:ascii="Yu Gothic" w:hAnsi="Yu Gothic" w:eastAsia="Yu Gothic"/>
        </w:rPr>
        <w:t xml:space="preserve"> オプションの有無で出力形式が変わることを事前に把握しておく。</w:t>
      </w:r>
    </w:p>
    <w:p>
      <w:pPr>
        <w:pStyle w:val="ListNumber"/>
      </w:pPr>
      <w:r>
        <w:rPr>
          <w:rFonts w:ascii="Yu Gothic" w:hAnsi="Yu Gothic" w:eastAsia="Yu Gothic"/>
        </w:rPr>
        <w:t>意図的にログインが必要なサイトを対象URLとして用意し、認証情報なしでの</w:t>
      </w:r>
    </w:p>
    <w:p>
      <w:r>
        <w:rPr>
          <w:rFonts w:ascii="Yu Gothic" w:hAnsi="Yu Gothic" w:eastAsia="Yu Gothic"/>
        </w:rPr>
        <w:t>実行時の終了コードを確認できるようにする。</w:t>
      </w:r>
    </w:p>
    <w:p>
      <w:pPr>
        <w:pStyle w:val="Heading3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11.5 複合シナリオ共通の準備（AT-032〜035向け）</w:t>
      </w:r>
    </w:p>
    <w:p>
      <w:r>
        <w:rPr>
          <w:rFonts w:ascii="Yu Gothic" w:hAnsi="Yu Gothic" w:eastAsia="Yu Gothic"/>
        </w:rPr>
        <w:t>複合シナリオは個別ケース（AT-001〜031）の前提環境を組み合わせて使うため、 先に該当する個別ケースの準備（§11.1〜11.4）を完了させてから着手すること。 特にAT-033（ダークモード巡回）は追加の準備を要さず、OS/ブラウザのダークモード 設定を切り替えるのみでよい。</w:t>
      </w:r>
    </w:p>
    <w:p>
      <w:pPr>
        <w:pStyle w:val="Heading2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12. 本書のカバレッジ確認</w:t>
      </w:r>
    </w:p>
    <w:p>
      <w:r>
        <w:rPr>
          <w:rFonts w:ascii="Consolas" w:hAnsi="Consolas" w:eastAsia="Consolas"/>
          <w:sz w:val="18"/>
        </w:rPr>
        <w:t>quality/feature_contracts.yml</w:t>
      </w:r>
      <w:r>
        <w:rPr>
          <w:rFonts w:ascii="Yu Gothic" w:hAnsi="Yu Gothic" w:eastAsia="Yu Gothic"/>
        </w:rPr>
        <w:t xml:space="preserve"> の risk_level 別に、本書が実際にケースを割り当てた 比率を確認する（2026-08-02実測、本書自身の集計）。</w:t>
      </w:r>
    </w:p>
    <w:p>
      <w:pPr>
        <w:jc w:val="center"/>
      </w:pPr>
      <w:r>
        <w:rPr>
          <w:rFonts w:ascii="Yu Gothic" w:hAnsi="Yu Gothic" w:eastAsia="Yu Gothic"/>
          <w:b/>
          <w:color w:val="444444"/>
          <w:sz w:val="18"/>
        </w:rPr>
        <w:t>表 12-1　本書のカバレッジ確認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</w:tblGrid>
      <w:tr>
        <w:tc>
          <w:tcPr>
            <w:tcW w:type="dxa" w:w="1654"/>
            <w:shd w:fill="D9E2F3"/>
          </w:tcPr>
          <w:p>
            <w:r>
              <w:rPr>
                <w:b/>
                <w:sz w:val="17"/>
              </w:rPr>
            </w:r>
            <w:r>
              <w:rPr>
                <w:rFonts w:ascii="Yu Gothic" w:hAnsi="Yu Gothic" w:eastAsia="Yu Gothic"/>
                <w:b/>
                <w:sz w:val="17"/>
              </w:rPr>
              <w:t>risk_level</w:t>
            </w:r>
          </w:p>
        </w:tc>
        <w:tc>
          <w:tcPr>
            <w:tcW w:type="dxa" w:w="1654"/>
            <w:shd w:fill="D9E2F3"/>
          </w:tcPr>
          <w:p>
            <w:r>
              <w:rPr>
                <w:b/>
                <w:sz w:val="17"/>
              </w:rPr>
            </w:r>
            <w:r>
              <w:rPr>
                <w:rFonts w:ascii="Yu Gothic" w:hAnsi="Yu Gothic" w:eastAsia="Yu Gothic"/>
                <w:b/>
                <w:sz w:val="17"/>
              </w:rPr>
              <w:t>総数</w:t>
            </w:r>
          </w:p>
        </w:tc>
        <w:tc>
          <w:tcPr>
            <w:tcW w:type="dxa" w:w="1654"/>
            <w:shd w:fill="D9E2F3"/>
          </w:tcPr>
          <w:p>
            <w:r>
              <w:rPr>
                <w:b/>
                <w:sz w:val="17"/>
              </w:rPr>
            </w:r>
            <w:r>
              <w:rPr>
                <w:rFonts w:ascii="Yu Gothic" w:hAnsi="Yu Gothic" w:eastAsia="Yu Gothic"/>
                <w:b/>
                <w:sz w:val="17"/>
              </w:rPr>
              <w:t>個別ケース割当</w:t>
            </w:r>
          </w:p>
        </w:tc>
        <w:tc>
          <w:tcPr>
            <w:tcW w:type="dxa" w:w="1654"/>
            <w:shd w:fill="D9E2F3"/>
          </w:tcPr>
          <w:p>
            <w:r>
              <w:rPr>
                <w:b/>
                <w:sz w:val="17"/>
              </w:rPr>
            </w:r>
            <w:r>
              <w:rPr>
                <w:rFonts w:ascii="Yu Gothic" w:hAnsi="Yu Gothic" w:eastAsia="Yu Gothic"/>
                <w:b/>
                <w:sz w:val="17"/>
              </w:rPr>
              <w:t>複合ケースのみ</w:t>
            </w:r>
          </w:p>
        </w:tc>
        <w:tc>
          <w:tcPr>
            <w:tcW w:type="dxa" w:w="1654"/>
            <w:shd w:fill="D9E2F3"/>
          </w:tcPr>
          <w:p>
            <w:r>
              <w:rPr>
                <w:b/>
                <w:sz w:val="17"/>
              </w:rPr>
            </w:r>
            <w:r>
              <w:rPr>
                <w:rFonts w:ascii="Yu Gothic" w:hAnsi="Yu Gothic" w:eastAsia="Yu Gothic"/>
                <w:b/>
                <w:sz w:val="17"/>
              </w:rPr>
              <w:t>未割当</w:t>
            </w:r>
          </w:p>
        </w:tc>
        <w:tc>
          <w:tcPr>
            <w:tcW w:type="dxa" w:w="1654"/>
            <w:shd w:fill="D9E2F3"/>
          </w:tcPr>
          <w:p>
            <w:r>
              <w:rPr>
                <w:b/>
                <w:sz w:val="17"/>
              </w:rPr>
            </w:r>
            <w:r>
              <w:rPr>
                <w:rFonts w:ascii="Yu Gothic" w:hAnsi="Yu Gothic" w:eastAsia="Yu Gothic"/>
                <w:b/>
                <w:sz w:val="17"/>
              </w:rPr>
              <w:t>割当率</w:t>
            </w:r>
          </w:p>
        </w:tc>
      </w:tr>
      <w:tr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critical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11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11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0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0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100%</w:t>
            </w:r>
          </w:p>
        </w:tc>
      </w:tr>
      <w:tr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high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20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20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0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0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100%</w:t>
            </w:r>
          </w:p>
        </w:tc>
      </w:tr>
      <w:tr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medium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18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0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1（usage_roi）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17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5.6%</w:t>
            </w:r>
          </w:p>
        </w:tc>
      </w:tr>
      <w:tr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low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2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0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0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2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0%</w:t>
            </w:r>
          </w:p>
        </w:tc>
      </w:tr>
      <w:tr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合計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51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31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1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19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60.8%</w:t>
            </w:r>
          </w:p>
        </w:tc>
      </w:tr>
    </w:tbl>
    <w:p/>
    <w:p>
      <w:r>
        <w:rPr>
          <w:rFonts w:ascii="Yu Gothic" w:hAnsi="Yu Gothic" w:eastAsia="Yu Gothic"/>
        </w:rPr>
        <w:t>critical・high はいずれも100%の割当を達成しており、本書§1の目的（利用者が実際に 価値を受け取れることの確認）の対象を、リスクが高い機能について取りこぼしなく カバーしていることを示す。medium・low への割当拡大は次回改訂の検討課題とする。</w:t>
      </w:r>
    </w:p>
    <w:p>
      <w:pPr>
        <w:pStyle w:val="Heading2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13. 用語の定義</w:t>
      </w:r>
    </w:p>
    <w:p>
      <w:pPr>
        <w:jc w:val="center"/>
      </w:pPr>
      <w:r>
        <w:rPr>
          <w:rFonts w:ascii="Yu Gothic" w:hAnsi="Yu Gothic" w:eastAsia="Yu Gothic"/>
          <w:b/>
          <w:color w:val="444444"/>
          <w:sz w:val="18"/>
        </w:rPr>
        <w:t>表 13-1　用語の定義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用語</w:t>
            </w:r>
          </w:p>
        </w:tc>
        <w:tc>
          <w:tcPr>
            <w:tcW w:type="dxa" w:w="4961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定義</w:t>
            </w:r>
          </w:p>
        </w:tc>
      </w:tr>
      <w:tr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判定</w:t>
            </w:r>
          </w:p>
        </w:tc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本書における各ケースの実施結果欄。「未実施」「合格」「不合格」「条件付き合格」のいずれかを記入する</w:t>
            </w:r>
          </w:p>
        </w:tc>
      </w:tr>
      <w:tr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claim_scope</w:t>
            </w:r>
          </w:p>
        </w:tc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evidence_pack</w:t>
            </w:r>
            <w:r>
              <w:rPr>
                <w:rFonts w:ascii="Yu Gothic" w:hAnsi="Yu Gothic" w:eastAsia="Yu Gothic"/>
                <w:sz w:val="18"/>
              </w:rPr>
              <w:t xml:space="preserve"> 機能が明示する「どこまでを主張できるか」の範囲。過大な主張を避ける設計原則</w:t>
            </w:r>
          </w:p>
        </w:tc>
      </w:tr>
      <w:tr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evidence-only原則</w:t>
            </w:r>
          </w:p>
        </w:tc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観測した事実のみを主張し、推測や未確認の内容を事実として提示しない本製品の設計原則</w:t>
            </w:r>
          </w:p>
        </w:tc>
      </w:tr>
      <w:tr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複合シナリオ</w:t>
            </w:r>
          </w:p>
        </w:tc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単一機能ではなく複数機能・非機能観点を横断して確認するテストケース（AT-032〜035）</w:t>
            </w:r>
          </w:p>
        </w:tc>
      </w:tr>
    </w:tbl>
    <w:p/>
    <w:sectPr w:rsidR="00FC693F" w:rsidRPr="0006063C" w:rsidSect="00034616">
      <w:footerReference w:type="default" r:id="rId9"/>
      <w:headerReference w:type="default" r:id="rId10"/>
      <w:pgSz w:w="11906" w:h="16838"/>
      <w:pgMar w:top="1417" w:right="850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Yu Gothic" w:hAnsi="Yu Gothic" w:eastAsia="Yu Gothic"/>
        <w:sz w:val="18"/>
      </w:rPr>
      <w:t xml:space="preserve">- </w:t>
    </w:r>
    <w:r>
      <w:rPr>
        <w:rFonts w:ascii="Yu Gothic" w:hAnsi="Yu Gothic" w:eastAsia="Yu Gothic"/>
        <w:sz w:val="18"/>
      </w:rPr>
      <w:fldChar w:fldCharType="begin"/>
      <w:instrText xml:space="preserve">PAGE</w:instrText>
      <w:fldChar w:fldCharType="end"/>
    </w:r>
    <w:r>
      <w:rPr>
        <w:rFonts w:ascii="Yu Gothic" w:hAnsi="Yu Gothic" w:eastAsia="Yu Gothic"/>
        <w:sz w:val="18"/>
      </w:rPr>
      <w:t xml:space="preserve"> -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Yu Gothic" w:hAnsi="Yu Gothic" w:eastAsia="Yu Gothic"/>
        <w:color w:val="666666"/>
        <w:sz w:val="16"/>
      </w:rPr>
      <w:t>受入テスト仕様書（UAT / L4）　WS2D-AT-001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eastAsia="Yu Gothic" w:ascii="Yu Gothic" w:hAnsi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