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Rule="auto" w:line="360"/>
        <w:jc w:val="center"/>
      </w:pPr>
      <w:r>
        <w:rPr>
          <w:rFonts w:ascii="Roboto" w:hAnsi="Roboto"/>
          <w:b/>
          <w:sz w:val="32"/>
        </w:rPr>
        <w:t>RELATÓRIO DE ANÁLISE JURÍDICA MULTI-AGENTE</w:t>
      </w:r>
    </w:p>
    <w:p>
      <w:pPr>
        <w:spacing w:lineRule="auto" w:line="360"/>
        <w:jc w:val="both"/>
      </w:pPr>
      <w:r>
        <w:rPr>
          <w:rFonts w:ascii="Roboto" w:hAnsi="Roboto"/>
        </w:rPr>
        <w:t>Registro:</w:t>
      </w:r>
    </w:p>
    <w:p>
      <w:pPr>
        <w:spacing w:lineRule="auto" w:line="360"/>
        <w:jc w:val="both"/>
      </w:pPr>
      <w:r>
        <w:rPr>
          <w:rFonts w:ascii="Roboto" w:hAnsi="Roboto"/>
        </w:rPr>
        <w:t>REG-NOVO</w:t>
      </w:r>
    </w:p>
    <w:p>
      <w:pPr>
        <w:spacing w:lineRule="auto" w:line="360"/>
        <w:jc w:val="both"/>
      </w:pPr>
      <w:r>
        <w:rPr>
          <w:rFonts w:ascii="Roboto" w:hAnsi="Roboto"/>
        </w:rPr>
        <w:t>Especialistas:</w:t>
      </w:r>
    </w:p>
    <w:p>
      <w:pPr>
        <w:spacing w:lineRule="auto" w:line="360"/>
        <w:jc w:val="both"/>
      </w:pPr>
      <w:r>
        <w:rPr>
          <w:rFonts w:ascii="Roboto" w:hAnsi="Roboto"/>
        </w:rPr>
        <w:t>1</w:t>
      </w:r>
    </w:p>
    <w:p>
      <w:pPr>
        <w:spacing w:lineRule="auto" w:line="360"/>
        <w:jc w:val="both"/>
      </w:pPr>
      <w:r>
        <w:rPr>
          <w:rFonts w:ascii="Roboto" w:hAnsi="Roboto"/>
        </w:rPr>
        <w:t>Data:</w:t>
      </w:r>
    </w:p>
    <w:p>
      <w:pPr>
        <w:spacing w:lineRule="auto" w:line="360"/>
        <w:jc w:val="both"/>
      </w:pPr>
      <w:r>
        <w:rPr>
          <w:rFonts w:ascii="Roboto" w:hAnsi="Roboto"/>
        </w:rPr>
        <w:t>22/06/2025 às 18:37</w:t>
      </w:r>
    </w:p>
    <w:p>
      <w:pPr>
        <w:pStyle w:val="Heading1"/>
        <w:spacing w:lineRule="auto" w:line="360"/>
        <w:jc w:val="both"/>
      </w:pPr>
      <w:r>
        <w:rPr>
          <w:rFonts w:ascii="Roboto" w:hAnsi="Roboto"/>
          <w:b/>
          <w:sz w:val="28"/>
        </w:rPr>
        <w:t>ANÁLISES DOS ESPECIALISTAS</w:t>
      </w:r>
    </w:p>
    <w:p>
      <w:pPr>
        <w:pStyle w:val="Heading2"/>
        <w:spacing w:lineRule="auto" w:line="360"/>
        <w:jc w:val="both"/>
      </w:pPr>
      <w:r>
        <w:rPr>
          <w:rFonts w:ascii="Roboto" w:hAnsi="Roboto"/>
          <w:b/>
          <w:sz w:val="24"/>
        </w:rPr>
        <w:t>1. Consultor em Propriedade Intelectual</w:t>
      </w:r>
    </w:p>
    <w:p>
      <w:pPr>
        <w:spacing w:lineRule="auto" w:line="360"/>
        <w:jc w:val="both"/>
      </w:pPr>
      <w:r>
        <w:rPr>
          <w:rFonts w:ascii="Roboto" w:hAnsi="Roboto"/>
          <w:sz w:val="22"/>
        </w:rPr>
        <w:t>Modelo: OpenAI GPT-4o</w:t>
      </w:r>
    </w:p>
    <w:p>
      <w:pPr>
        <w:spacing w:lineRule="auto" w:line="360"/>
        <w:jc w:val="both"/>
      </w:pPr>
      <w:r>
        <w:rPr>
          <w:rFonts w:ascii="Roboto" w:hAnsi="Roboto"/>
          <w:sz w:val="22"/>
        </w:rPr>
        <w:t>ANÁLISE DE PROPRIEDADE INTELECTUAL</w:t>
        <w:br/>
        <w:t>1. IDENTIFICAÇÃO DOS DIREITOS</w:t>
        <w:br/>
        <w:t>- Contrato de marketing digital</w:t>
        <w:br/>
        <w:t>- Desenvolvimento de materiais</w:t>
        <w:br/>
        <w:t>2. RISCOS IDENTIFICADOS</w:t>
        <w:br/>
        <w:t>- CRÍTICO: Uso da marca no portfólio</w:t>
      </w:r>
    </w:p>
    <w:p>
      <w:r>
        <w:br w:type="page"/>
      </w:r>
    </w:p>
    <w:p>
      <w:pPr>
        <w:pStyle w:val="Heading1"/>
      </w:pPr>
      <w:r>
        <w:t>Recomendações Consolidadas</w:t>
      </w:r>
    </w:p>
    <w:p>
      <w:pPr>
        <w:pStyle w:val="Heading2"/>
      </w:pPr>
      <w:r>
        <w:t>Melhorias Importantes</w:t>
      </w:r>
    </w:p>
    <w:p>
      <w:pPr>
        <w:pStyle w:val="ListBullet"/>
      </w:pPr>
      <w:r>
        <w:t>Estabelecer marcos objetivos</w:t>
      </w:r>
    </w:p>
    <w:p>
      <w:pPr>
        <w:pStyle w:val="Heading2"/>
      </w:pPr>
      <w:r>
        <w:t>Ações Prioritárias</w:t>
      </w:r>
    </w:p>
    <w:p>
      <w:pPr>
        <w:pStyle w:val="ListBullet"/>
      </w:pPr>
      <w:r>
        <w:t>Revisar cláusula 4.1</w:t>
      </w:r>
    </w:p>
    <w:p>
      <w:pPr>
        <w:pStyle w:val="Heading2"/>
      </w:pPr>
      <w:r>
        <w:t>Sugestões Adicionais</w:t>
      </w:r>
    </w:p>
    <w:p>
      <w:pPr>
        <w:pStyle w:val="ListBullet"/>
      </w:pPr>
      <w:r>
        <w:t>Criar conta escrow</w:t>
      </w:r>
    </w:p>
    <w:sectPr w:rsidR="00FC693F" w:rsidRPr="0006063C" w:rsidSect="00034616">
      <w:pgSz w:w="12240" w:h="15840"/>
      <w:pgMar w:top="1134" w:right="1134" w:bottom="198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