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0B6E4F"/>
          <w:sz w:val="36"/>
          <w:szCs w:val="36"/>
        </w:rPr>
        <w:t xml:space="preserve">EYEONSITE</w:t>
      </w:r>
    </w:p>
    <w:p>
      <w:pPr>
        <w:spacing w:after="40"/>
        <w:jc w:val="center"/>
      </w:pPr>
      <w:r>
        <w:rPr>
          <w:rFonts w:ascii="Arial" w:cs="Arial" w:eastAsia="Arial" w:hAnsi="Arial"/>
          <w:b/>
          <w:bCs/>
          <w:color w:val="022B1E"/>
          <w:sz w:val="30"/>
          <w:szCs w:val="30"/>
        </w:rPr>
        <w:t xml:space="preserve">CO-FOUNDER AGREEMENT</w:t>
      </w:r>
    </w:p>
    <w:p>
      <w:pPr>
        <w:spacing w:after="200"/>
        <w:jc w:val="center"/>
      </w:pPr>
      <w:r>
        <w:rPr>
          <w:rFonts w:ascii="Arial" w:cs="Arial" w:eastAsia="Arial" w:hAnsi="Arial"/>
          <w:color w:val="999999"/>
          <w:sz w:val="18"/>
          <w:szCs w:val="18"/>
        </w:rPr>
        <w:t xml:space="preserve">CONFIDENTIAL DRAFT | Version 1.0 | [DATE]</w:t>
      </w:r>
    </w:p>
    <w:p>
      <w:pPr>
        <w:pBdr>
          <w:left w:val="single" w:color="F59E0B" w:sz="12" w:space="8"/>
        </w:pBdr>
        <w:shd w:fill="FFF3E0" w:val="clear"/>
        <w:spacing w:after="200" w:before="120"/>
      </w:pPr>
      <w:r>
        <w:rPr>
          <w:rFonts w:ascii="Arial" w:cs="Arial" w:eastAsia="Arial" w:hAnsi="Arial"/>
          <w:color w:val="333333"/>
          <w:sz w:val="20"/>
          <w:szCs w:val="20"/>
        </w:rPr>
        <w:t xml:space="preserve">DRAFT ONLY: This document is a working framework for co-founder discussions. It is NOT a binding legal agreement. Both parties should engage independent legal counsel before signing any binding version. This document reflects the specific context of EyeOnSite as of May 2026.</w:t>
      </w:r>
    </w:p>
    <w:p>
      <w:pPr>
        <w:pStyle w:val="Heading1"/>
        <w:spacing w:after="200" w:before="360"/>
      </w:pPr>
      <w:r>
        <w:rPr>
          <w:rFonts w:ascii="Arial" w:cs="Arial" w:eastAsia="Arial" w:hAnsi="Arial"/>
          <w:b/>
          <w:bCs/>
          <w:color w:val="022B1E"/>
          <w:sz w:val="28"/>
          <w:szCs w:val="28"/>
        </w:rPr>
        <w:t xml:space="preserve">1. Parties and Recitals</w:t>
      </w:r>
    </w:p>
    <w:p>
      <w:pPr>
        <w:spacing w:after="160" w:line="276"/>
      </w:pPr>
      <w:r>
        <w:rPr>
          <w:rFonts w:ascii="Arial" w:cs="Arial" w:eastAsia="Arial" w:hAnsi="Arial"/>
          <w:color w:val="333333"/>
          <w:sz w:val="20"/>
          <w:szCs w:val="20"/>
        </w:rPr>
        <w:t xml:space="preserve">This Co-Founder Agreement ("Agreement") is entered into by and between:</w:t>
      </w:r>
    </w:p>
    <w:p>
      <w:pPr>
        <w:spacing w:after="160" w:line="276"/>
      </w:pPr>
      <w:r>
        <w:rPr>
          <w:rFonts w:ascii="Arial" w:cs="Arial" w:eastAsia="Arial" w:hAnsi="Arial"/>
          <w:b/>
          <w:bCs/>
          <w:color w:val="333333"/>
          <w:sz w:val="20"/>
          <w:szCs w:val="20"/>
        </w:rPr>
        <w:t xml:space="preserve">Party A ("Technical Founder"): </w:t>
      </w:r>
      <w:r>
        <w:rPr>
          <w:rFonts w:ascii="Arial" w:cs="Arial" w:eastAsia="Arial" w:hAnsi="Arial"/>
          <w:color w:val="333333"/>
          <w:sz w:val="20"/>
          <w:szCs w:val="20"/>
        </w:rPr>
        <w:t xml:space="preserve">Maku Mazakpe, a Ugandan national resident in Accra, Ghana. MEST Africa alumnus (2023-2024). Senior Mobile Developer at Farmerline Group. Founder of Manti Labs LLC (Delaware, USA) and MANTI LABS AFRICA CO. LTD (Ghana).</w:t>
      </w:r>
    </w:p>
    <w:p>
      <w:pPr>
        <w:spacing w:after="160" w:line="276"/>
      </w:pPr>
      <w:r>
        <w:rPr>
          <w:rFonts w:ascii="Arial" w:cs="Arial" w:eastAsia="Arial" w:hAnsi="Arial"/>
          <w:b/>
          <w:bCs/>
          <w:color w:val="333333"/>
          <w:sz w:val="20"/>
          <w:szCs w:val="20"/>
        </w:rPr>
        <w:t xml:space="preserve">Party B ("Growth Founder"): </w:t>
      </w:r>
      <w:r>
        <w:rPr>
          <w:rFonts w:ascii="Arial" w:cs="Arial" w:eastAsia="Arial" w:hAnsi="Arial"/>
          <w:color w:val="333333"/>
          <w:sz w:val="20"/>
          <w:szCs w:val="20"/>
        </w:rPr>
        <w:t xml:space="preserve">[FULL NAME], a [NATIONALITY] national resident in [CITY, COUNTRY]. [BRIEF PROFESSIONAL BACKGROUND].</w:t>
      </w:r>
    </w:p>
    <w:p>
      <w:pPr>
        <w:spacing w:after="0"/>
      </w:pPr>
    </w:p>
    <w:p>
      <w:pPr>
        <w:spacing w:after="160" w:line="276"/>
      </w:pPr>
      <w:r>
        <w:rPr>
          <w:rFonts w:ascii="Arial" w:cs="Arial" w:eastAsia="Arial" w:hAnsi="Arial"/>
          <w:color w:val="333333"/>
          <w:sz w:val="20"/>
          <w:szCs w:val="20"/>
        </w:rPr>
        <w:t xml:space="preserve">Together referred to as the "Co-Founders" or individually as a "Co-Founder."</w:t>
      </w:r>
    </w:p>
    <w:p>
      <w:pPr>
        <w:spacing w:after="0"/>
      </w:pPr>
    </w:p>
    <w:p>
      <w:pPr>
        <w:pStyle w:val="Heading2"/>
        <w:spacing w:after="160" w:before="280"/>
      </w:pPr>
      <w:r>
        <w:rPr>
          <w:rFonts w:ascii="Arial" w:cs="Arial" w:eastAsia="Arial" w:hAnsi="Arial"/>
          <w:b/>
          <w:bCs/>
          <w:color w:val="0B6E4F"/>
          <w:sz w:val="24"/>
          <w:szCs w:val="24"/>
        </w:rPr>
        <w:t xml:space="preserve">1.1 Background</w:t>
      </w:r>
    </w:p>
    <w:p>
      <w:pPr>
        <w:spacing w:after="160" w:line="276"/>
      </w:pPr>
      <w:r>
        <w:rPr>
          <w:rFonts w:ascii="Arial" w:cs="Arial" w:eastAsia="Arial" w:hAnsi="Arial"/>
          <w:color w:val="333333"/>
          <w:sz w:val="20"/>
          <w:szCs w:val="20"/>
        </w:rPr>
        <w:t xml:space="preserve">EyeOnSite is an on-demand trust verification marketplace connecting diaspora investors with verified local inspectors in African cities. The platform provides GPS-stamped, escrow-backed evidence that physical investments (construction projects, property, land, agricultural operations) are real and progressing as claimed.</w:t>
      </w:r>
    </w:p>
    <w:p>
      <w:pPr>
        <w:spacing w:after="160" w:line="276"/>
      </w:pPr>
      <w:r>
        <w:rPr>
          <w:rFonts w:ascii="Arial" w:cs="Arial" w:eastAsia="Arial" w:hAnsi="Arial"/>
          <w:b/>
          <w:bCs/>
          <w:color w:val="333333"/>
          <w:sz w:val="20"/>
          <w:szCs w:val="20"/>
        </w:rPr>
        <w:t xml:space="preserve">Platform: </w:t>
      </w:r>
      <w:r>
        <w:rPr>
          <w:rFonts w:ascii="Arial" w:cs="Arial" w:eastAsia="Arial" w:hAnsi="Arial"/>
          <w:color w:val="333333"/>
          <w:sz w:val="20"/>
          <w:szCs w:val="20"/>
        </w:rPr>
        <w:t xml:space="preserve">https://eyeonsite-3b8e0.web.app/</w:t>
      </w:r>
    </w:p>
    <w:p>
      <w:pPr>
        <w:spacing w:after="160" w:line="276"/>
      </w:pPr>
      <w:r>
        <w:rPr>
          <w:rFonts w:ascii="Arial" w:cs="Arial" w:eastAsia="Arial" w:hAnsi="Arial"/>
          <w:b/>
          <w:bCs/>
          <w:color w:val="333333"/>
          <w:sz w:val="20"/>
          <w:szCs w:val="20"/>
        </w:rPr>
        <w:t xml:space="preserve">Contact: </w:t>
      </w:r>
      <w:r>
        <w:rPr>
          <w:rFonts w:ascii="Arial" w:cs="Arial" w:eastAsia="Arial" w:hAnsi="Arial"/>
          <w:color w:val="333333"/>
          <w:sz w:val="20"/>
          <w:szCs w:val="20"/>
        </w:rPr>
        <w:t xml:space="preserve">makpalyy@gmail.com</w:t>
      </w:r>
    </w:p>
    <w:p>
      <w:pPr>
        <w:spacing w:after="0"/>
      </w:pPr>
    </w:p>
    <w:p>
      <w:pPr>
        <w:pStyle w:val="Heading2"/>
        <w:spacing w:after="160" w:before="280"/>
      </w:pPr>
      <w:r>
        <w:rPr>
          <w:rFonts w:ascii="Arial" w:cs="Arial" w:eastAsia="Arial" w:hAnsi="Arial"/>
          <w:b/>
          <w:bCs/>
          <w:color w:val="0B6E4F"/>
          <w:sz w:val="24"/>
          <w:szCs w:val="24"/>
        </w:rPr>
        <w:t xml:space="preserve">1.2 Pre-Existing Work</w:t>
      </w:r>
    </w:p>
    <w:p>
      <w:pPr>
        <w:spacing w:after="160" w:line="276"/>
      </w:pPr>
      <w:r>
        <w:rPr>
          <w:rFonts w:ascii="Arial" w:cs="Arial" w:eastAsia="Arial" w:hAnsi="Arial"/>
          <w:color w:val="333333"/>
          <w:sz w:val="20"/>
          <w:szCs w:val="20"/>
        </w:rPr>
        <w:t xml:space="preserve">Prior to this Agreement, the Technical Founder has independently completed the following work on EyeOnSite:</w:t>
      </w:r>
    </w:p>
    <w:p>
      <w:pPr>
        <w:pStyle w:val="ListParagraph"/>
        <w:numPr>
          <w:ilvl w:val="0"/>
          <w:numId w:val="2"/>
        </w:numPr>
        <w:spacing w:after="80" w:line="276"/>
      </w:pPr>
      <w:r>
        <w:rPr>
          <w:rFonts w:ascii="Arial" w:cs="Arial" w:eastAsia="Arial" w:hAnsi="Arial"/>
          <w:color w:val="333333"/>
          <w:sz w:val="20"/>
          <w:szCs w:val="20"/>
        </w:rPr>
        <w:t xml:space="preserve">Complete product specification (21 documents covering vision, architecture, technical stack, escrow design, matching algorithm, security model, dispute resolution, and more)</w:t>
      </w:r>
    </w:p>
    <w:p>
      <w:pPr>
        <w:pStyle w:val="ListParagraph"/>
        <w:numPr>
          <w:ilvl w:val="0"/>
          <w:numId w:val="2"/>
        </w:numPr>
        <w:spacing w:after="80" w:line="276"/>
      </w:pPr>
      <w:r>
        <w:rPr>
          <w:rFonts w:ascii="Arial" w:cs="Arial" w:eastAsia="Arial" w:hAnsi="Arial"/>
          <w:color w:val="333333"/>
          <w:sz w:val="20"/>
          <w:szCs w:val="20"/>
        </w:rPr>
        <w:t xml:space="preserve">Full brand identity system (logo mark, 6 variants, color system, typography, voice guidelines, 15 SVG production assets)</w:t>
      </w:r>
    </w:p>
    <w:p>
      <w:pPr>
        <w:pStyle w:val="ListParagraph"/>
        <w:numPr>
          <w:ilvl w:val="0"/>
          <w:numId w:val="2"/>
        </w:numPr>
        <w:spacing w:after="80" w:line="276"/>
      </w:pPr>
      <w:r>
        <w:rPr>
          <w:rFonts w:ascii="Arial" w:cs="Arial" w:eastAsia="Arial" w:hAnsi="Arial"/>
          <w:color w:val="333333"/>
          <w:sz w:val="20"/>
          <w:szCs w:val="20"/>
        </w:rPr>
        <w:t xml:space="preserve">Marketing strategy and messaging playbook (6 documents)</w:t>
      </w:r>
    </w:p>
    <w:p>
      <w:pPr>
        <w:pStyle w:val="ListParagraph"/>
        <w:numPr>
          <w:ilvl w:val="0"/>
          <w:numId w:val="2"/>
        </w:numPr>
        <w:spacing w:after="80" w:line="276"/>
      </w:pPr>
      <w:r>
        <w:rPr>
          <w:rFonts w:ascii="Arial" w:cs="Arial" w:eastAsia="Arial" w:hAnsi="Arial"/>
          <w:color w:val="333333"/>
          <w:sz w:val="20"/>
          <w:szCs w:val="20"/>
        </w:rPr>
        <w:t xml:space="preserve">Demo MVP feature specification with 16 features and 5-week build plan</w:t>
      </w:r>
    </w:p>
    <w:p>
      <w:pPr>
        <w:pStyle w:val="ListParagraph"/>
        <w:numPr>
          <w:ilvl w:val="0"/>
          <w:numId w:val="2"/>
        </w:numPr>
        <w:spacing w:after="80" w:line="276"/>
      </w:pPr>
      <w:r>
        <w:rPr>
          <w:rFonts w:ascii="Arial" w:cs="Arial" w:eastAsia="Arial" w:hAnsi="Arial"/>
          <w:color w:val="333333"/>
          <w:sz w:val="20"/>
          <w:szCs w:val="20"/>
        </w:rPr>
        <w:t xml:space="preserve">Terms of Service and Privacy Policy (multi-jurisdiction: Ghana, Nigeria, Kenya, UK, EU)</w:t>
      </w:r>
    </w:p>
    <w:p>
      <w:pPr>
        <w:pStyle w:val="ListParagraph"/>
        <w:numPr>
          <w:ilvl w:val="0"/>
          <w:numId w:val="2"/>
        </w:numPr>
        <w:spacing w:after="80" w:line="276"/>
      </w:pPr>
      <w:r>
        <w:rPr>
          <w:rFonts w:ascii="Arial" w:cs="Arial" w:eastAsia="Arial" w:hAnsi="Arial"/>
          <w:color w:val="333333"/>
          <w:sz w:val="20"/>
          <w:szCs w:val="20"/>
        </w:rPr>
        <w:t xml:space="preserve">Platform SVG assets for Android, iOS, and Web (81 files including adaptive icons, image sets, social media assets, design tokens)</w:t>
      </w:r>
    </w:p>
    <w:p>
      <w:pPr>
        <w:pStyle w:val="ListParagraph"/>
        <w:numPr>
          <w:ilvl w:val="0"/>
          <w:numId w:val="2"/>
        </w:numPr>
        <w:spacing w:after="80" w:line="276"/>
      </w:pPr>
      <w:r>
        <w:rPr>
          <w:rFonts w:ascii="Arial" w:cs="Arial" w:eastAsia="Arial" w:hAnsi="Arial"/>
          <w:color w:val="333333"/>
          <w:sz w:val="20"/>
          <w:szCs w:val="20"/>
        </w:rPr>
        <w:t xml:space="preserve">Competitive intelligence dossier covering managed services (LandSafe, Mantel Verify, LANDIZ, The Diaspora Access) and gig marketplaces (WeGoLook, iVueit, ProxyPics)</w:t>
      </w:r>
    </w:p>
    <w:p>
      <w:pPr>
        <w:pStyle w:val="ListParagraph"/>
        <w:numPr>
          <w:ilvl w:val="0"/>
          <w:numId w:val="2"/>
        </w:numPr>
        <w:spacing w:after="80" w:line="276"/>
      </w:pPr>
      <w:r>
        <w:rPr>
          <w:rFonts w:ascii="Arial" w:cs="Arial" w:eastAsia="Arial" w:hAnsi="Arial"/>
          <w:color w:val="333333"/>
          <w:sz w:val="20"/>
          <w:szCs w:val="20"/>
        </w:rPr>
        <w:t xml:space="preserve">Technical architecture decisions documented: KMP/Firebase/Google-first stack, dual Stripe+Flutterwave payment rails</w:t>
      </w:r>
    </w:p>
    <w:p>
      <w:pPr>
        <w:pStyle w:val="ListParagraph"/>
        <w:numPr>
          <w:ilvl w:val="0"/>
          <w:numId w:val="2"/>
        </w:numPr>
        <w:spacing w:after="80" w:line="276"/>
      </w:pPr>
      <w:r>
        <w:rPr>
          <w:rFonts w:ascii="Arial" w:cs="Arial" w:eastAsia="Arial" w:hAnsi="Arial"/>
          <w:color w:val="333333"/>
          <w:sz w:val="20"/>
          <w:szCs w:val="20"/>
        </w:rPr>
        <w:t xml:space="preserve">Deployed landing page at eyeonsite-3b8e0.web.app</w:t>
      </w:r>
    </w:p>
    <w:p>
      <w:pPr>
        <w:spacing w:after="0"/>
      </w:pPr>
    </w:p>
    <w:p>
      <w:pPr>
        <w:pBdr>
          <w:left w:val="single" w:color="0B6E4F" w:sz="12" w:space="8"/>
        </w:pBdr>
        <w:shd w:fill="F0FDF4" w:val="clear"/>
        <w:spacing w:after="200" w:before="120"/>
      </w:pPr>
      <w:r>
        <w:rPr>
          <w:rFonts w:ascii="Arial" w:cs="Arial" w:eastAsia="Arial" w:hAnsi="Arial"/>
          <w:color w:val="333333"/>
          <w:sz w:val="20"/>
          <w:szCs w:val="20"/>
        </w:rPr>
        <w:t xml:space="preserve">The pre-existing IP listed above was created by the Technical Founder under Manti Labs LLC and is being licensed to EyeOnSite (see Section 5). This is not a trivial contribution — it represents hundreds of hours of strategic, technical, and creative work.</w:t>
      </w:r>
    </w:p>
    <w:p>
      <w:pPr>
        <w:pStyle w:val="Heading1"/>
        <w:spacing w:after="200" w:before="360"/>
      </w:pPr>
      <w:r>
        <w:rPr>
          <w:rFonts w:ascii="Arial" w:cs="Arial" w:eastAsia="Arial" w:hAnsi="Arial"/>
          <w:b/>
          <w:bCs/>
          <w:color w:val="022B1E"/>
          <w:sz w:val="28"/>
          <w:szCs w:val="28"/>
        </w:rPr>
        <w:t xml:space="preserve">2. Entity and Structure</w:t>
      </w:r>
    </w:p>
    <w:p>
      <w:pPr>
        <w:pStyle w:val="Heading2"/>
        <w:spacing w:after="160" w:before="280"/>
      </w:pPr>
      <w:r>
        <w:rPr>
          <w:rFonts w:ascii="Arial" w:cs="Arial" w:eastAsia="Arial" w:hAnsi="Arial"/>
          <w:b/>
          <w:bCs/>
          <w:color w:val="0B6E4F"/>
          <w:sz w:val="24"/>
          <w:szCs w:val="24"/>
        </w:rPr>
        <w:t xml:space="preserve">2.1 EyeOnSite Entity</w:t>
      </w:r>
    </w:p>
    <w:p>
      <w:pPr>
        <w:spacing w:after="160" w:line="276"/>
      </w:pPr>
      <w:r>
        <w:rPr>
          <w:rFonts w:ascii="Arial" w:cs="Arial" w:eastAsia="Arial" w:hAnsi="Arial"/>
          <w:color w:val="333333"/>
          <w:sz w:val="20"/>
          <w:szCs w:val="20"/>
        </w:rPr>
        <w:t xml:space="preserve">The Co-Founders shall incorporate a new entity ("EyeOnSite" or the "Company") to operate the platform. The recommended structure is:</w:t>
      </w:r>
    </w:p>
    <w:p>
      <w:pPr>
        <w:pStyle w:val="ListParagraph"/>
        <w:numPr>
          <w:ilvl w:val="0"/>
          <w:numId w:val="2"/>
        </w:numPr>
        <w:spacing w:after="80" w:line="276"/>
      </w:pPr>
      <w:r>
        <w:rPr>
          <w:rFonts w:ascii="Arial" w:cs="Arial" w:eastAsia="Arial" w:hAnsi="Arial"/>
          <w:color w:val="333333"/>
          <w:sz w:val="20"/>
          <w:szCs w:val="20"/>
        </w:rPr>
        <w:t xml:space="preserve">EyeOnSite Ltd (Ghana) for local operations, inspector contracts, and Ghana DPA compliance</w:t>
      </w:r>
    </w:p>
    <w:p>
      <w:pPr>
        <w:pStyle w:val="ListParagraph"/>
        <w:numPr>
          <w:ilvl w:val="0"/>
          <w:numId w:val="2"/>
        </w:numPr>
        <w:spacing w:after="80" w:line="276"/>
      </w:pPr>
      <w:r>
        <w:rPr>
          <w:rFonts w:ascii="Arial" w:cs="Arial" w:eastAsia="Arial" w:hAnsi="Arial"/>
          <w:color w:val="333333"/>
          <w:sz w:val="20"/>
          <w:szCs w:val="20"/>
        </w:rPr>
        <w:t xml:space="preserve">EyeOnSite may also operate under or alongside Manti Labs LLC (Delaware) for diaspora payment processing via Stripe, with an inter-company agreement</w:t>
      </w:r>
    </w:p>
    <w:p>
      <w:pPr>
        <w:spacing w:after="0"/>
      </w:pPr>
    </w:p>
    <w:p>
      <w:pPr>
        <w:pStyle w:val="Heading2"/>
        <w:spacing w:after="160" w:before="280"/>
      </w:pPr>
      <w:r>
        <w:rPr>
          <w:rFonts w:ascii="Arial" w:cs="Arial" w:eastAsia="Arial" w:hAnsi="Arial"/>
          <w:b/>
          <w:bCs/>
          <w:color w:val="0B6E4F"/>
          <w:sz w:val="24"/>
          <w:szCs w:val="24"/>
        </w:rPr>
        <w:t xml:space="preserve">2.2 Separation from Manti Labs</w:t>
      </w:r>
    </w:p>
    <w:p>
      <w:pPr>
        <w:spacing w:after="160" w:line="276"/>
      </w:pPr>
      <w:r>
        <w:rPr>
          <w:rFonts w:ascii="Arial" w:cs="Arial" w:eastAsia="Arial" w:hAnsi="Arial"/>
          <w:color w:val="333333"/>
          <w:sz w:val="20"/>
          <w:szCs w:val="20"/>
        </w:rPr>
        <w:t xml:space="preserve">EyeOnSite shall be a separate legal entity from Manti Labs LLC. The Growth Founder receives equity in EyeOnSite only, not in Manti Labs LLC or any of its other ventures (including but not limited to StartupTribunal, GapSense, SignTube, VibeJudge, GymRat AI, or SikaWise).</w:t>
      </w:r>
    </w:p>
    <w:p>
      <w:pPr>
        <w:spacing w:after="160" w:line="276"/>
      </w:pPr>
      <w:r>
        <w:rPr>
          <w:rFonts w:ascii="Arial" w:cs="Arial" w:eastAsia="Arial" w:hAnsi="Arial"/>
          <w:color w:val="333333"/>
          <w:sz w:val="20"/>
          <w:szCs w:val="20"/>
        </w:rPr>
        <w:t xml:space="preserve">Manti Labs LLC grants EyeOnSite an exclusive, royalty-free license to the pre-existing EyeOnSite IP (product specs, brand assets, codebase) for the purpose of operating the EyeOnSite platform. The underlying IP ownership remains with Manti Labs LLC until such time as both Co-Founders agree to assign it to EyeOnSite in exchange for consideration.</w:t>
      </w:r>
    </w:p>
    <w:p>
      <w:pPr>
        <w:pStyle w:val="Heading1"/>
        <w:spacing w:after="200" w:before="360"/>
      </w:pPr>
      <w:r>
        <w:rPr>
          <w:rFonts w:ascii="Arial" w:cs="Arial" w:eastAsia="Arial" w:hAnsi="Arial"/>
          <w:b/>
          <w:bCs/>
          <w:color w:val="022B1E"/>
          <w:sz w:val="28"/>
          <w:szCs w:val="28"/>
        </w:rPr>
        <w:t xml:space="preserve">3. Roles and Responsibilities</w:t>
      </w:r>
    </w:p>
    <w:p>
      <w:pPr>
        <w:pStyle w:val="Heading2"/>
        <w:spacing w:after="160" w:before="280"/>
      </w:pPr>
      <w:r>
        <w:rPr>
          <w:rFonts w:ascii="Arial" w:cs="Arial" w:eastAsia="Arial" w:hAnsi="Arial"/>
          <w:b/>
          <w:bCs/>
          <w:color w:val="0B6E4F"/>
          <w:sz w:val="24"/>
          <w:szCs w:val="24"/>
        </w:rPr>
        <w:t xml:space="preserve">3.1 Technical Founder (Maku Mazakpe)</w:t>
      </w:r>
    </w:p>
    <w:p>
      <w:pPr>
        <w:spacing w:after="160" w:line="276"/>
      </w:pPr>
      <w:r>
        <w:rPr>
          <w:rFonts w:ascii="Arial" w:cs="Arial" w:eastAsia="Arial" w:hAnsi="Arial"/>
          <w:b/>
          <w:bCs/>
          <w:color w:val="333333"/>
          <w:sz w:val="20"/>
          <w:szCs w:val="20"/>
        </w:rPr>
        <w:t xml:space="preserve">Title: </w:t>
      </w:r>
      <w:r>
        <w:rPr>
          <w:rFonts w:ascii="Arial" w:cs="Arial" w:eastAsia="Arial" w:hAnsi="Arial"/>
          <w:color w:val="333333"/>
          <w:sz w:val="20"/>
          <w:szCs w:val="20"/>
        </w:rPr>
        <w:t xml:space="preserve">Co-Founder &amp; CTO</w:t>
      </w:r>
    </w:p>
    <w:p>
      <w:pPr>
        <w:spacing w:after="160" w:line="276"/>
      </w:pPr>
      <w:r>
        <w:rPr>
          <w:rFonts w:ascii="Arial" w:cs="Arial" w:eastAsia="Arial" w:hAnsi="Arial"/>
          <w:color w:val="333333"/>
          <w:sz w:val="20"/>
          <w:szCs w:val="20"/>
        </w:rPr>
        <w:t xml:space="preserve">Responsibilities:</w:t>
      </w:r>
    </w:p>
    <w:p>
      <w:pPr>
        <w:pStyle w:val="ListParagraph"/>
        <w:numPr>
          <w:ilvl w:val="0"/>
          <w:numId w:val="2"/>
        </w:numPr>
        <w:spacing w:after="80" w:line="276"/>
      </w:pPr>
      <w:r>
        <w:rPr>
          <w:rFonts w:ascii="Arial" w:cs="Arial" w:eastAsia="Arial" w:hAnsi="Arial"/>
          <w:color w:val="333333"/>
          <w:sz w:val="20"/>
          <w:szCs w:val="20"/>
        </w:rPr>
        <w:t xml:space="preserve">Product development and technical architecture (KMP, Firebase, Cloud Functions)</w:t>
      </w:r>
    </w:p>
    <w:p>
      <w:pPr>
        <w:pStyle w:val="ListParagraph"/>
        <w:numPr>
          <w:ilvl w:val="0"/>
          <w:numId w:val="2"/>
        </w:numPr>
        <w:spacing w:after="80" w:line="276"/>
      </w:pPr>
      <w:r>
        <w:rPr>
          <w:rFonts w:ascii="Arial" w:cs="Arial" w:eastAsia="Arial" w:hAnsi="Arial"/>
          <w:color w:val="333333"/>
          <w:sz w:val="20"/>
          <w:szCs w:val="20"/>
        </w:rPr>
        <w:t xml:space="preserve">Demo MVP and V1 build execution</w:t>
      </w:r>
    </w:p>
    <w:p>
      <w:pPr>
        <w:pStyle w:val="ListParagraph"/>
        <w:numPr>
          <w:ilvl w:val="0"/>
          <w:numId w:val="2"/>
        </w:numPr>
        <w:spacing w:after="80" w:line="276"/>
      </w:pPr>
      <w:r>
        <w:rPr>
          <w:rFonts w:ascii="Arial" w:cs="Arial" w:eastAsia="Arial" w:hAnsi="Arial"/>
          <w:color w:val="333333"/>
          <w:sz w:val="20"/>
          <w:szCs w:val="20"/>
        </w:rPr>
        <w:t xml:space="preserve">Inspector recruitment and onboarding in Accra (V0/V1)</w:t>
      </w:r>
    </w:p>
    <w:p>
      <w:pPr>
        <w:pStyle w:val="ListParagraph"/>
        <w:numPr>
          <w:ilvl w:val="0"/>
          <w:numId w:val="2"/>
        </w:numPr>
        <w:spacing w:after="80" w:line="276"/>
      </w:pPr>
      <w:r>
        <w:rPr>
          <w:rFonts w:ascii="Arial" w:cs="Arial" w:eastAsia="Arial" w:hAnsi="Arial"/>
          <w:color w:val="333333"/>
          <w:sz w:val="20"/>
          <w:szCs w:val="20"/>
        </w:rPr>
        <w:t xml:space="preserve">Platform operations, evidence quality assurance, and dispute resolution</w:t>
      </w:r>
    </w:p>
    <w:p>
      <w:pPr>
        <w:pStyle w:val="ListParagraph"/>
        <w:numPr>
          <w:ilvl w:val="0"/>
          <w:numId w:val="2"/>
        </w:numPr>
        <w:spacing w:after="80" w:line="276"/>
      </w:pPr>
      <w:r>
        <w:rPr>
          <w:rFonts w:ascii="Arial" w:cs="Arial" w:eastAsia="Arial" w:hAnsi="Arial"/>
          <w:color w:val="333333"/>
          <w:sz w:val="20"/>
          <w:szCs w:val="20"/>
        </w:rPr>
        <w:t xml:space="preserve">Technical due diligence and investor conversations (technical track)</w:t>
      </w:r>
    </w:p>
    <w:p>
      <w:pPr>
        <w:pStyle w:val="ListParagraph"/>
        <w:numPr>
          <w:ilvl w:val="0"/>
          <w:numId w:val="2"/>
        </w:numPr>
        <w:spacing w:after="80" w:line="276"/>
      </w:pPr>
      <w:r>
        <w:rPr>
          <w:rFonts w:ascii="Arial" w:cs="Arial" w:eastAsia="Arial" w:hAnsi="Arial"/>
          <w:color w:val="333333"/>
          <w:sz w:val="20"/>
          <w:szCs w:val="20"/>
        </w:rPr>
        <w:t xml:space="preserve">Infrastructure, security, and DevOps</w:t>
      </w:r>
    </w:p>
    <w:p>
      <w:pPr>
        <w:spacing w:after="0"/>
      </w:pPr>
    </w:p>
    <w:p>
      <w:pPr>
        <w:pStyle w:val="Heading2"/>
        <w:spacing w:after="160" w:before="280"/>
      </w:pPr>
      <w:r>
        <w:rPr>
          <w:rFonts w:ascii="Arial" w:cs="Arial" w:eastAsia="Arial" w:hAnsi="Arial"/>
          <w:b/>
          <w:bCs/>
          <w:color w:val="0B6E4F"/>
          <w:sz w:val="24"/>
          <w:szCs w:val="24"/>
        </w:rPr>
        <w:t xml:space="preserve">3.2 Growth Founder ([NAME])</w:t>
      </w:r>
    </w:p>
    <w:p>
      <w:pPr>
        <w:spacing w:after="160" w:line="276"/>
      </w:pPr>
      <w:r>
        <w:rPr>
          <w:rFonts w:ascii="Arial" w:cs="Arial" w:eastAsia="Arial" w:hAnsi="Arial"/>
          <w:b/>
          <w:bCs/>
          <w:color w:val="333333"/>
          <w:sz w:val="20"/>
          <w:szCs w:val="20"/>
        </w:rPr>
        <w:t xml:space="preserve">Title: </w:t>
      </w:r>
      <w:r>
        <w:rPr>
          <w:rFonts w:ascii="Arial" w:cs="Arial" w:eastAsia="Arial" w:hAnsi="Arial"/>
          <w:color w:val="333333"/>
          <w:sz w:val="20"/>
          <w:szCs w:val="20"/>
        </w:rPr>
        <w:t xml:space="preserve">Co-Founder &amp; Head of Growth</w:t>
      </w:r>
    </w:p>
    <w:p>
      <w:pPr>
        <w:spacing w:after="160" w:line="276"/>
      </w:pPr>
      <w:r>
        <w:rPr>
          <w:rFonts w:ascii="Arial" w:cs="Arial" w:eastAsia="Arial" w:hAnsi="Arial"/>
          <w:color w:val="333333"/>
          <w:sz w:val="20"/>
          <w:szCs w:val="20"/>
        </w:rPr>
        <w:t xml:space="preserve">Responsibilities:</w:t>
      </w:r>
    </w:p>
    <w:p>
      <w:pPr>
        <w:pStyle w:val="ListParagraph"/>
        <w:numPr>
          <w:ilvl w:val="0"/>
          <w:numId w:val="2"/>
        </w:numPr>
        <w:spacing w:after="80" w:line="276"/>
      </w:pPr>
      <w:r>
        <w:rPr>
          <w:rFonts w:ascii="Arial" w:cs="Arial" w:eastAsia="Arial" w:hAnsi="Arial"/>
          <w:color w:val="333333"/>
          <w:sz w:val="20"/>
          <w:szCs w:val="20"/>
        </w:rPr>
        <w:t xml:space="preserve">Demand-side acquisition: diaspora community building, client pipeline, and conversion</w:t>
      </w:r>
    </w:p>
    <w:p>
      <w:pPr>
        <w:pStyle w:val="ListParagraph"/>
        <w:numPr>
          <w:ilvl w:val="0"/>
          <w:numId w:val="2"/>
        </w:numPr>
        <w:spacing w:after="80" w:line="276"/>
      </w:pPr>
      <w:r>
        <w:rPr>
          <w:rFonts w:ascii="Arial" w:cs="Arial" w:eastAsia="Arial" w:hAnsi="Arial"/>
          <w:color w:val="333333"/>
          <w:sz w:val="20"/>
          <w:szCs w:val="20"/>
        </w:rPr>
        <w:t xml:space="preserve">Marketing execution: social media, content, paid acquisition, and PR</w:t>
      </w:r>
    </w:p>
    <w:p>
      <w:pPr>
        <w:pStyle w:val="ListParagraph"/>
        <w:numPr>
          <w:ilvl w:val="0"/>
          <w:numId w:val="2"/>
        </w:numPr>
        <w:spacing w:after="80" w:line="276"/>
      </w:pPr>
      <w:r>
        <w:rPr>
          <w:rFonts w:ascii="Arial" w:cs="Arial" w:eastAsia="Arial" w:hAnsi="Arial"/>
          <w:color w:val="333333"/>
          <w:sz w:val="20"/>
          <w:szCs w:val="20"/>
        </w:rPr>
        <w:t xml:space="preserve">Partnership development: remittance platforms (NALA, LemFi), diaspora organizations, church networks</w:t>
      </w:r>
    </w:p>
    <w:p>
      <w:pPr>
        <w:pStyle w:val="ListParagraph"/>
        <w:numPr>
          <w:ilvl w:val="0"/>
          <w:numId w:val="2"/>
        </w:numPr>
        <w:spacing w:after="80" w:line="276"/>
      </w:pPr>
      <w:r>
        <w:rPr>
          <w:rFonts w:ascii="Arial" w:cs="Arial" w:eastAsia="Arial" w:hAnsi="Arial"/>
          <w:color w:val="333333"/>
          <w:sz w:val="20"/>
          <w:szCs w:val="20"/>
        </w:rPr>
        <w:t xml:space="preserve">Fundraising lead: investor outreach, pitch deck delivery, and relationship management</w:t>
      </w:r>
    </w:p>
    <w:p>
      <w:pPr>
        <w:pStyle w:val="ListParagraph"/>
        <w:numPr>
          <w:ilvl w:val="0"/>
          <w:numId w:val="2"/>
        </w:numPr>
        <w:spacing w:after="80" w:line="276"/>
      </w:pPr>
      <w:r>
        <w:rPr>
          <w:rFonts w:ascii="Arial" w:cs="Arial" w:eastAsia="Arial" w:hAnsi="Arial"/>
          <w:color w:val="333333"/>
          <w:sz w:val="20"/>
          <w:szCs w:val="20"/>
        </w:rPr>
        <w:t xml:space="preserve">Client success: onboarding first clients, gathering feedback, and managing retention</w:t>
      </w:r>
    </w:p>
    <w:p>
      <w:pPr>
        <w:pStyle w:val="ListParagraph"/>
        <w:numPr>
          <w:ilvl w:val="0"/>
          <w:numId w:val="2"/>
        </w:numPr>
        <w:spacing w:after="80" w:line="276"/>
      </w:pPr>
      <w:r>
        <w:rPr>
          <w:rFonts w:ascii="Arial" w:cs="Arial" w:eastAsia="Arial" w:hAnsi="Arial"/>
          <w:color w:val="333333"/>
          <w:sz w:val="20"/>
          <w:szCs w:val="20"/>
        </w:rPr>
        <w:t xml:space="preserve">Business development: enterprise prospects, B2B pipeline (V3+)</w:t>
      </w:r>
    </w:p>
    <w:p>
      <w:pPr>
        <w:spacing w:after="0"/>
      </w:pPr>
    </w:p>
    <w:p>
      <w:pPr>
        <w:pBdr>
          <w:left w:val="single" w:color="0B6E4F" w:sz="12" w:space="8"/>
        </w:pBdr>
        <w:shd w:fill="F0FDF4" w:val="clear"/>
        <w:spacing w:after="200" w:before="120"/>
      </w:pPr>
      <w:r>
        <w:rPr>
          <w:rFonts w:ascii="Arial" w:cs="Arial" w:eastAsia="Arial" w:hAnsi="Arial"/>
          <w:color w:val="333333"/>
          <w:sz w:val="20"/>
          <w:szCs w:val="20"/>
        </w:rPr>
        <w:t xml:space="preserve">Note on CEO title: Neither Co-Founder holds the CEO title at this stage. The title will be assigned by mutual agreement at V2/V3 based on operational reality, or as required by investors. Both Co-Founders are equal in decision-making authority.</w:t>
      </w:r>
    </w:p>
    <w:p>
      <w:pPr>
        <w:pStyle w:val="Heading1"/>
        <w:spacing w:after="200" w:before="360"/>
      </w:pPr>
      <w:r>
        <w:rPr>
          <w:rFonts w:ascii="Arial" w:cs="Arial" w:eastAsia="Arial" w:hAnsi="Arial"/>
          <w:b/>
          <w:bCs/>
          <w:color w:val="022B1E"/>
          <w:sz w:val="28"/>
          <w:szCs w:val="28"/>
        </w:rPr>
        <w:t xml:space="preserve">4. Equity Split and Vesting</w:t>
      </w:r>
    </w:p>
    <w:p>
      <w:pPr>
        <w:pStyle w:val="Heading2"/>
        <w:spacing w:after="160" w:before="280"/>
      </w:pPr>
      <w:r>
        <w:rPr>
          <w:rFonts w:ascii="Arial" w:cs="Arial" w:eastAsia="Arial" w:hAnsi="Arial"/>
          <w:b/>
          <w:bCs/>
          <w:color w:val="0B6E4F"/>
          <w:sz w:val="24"/>
          <w:szCs w:val="24"/>
        </w:rPr>
        <w:t xml:space="preserve">4.1 Equity Allocation</w:t>
      </w:r>
    </w:p>
    <w:p>
      <w:pPr>
        <w:spacing w:after="160" w:line="276"/>
      </w:pPr>
      <w:r>
        <w:rPr>
          <w:rFonts w:ascii="Arial" w:cs="Arial" w:eastAsia="Arial" w:hAnsi="Arial"/>
          <w:b/>
          <w:bCs/>
          <w:color w:val="333333"/>
          <w:sz w:val="20"/>
          <w:szCs w:val="20"/>
        </w:rPr>
        <w:t xml:space="preserve">Technical Founder: </w:t>
      </w:r>
      <w:r>
        <w:rPr>
          <w:rFonts w:ascii="Arial" w:cs="Arial" w:eastAsia="Arial" w:hAnsi="Arial"/>
          <w:color w:val="333333"/>
          <w:sz w:val="20"/>
          <w:szCs w:val="20"/>
        </w:rPr>
        <w:t xml:space="preserve">55%</w:t>
      </w:r>
    </w:p>
    <w:p>
      <w:pPr>
        <w:spacing w:after="160" w:line="276"/>
      </w:pPr>
      <w:r>
        <w:rPr>
          <w:rFonts w:ascii="Arial" w:cs="Arial" w:eastAsia="Arial" w:hAnsi="Arial"/>
          <w:b/>
          <w:bCs/>
          <w:color w:val="333333"/>
          <w:sz w:val="20"/>
          <w:szCs w:val="20"/>
        </w:rPr>
        <w:t xml:space="preserve">Growth Founder: </w:t>
      </w:r>
      <w:r>
        <w:rPr>
          <w:rFonts w:ascii="Arial" w:cs="Arial" w:eastAsia="Arial" w:hAnsi="Arial"/>
          <w:color w:val="333333"/>
          <w:sz w:val="20"/>
          <w:szCs w:val="20"/>
        </w:rPr>
        <w:t xml:space="preserve">45%</w:t>
      </w:r>
    </w:p>
    <w:p>
      <w:pPr>
        <w:spacing w:after="0"/>
      </w:pPr>
    </w:p>
    <w:p>
      <w:pPr>
        <w:spacing w:after="160" w:line="276"/>
      </w:pPr>
      <w:r>
        <w:rPr>
          <w:rFonts w:ascii="Arial" w:cs="Arial" w:eastAsia="Arial" w:hAnsi="Arial"/>
          <w:color w:val="333333"/>
          <w:sz w:val="20"/>
          <w:szCs w:val="20"/>
        </w:rPr>
        <w:t xml:space="preserve">The split reflects the Technical Founder's pre-existing contributions: hundreds of hours of product design, technical architecture, brand development, legal documentation, and deployed infrastructure. The Growth Founder's equity recognizes the critical importance of demand-side execution, diaspora market access, and fundraising capability.</w:t>
      </w:r>
    </w:p>
    <w:p>
      <w:pPr>
        <w:spacing w:after="0"/>
      </w:pPr>
    </w:p>
    <w:p>
      <w:pPr>
        <w:pBdr>
          <w:left w:val="single" w:color="3B82F6" w:sz="12" w:space="8"/>
        </w:pBdr>
        <w:shd w:fill="EFF6FF" w:val="clear"/>
        <w:spacing w:after="200" w:before="120"/>
      </w:pPr>
      <w:r>
        <w:rPr>
          <w:rFonts w:ascii="Arial" w:cs="Arial" w:eastAsia="Arial" w:hAnsi="Arial"/>
          <w:color w:val="333333"/>
          <w:sz w:val="20"/>
          <w:szCs w:val="20"/>
        </w:rPr>
        <w:t xml:space="preserve">Alternative: If the Growth Founder contributes material cash investment ($15,000+) or brings a demonstrable, committed customer pipeline (10+ paying clients ready to transact), the split may be adjusted to 50/50 by mutual written agreement.</w:t>
      </w:r>
    </w:p>
    <w:p>
      <w:pPr>
        <w:spacing w:after="0"/>
      </w:pPr>
    </w:p>
    <w:p>
      <w:pPr>
        <w:pStyle w:val="Heading2"/>
        <w:spacing w:after="160" w:before="280"/>
      </w:pPr>
      <w:r>
        <w:rPr>
          <w:rFonts w:ascii="Arial" w:cs="Arial" w:eastAsia="Arial" w:hAnsi="Arial"/>
          <w:b/>
          <w:bCs/>
          <w:color w:val="0B6E4F"/>
          <w:sz w:val="24"/>
          <w:szCs w:val="24"/>
        </w:rPr>
        <w:t xml:space="preserve">4.2 Vesting Schedule</w:t>
      </w:r>
    </w:p>
    <w:p>
      <w:pPr>
        <w:spacing w:after="160" w:line="276"/>
      </w:pPr>
      <w:r>
        <w:rPr>
          <w:rFonts w:ascii="Arial" w:cs="Arial" w:eastAsia="Arial" w:hAnsi="Arial"/>
          <w:color w:val="333333"/>
          <w:sz w:val="20"/>
          <w:szCs w:val="20"/>
        </w:rPr>
        <w:t xml:space="preserve">Both Co-Founders are subject to a 4-year vesting schedule with a 1-year cliff:</w:t>
      </w:r>
    </w:p>
    <w:p>
      <w:pPr>
        <w:pStyle w:val="ListParagraph"/>
        <w:numPr>
          <w:ilvl w:val="0"/>
          <w:numId w:val="2"/>
        </w:numPr>
        <w:spacing w:after="80" w:line="276"/>
      </w:pPr>
      <w:r>
        <w:rPr>
          <w:rFonts w:ascii="Arial" w:cs="Arial" w:eastAsia="Arial" w:hAnsi="Arial"/>
          <w:color w:val="333333"/>
          <w:sz w:val="20"/>
          <w:szCs w:val="20"/>
        </w:rPr>
        <w:t xml:space="preserve">Cliff: 25% vests after 12 months of active contribution</w:t>
      </w:r>
    </w:p>
    <w:p>
      <w:pPr>
        <w:pStyle w:val="ListParagraph"/>
        <w:numPr>
          <w:ilvl w:val="0"/>
          <w:numId w:val="2"/>
        </w:numPr>
        <w:spacing w:after="80" w:line="276"/>
      </w:pPr>
      <w:r>
        <w:rPr>
          <w:rFonts w:ascii="Arial" w:cs="Arial" w:eastAsia="Arial" w:hAnsi="Arial"/>
          <w:color w:val="333333"/>
          <w:sz w:val="20"/>
          <w:szCs w:val="20"/>
        </w:rPr>
        <w:t xml:space="preserve">Monthly vesting: remaining 75% vests monthly over the following 36 months (2.083%/month)</w:t>
      </w:r>
    </w:p>
    <w:p>
      <w:pPr>
        <w:pStyle w:val="ListParagraph"/>
        <w:numPr>
          <w:ilvl w:val="0"/>
          <w:numId w:val="2"/>
        </w:numPr>
        <w:spacing w:after="80" w:line="276"/>
      </w:pPr>
      <w:r>
        <w:rPr>
          <w:rFonts w:ascii="Arial" w:cs="Arial" w:eastAsia="Arial" w:hAnsi="Arial"/>
          <w:color w:val="333333"/>
          <w:sz w:val="20"/>
          <w:szCs w:val="20"/>
        </w:rPr>
        <w:t xml:space="preserve">Vesting start date: the date this Agreement is executed</w:t>
      </w:r>
    </w:p>
    <w:p>
      <w:pPr>
        <w:pStyle w:val="ListParagraph"/>
        <w:numPr>
          <w:ilvl w:val="0"/>
          <w:numId w:val="2"/>
        </w:numPr>
        <w:spacing w:after="80" w:line="276"/>
      </w:pPr>
      <w:r>
        <w:rPr>
          <w:rFonts w:ascii="Arial" w:cs="Arial" w:eastAsia="Arial" w:hAnsi="Arial"/>
          <w:color w:val="333333"/>
          <w:sz w:val="20"/>
          <w:szCs w:val="20"/>
        </w:rPr>
        <w:t xml:space="preserve">Acceleration: 50% of unvested shares accelerate upon a change of control (acquisition or merger) where the Co-Founder is terminated or constructively dismissed within 12 months</w:t>
      </w:r>
    </w:p>
    <w:p>
      <w:pPr>
        <w:spacing w:after="0"/>
      </w:pPr>
    </w:p>
    <w:p>
      <w:pPr>
        <w:pStyle w:val="Heading2"/>
        <w:spacing w:after="160" w:before="280"/>
      </w:pPr>
      <w:r>
        <w:rPr>
          <w:rFonts w:ascii="Arial" w:cs="Arial" w:eastAsia="Arial" w:hAnsi="Arial"/>
          <w:b/>
          <w:bCs/>
          <w:color w:val="0B6E4F"/>
          <w:sz w:val="24"/>
          <w:szCs w:val="24"/>
        </w:rPr>
        <w:t xml:space="preserve">4.3 Pre-Existing IP Credit</w:t>
      </w:r>
    </w:p>
    <w:p>
      <w:pPr>
        <w:spacing w:after="160" w:line="276"/>
      </w:pPr>
      <w:r>
        <w:rPr>
          <w:rFonts w:ascii="Arial" w:cs="Arial" w:eastAsia="Arial" w:hAnsi="Arial"/>
          <w:color w:val="333333"/>
          <w:sz w:val="20"/>
          <w:szCs w:val="20"/>
        </w:rPr>
        <w:t xml:space="preserve">In recognition of the Technical Founder's pre-existing work, 10% of the Technical Founder's equity (5.5% of total) is deemed immediately vested on the date of this Agreement. This credit is non-refundable and reflects work already completed. The remaining 49.5% (of the Technical Founder's 55%) follows the standard 4-year vesting schedule.</w:t>
      </w:r>
    </w:p>
    <w:p>
      <w:pPr>
        <w:spacing w:after="0"/>
      </w:pPr>
    </w:p>
    <w:p>
      <w:pPr>
        <w:pStyle w:val="Heading2"/>
        <w:spacing w:after="160" w:before="280"/>
      </w:pPr>
      <w:r>
        <w:rPr>
          <w:rFonts w:ascii="Arial" w:cs="Arial" w:eastAsia="Arial" w:hAnsi="Arial"/>
          <w:b/>
          <w:bCs/>
          <w:color w:val="0B6E4F"/>
          <w:sz w:val="24"/>
          <w:szCs w:val="24"/>
        </w:rPr>
        <w:t xml:space="preserve">4.4 Equity Pool</w:t>
      </w:r>
    </w:p>
    <w:p>
      <w:pPr>
        <w:spacing w:after="160" w:line="276"/>
      </w:pPr>
      <w:r>
        <w:rPr>
          <w:rFonts w:ascii="Arial" w:cs="Arial" w:eastAsia="Arial" w:hAnsi="Arial"/>
          <w:color w:val="333333"/>
          <w:sz w:val="20"/>
          <w:szCs w:val="20"/>
        </w:rPr>
        <w:t xml:space="preserve">The Co-Founders agree to reserve a 10% option pool from total equity for future employees, advisors, and key hires. This pool is created by diluting both Co-Founders proportionally:</w:t>
      </w:r>
    </w:p>
    <w:p>
      <w:pPr>
        <w:pStyle w:val="ListParagraph"/>
        <w:numPr>
          <w:ilvl w:val="0"/>
          <w:numId w:val="2"/>
        </w:numPr>
        <w:spacing w:after="80" w:line="276"/>
      </w:pPr>
      <w:r>
        <w:rPr>
          <w:rFonts w:ascii="Arial" w:cs="Arial" w:eastAsia="Arial" w:hAnsi="Arial"/>
          <w:color w:val="333333"/>
          <w:sz w:val="20"/>
          <w:szCs w:val="20"/>
        </w:rPr>
        <w:t xml:space="preserve">After pool creation: Technical Founder holds 49.5%, Growth Founder holds 40.5%, Option Pool is 10%</w:t>
      </w:r>
    </w:p>
    <w:p>
      <w:pPr>
        <w:pStyle w:val="Heading1"/>
        <w:spacing w:after="200" w:before="360"/>
      </w:pPr>
      <w:r>
        <w:rPr>
          <w:rFonts w:ascii="Arial" w:cs="Arial" w:eastAsia="Arial" w:hAnsi="Arial"/>
          <w:b/>
          <w:bCs/>
          <w:color w:val="022B1E"/>
          <w:sz w:val="28"/>
          <w:szCs w:val="28"/>
        </w:rPr>
        <w:t xml:space="preserve">5. Intellectual Property</w:t>
      </w:r>
    </w:p>
    <w:p>
      <w:pPr>
        <w:pStyle w:val="Heading2"/>
        <w:spacing w:after="160" w:before="280"/>
      </w:pPr>
      <w:r>
        <w:rPr>
          <w:rFonts w:ascii="Arial" w:cs="Arial" w:eastAsia="Arial" w:hAnsi="Arial"/>
          <w:b/>
          <w:bCs/>
          <w:color w:val="0B6E4F"/>
          <w:sz w:val="24"/>
          <w:szCs w:val="24"/>
        </w:rPr>
        <w:t xml:space="preserve">5.1 Pre-Existing IP</w:t>
      </w:r>
    </w:p>
    <w:p>
      <w:pPr>
        <w:spacing w:after="160" w:line="276"/>
      </w:pPr>
      <w:r>
        <w:rPr>
          <w:rFonts w:ascii="Arial" w:cs="Arial" w:eastAsia="Arial" w:hAnsi="Arial"/>
          <w:color w:val="333333"/>
          <w:sz w:val="20"/>
          <w:szCs w:val="20"/>
        </w:rPr>
        <w:t xml:space="preserve">All EyeOnSite intellectual property created before this Agreement (listed in Section 1.2) is owned by Manti Labs LLC. Manti Labs LLC grants EyeOnSite an exclusive, perpetual, royalty-free license to use, modify, and distribute this IP for the purpose of operating the EyeOnSite platform.</w:t>
      </w:r>
    </w:p>
    <w:p>
      <w:pPr>
        <w:spacing w:after="160" w:line="276"/>
      </w:pPr>
      <w:r>
        <w:rPr>
          <w:rFonts w:ascii="Arial" w:cs="Arial" w:eastAsia="Arial" w:hAnsi="Arial"/>
          <w:color w:val="333333"/>
          <w:sz w:val="20"/>
          <w:szCs w:val="20"/>
        </w:rPr>
        <w:t xml:space="preserve">If EyeOnSite raises external funding of $200,000 or more, the Co-Founders agree to negotiate in good faith the assignment of EyeOnSite-specific IP from Manti Labs LLC to the EyeOnSite entity, in exchange for fair consideration (which may include additional equity, a licensing fee, or other compensation).</w:t>
      </w:r>
    </w:p>
    <w:p>
      <w:pPr>
        <w:spacing w:after="0"/>
      </w:pPr>
    </w:p>
    <w:p>
      <w:pPr>
        <w:pStyle w:val="Heading2"/>
        <w:spacing w:after="160" w:before="280"/>
      </w:pPr>
      <w:r>
        <w:rPr>
          <w:rFonts w:ascii="Arial" w:cs="Arial" w:eastAsia="Arial" w:hAnsi="Arial"/>
          <w:b/>
          <w:bCs/>
          <w:color w:val="0B6E4F"/>
          <w:sz w:val="24"/>
          <w:szCs w:val="24"/>
        </w:rPr>
        <w:t xml:space="preserve">5.2 New IP</w:t>
      </w:r>
    </w:p>
    <w:p>
      <w:pPr>
        <w:spacing w:after="160" w:line="276"/>
      </w:pPr>
      <w:r>
        <w:rPr>
          <w:rFonts w:ascii="Arial" w:cs="Arial" w:eastAsia="Arial" w:hAnsi="Arial"/>
          <w:color w:val="333333"/>
          <w:sz w:val="20"/>
          <w:szCs w:val="20"/>
        </w:rPr>
        <w:t xml:space="preserve">All intellectual property created by either Co-Founder after the date of this Agreement, in the course of working on EyeOnSite, shall be owned by the EyeOnSite entity. Both Co-Founders agree to execute any documents necessary to assign such IP to the Company.</w:t>
      </w:r>
    </w:p>
    <w:p>
      <w:pPr>
        <w:spacing w:after="0"/>
      </w:pPr>
    </w:p>
    <w:p>
      <w:pPr>
        <w:pStyle w:val="Heading2"/>
        <w:spacing w:after="160" w:before="280"/>
      </w:pPr>
      <w:r>
        <w:rPr>
          <w:rFonts w:ascii="Arial" w:cs="Arial" w:eastAsia="Arial" w:hAnsi="Arial"/>
          <w:b/>
          <w:bCs/>
          <w:color w:val="0B6E4F"/>
          <w:sz w:val="24"/>
          <w:szCs w:val="24"/>
        </w:rPr>
        <w:t xml:space="preserve">5.3 Non-EyeOnSite Ventures</w:t>
      </w:r>
    </w:p>
    <w:p>
      <w:pPr>
        <w:spacing w:after="160" w:line="276"/>
      </w:pPr>
      <w:r>
        <w:rPr>
          <w:rFonts w:ascii="Arial" w:cs="Arial" w:eastAsia="Arial" w:hAnsi="Arial"/>
          <w:color w:val="333333"/>
          <w:sz w:val="20"/>
          <w:szCs w:val="20"/>
        </w:rPr>
        <w:t xml:space="preserve">The Technical Founder's other ventures under Manti Labs (StartupTribunal, GapSense, SignTube, VibeJudge, GymRat AI, SikaWise, and any future ventures) are explicitly excluded from this Agreement. The Growth Founder has no claim to these ventures' IP, revenue, or equity.</w:t>
      </w:r>
    </w:p>
    <w:p>
      <w:pPr>
        <w:spacing w:after="160" w:line="276"/>
      </w:pPr>
      <w:r>
        <w:rPr>
          <w:rFonts w:ascii="Arial" w:cs="Arial" w:eastAsia="Arial" w:hAnsi="Arial"/>
          <w:color w:val="333333"/>
          <w:sz w:val="20"/>
          <w:szCs w:val="20"/>
        </w:rPr>
        <w:t xml:space="preserve">Similarly, the Growth Founder's independent professional activities and ventures outside of EyeOnSite are excluded from this Agreement.</w:t>
      </w:r>
    </w:p>
    <w:p>
      <w:pPr>
        <w:pStyle w:val="Heading1"/>
        <w:spacing w:after="200" w:before="360"/>
      </w:pPr>
      <w:r>
        <w:rPr>
          <w:rFonts w:ascii="Arial" w:cs="Arial" w:eastAsia="Arial" w:hAnsi="Arial"/>
          <w:b/>
          <w:bCs/>
          <w:color w:val="022B1E"/>
          <w:sz w:val="28"/>
          <w:szCs w:val="28"/>
        </w:rPr>
        <w:t xml:space="preserve">6. Time Commitment and Milestones</w:t>
      </w:r>
    </w:p>
    <w:p>
      <w:pPr>
        <w:pStyle w:val="Heading2"/>
        <w:spacing w:after="160" w:before="280"/>
      </w:pPr>
      <w:r>
        <w:rPr>
          <w:rFonts w:ascii="Arial" w:cs="Arial" w:eastAsia="Arial" w:hAnsi="Arial"/>
          <w:b/>
          <w:bCs/>
          <w:color w:val="0B6E4F"/>
          <w:sz w:val="24"/>
          <w:szCs w:val="24"/>
        </w:rPr>
        <w:t xml:space="preserve">6.1 Trial Period</w:t>
      </w:r>
    </w:p>
    <w:p>
      <w:pPr>
        <w:spacing w:after="160" w:line="276"/>
      </w:pPr>
      <w:r>
        <w:rPr>
          <w:rFonts w:ascii="Arial" w:cs="Arial" w:eastAsia="Arial" w:hAnsi="Arial"/>
          <w:b/>
          <w:bCs/>
          <w:color w:val="333333"/>
          <w:sz w:val="20"/>
          <w:szCs w:val="20"/>
        </w:rPr>
        <w:t xml:space="preserve">Duration: </w:t>
      </w:r>
      <w:r>
        <w:rPr>
          <w:rFonts w:ascii="Arial" w:cs="Arial" w:eastAsia="Arial" w:hAnsi="Arial"/>
          <w:color w:val="333333"/>
          <w:sz w:val="20"/>
          <w:szCs w:val="20"/>
        </w:rPr>
        <w:t xml:space="preserve">90 days from the date of this Agreement</w:t>
      </w:r>
    </w:p>
    <w:p>
      <w:pPr>
        <w:spacing w:after="160" w:line="276"/>
      </w:pPr>
      <w:r>
        <w:rPr>
          <w:rFonts w:ascii="Arial" w:cs="Arial" w:eastAsia="Arial" w:hAnsi="Arial"/>
          <w:color w:val="333333"/>
          <w:sz w:val="20"/>
          <w:szCs w:val="20"/>
        </w:rPr>
        <w:t xml:space="preserve">During the trial period, both Co-Founders operate under this Agreement, but no equity vests (the vesting cliff has not been reached). Either Co-Founder may terminate the relationship during the trial period with 14 days' written notice and no equity consequences.</w:t>
      </w:r>
    </w:p>
    <w:p>
      <w:pPr>
        <w:spacing w:after="0"/>
      </w:pPr>
    </w:p>
    <w:p>
      <w:pPr>
        <w:pStyle w:val="Heading2"/>
        <w:spacing w:after="160" w:before="280"/>
      </w:pPr>
      <w:r>
        <w:rPr>
          <w:rFonts w:ascii="Arial" w:cs="Arial" w:eastAsia="Arial" w:hAnsi="Arial"/>
          <w:b/>
          <w:bCs/>
          <w:color w:val="0B6E4F"/>
          <w:sz w:val="24"/>
          <w:szCs w:val="24"/>
        </w:rPr>
        <w:t xml:space="preserve">6.2 Trial Period Deliverables (Growth Founder)</w:t>
      </w:r>
    </w:p>
    <w:p>
      <w:pPr>
        <w:spacing w:after="160" w:line="276"/>
      </w:pPr>
      <w:r>
        <w:rPr>
          <w:rFonts w:ascii="Arial" w:cs="Arial" w:eastAsia="Arial" w:hAnsi="Arial"/>
          <w:color w:val="333333"/>
          <w:sz w:val="20"/>
          <w:szCs w:val="20"/>
        </w:rPr>
        <w:t xml:space="preserve">The Growth Founder shall demonstrate commitment and capability by achieving the following during the 90-day trial:</w:t>
      </w:r>
    </w:p>
    <w:p>
      <w:pPr>
        <w:pStyle w:val="ListParagraph"/>
        <w:numPr>
          <w:ilvl w:val="0"/>
          <w:numId w:val="3"/>
        </w:numPr>
        <w:spacing w:after="80" w:line="276"/>
      </w:pPr>
      <w:r>
        <w:rPr>
          <w:rFonts w:ascii="Arial" w:cs="Arial" w:eastAsia="Arial" w:hAnsi="Arial"/>
          <w:color w:val="333333"/>
          <w:sz w:val="20"/>
          <w:szCs w:val="20"/>
        </w:rPr>
        <w:t xml:space="preserve">Join and actively participate in 10+ diaspora WhatsApp and/or Facebook groups relevant to Ghana/Nigeria/Kenya property and construction</w:t>
      </w:r>
    </w:p>
    <w:p>
      <w:pPr>
        <w:pStyle w:val="ListParagraph"/>
        <w:numPr>
          <w:ilvl w:val="0"/>
          <w:numId w:val="3"/>
        </w:numPr>
        <w:spacing w:after="80" w:line="276"/>
      </w:pPr>
      <w:r>
        <w:rPr>
          <w:rFonts w:ascii="Arial" w:cs="Arial" w:eastAsia="Arial" w:hAnsi="Arial"/>
          <w:color w:val="333333"/>
          <w:sz w:val="20"/>
          <w:szCs w:val="20"/>
        </w:rPr>
        <w:t xml:space="preserve">Initiate 5+ partnership outreach attempts (to remittance platforms, diaspora organizations, church communities, or real estate agents)</w:t>
      </w:r>
    </w:p>
    <w:p>
      <w:pPr>
        <w:pStyle w:val="ListParagraph"/>
        <w:numPr>
          <w:ilvl w:val="0"/>
          <w:numId w:val="3"/>
        </w:numPr>
        <w:spacing w:after="80" w:line="276"/>
      </w:pPr>
      <w:r>
        <w:rPr>
          <w:rFonts w:ascii="Arial" w:cs="Arial" w:eastAsia="Arial" w:hAnsi="Arial"/>
          <w:color w:val="333333"/>
          <w:sz w:val="20"/>
          <w:szCs w:val="20"/>
        </w:rPr>
        <w:t xml:space="preserve">Generate 3+ inbound client inquiries or expressions of interest</w:t>
      </w:r>
    </w:p>
    <w:p>
      <w:pPr>
        <w:pStyle w:val="ListParagraph"/>
        <w:numPr>
          <w:ilvl w:val="0"/>
          <w:numId w:val="3"/>
        </w:numPr>
        <w:spacing w:after="80" w:line="276"/>
      </w:pPr>
      <w:r>
        <w:rPr>
          <w:rFonts w:ascii="Arial" w:cs="Arial" w:eastAsia="Arial" w:hAnsi="Arial"/>
          <w:color w:val="333333"/>
          <w:sz w:val="20"/>
          <w:szCs w:val="20"/>
        </w:rPr>
        <w:t xml:space="preserve">Co-create 5+ pieces of marketing content (LinkedIn posts, social media content, community posts)</w:t>
      </w:r>
    </w:p>
    <w:p>
      <w:pPr>
        <w:pStyle w:val="ListParagraph"/>
        <w:numPr>
          <w:ilvl w:val="0"/>
          <w:numId w:val="3"/>
        </w:numPr>
        <w:spacing w:after="80" w:line="276"/>
      </w:pPr>
      <w:r>
        <w:rPr>
          <w:rFonts w:ascii="Arial" w:cs="Arial" w:eastAsia="Arial" w:hAnsi="Arial"/>
          <w:color w:val="333333"/>
          <w:sz w:val="20"/>
          <w:szCs w:val="20"/>
        </w:rPr>
        <w:t xml:space="preserve">Attend or organize at least 1 diaspora event, webinar, or community meetup</w:t>
      </w:r>
    </w:p>
    <w:p>
      <w:pPr>
        <w:pStyle w:val="ListParagraph"/>
        <w:numPr>
          <w:ilvl w:val="0"/>
          <w:numId w:val="3"/>
        </w:numPr>
        <w:spacing w:after="80" w:line="276"/>
      </w:pPr>
      <w:r>
        <w:rPr>
          <w:rFonts w:ascii="Arial" w:cs="Arial" w:eastAsia="Arial" w:hAnsi="Arial"/>
          <w:color w:val="333333"/>
          <w:sz w:val="20"/>
          <w:szCs w:val="20"/>
        </w:rPr>
        <w:t xml:space="preserve">Establish a repeatable weekly cadence for demand-side activities</w:t>
      </w:r>
    </w:p>
    <w:p>
      <w:pPr>
        <w:spacing w:after="0"/>
      </w:pPr>
    </w:p>
    <w:p>
      <w:pPr>
        <w:spacing w:after="160" w:line="276"/>
      </w:pPr>
      <w:r>
        <w:rPr>
          <w:rFonts w:ascii="Arial" w:cs="Arial" w:eastAsia="Arial" w:hAnsi="Arial"/>
          <w:color w:val="333333"/>
          <w:sz w:val="20"/>
          <w:szCs w:val="20"/>
        </w:rPr>
        <w:t xml:space="preserve">Failure to substantially complete these deliverables by the end of the trial period is grounds for the Technical Founder to terminate the co-founder relationship without equity consequences.</w:t>
      </w:r>
    </w:p>
    <w:p>
      <w:pPr>
        <w:spacing w:after="0"/>
      </w:pPr>
    </w:p>
    <w:p>
      <w:pPr>
        <w:pStyle w:val="Heading2"/>
        <w:spacing w:after="160" w:before="280"/>
      </w:pPr>
      <w:r>
        <w:rPr>
          <w:rFonts w:ascii="Arial" w:cs="Arial" w:eastAsia="Arial" w:hAnsi="Arial"/>
          <w:b/>
          <w:bCs/>
          <w:color w:val="0B6E4F"/>
          <w:sz w:val="24"/>
          <w:szCs w:val="24"/>
        </w:rPr>
        <w:t xml:space="preserve">6.3 Time Commitment</w:t>
      </w:r>
    </w:p>
    <w:p>
      <w:pPr>
        <w:spacing w:after="160" w:line="276"/>
      </w:pPr>
      <w:r>
        <w:rPr>
          <w:rFonts w:ascii="Arial" w:cs="Arial" w:eastAsia="Arial" w:hAnsi="Arial"/>
          <w:b/>
          <w:bCs/>
          <w:color w:val="333333"/>
          <w:sz w:val="20"/>
          <w:szCs w:val="20"/>
        </w:rPr>
        <w:t xml:space="preserve">V0 (Months 1-3): </w:t>
      </w:r>
      <w:r>
        <w:rPr>
          <w:rFonts w:ascii="Arial" w:cs="Arial" w:eastAsia="Arial" w:hAnsi="Arial"/>
          <w:color w:val="333333"/>
          <w:sz w:val="20"/>
          <w:szCs w:val="20"/>
        </w:rPr>
        <w:t xml:space="preserve">Minimum 10-15 hours/week. Both Co-Founders may maintain external employment.</w:t>
      </w:r>
    </w:p>
    <w:p>
      <w:pPr>
        <w:spacing w:after="160" w:line="276"/>
      </w:pPr>
      <w:r>
        <w:rPr>
          <w:rFonts w:ascii="Arial" w:cs="Arial" w:eastAsia="Arial" w:hAnsi="Arial"/>
          <w:b/>
          <w:bCs/>
          <w:color w:val="333333"/>
          <w:sz w:val="20"/>
          <w:szCs w:val="20"/>
        </w:rPr>
        <w:t xml:space="preserve">V1 (Months 4-8): </w:t>
      </w:r>
      <w:r>
        <w:rPr>
          <w:rFonts w:ascii="Arial" w:cs="Arial" w:eastAsia="Arial" w:hAnsi="Arial"/>
          <w:color w:val="333333"/>
          <w:sz w:val="20"/>
          <w:szCs w:val="20"/>
        </w:rPr>
        <w:t xml:space="preserve">Minimum 20-25 hours/week. Active marketing, partnership calls, and client acquisition intensify.</w:t>
      </w:r>
    </w:p>
    <w:p>
      <w:pPr>
        <w:spacing w:after="160" w:line="276"/>
      </w:pPr>
      <w:r>
        <w:rPr>
          <w:rFonts w:ascii="Arial" w:cs="Arial" w:eastAsia="Arial" w:hAnsi="Arial"/>
          <w:b/>
          <w:bCs/>
          <w:color w:val="333333"/>
          <w:sz w:val="20"/>
          <w:szCs w:val="20"/>
        </w:rPr>
        <w:t xml:space="preserve">Full-time trigger: </w:t>
      </w:r>
      <w:r>
        <w:rPr>
          <w:rFonts w:ascii="Arial" w:cs="Arial" w:eastAsia="Arial" w:hAnsi="Arial"/>
          <w:color w:val="333333"/>
          <w:sz w:val="20"/>
          <w:szCs w:val="20"/>
        </w:rPr>
        <w:t xml:space="preserve">Within 30 days of either (a) closing external funding of $100,000 or more, or (b) achieving $3,000 MRR, both Co-Founders commit to full-time involvement in EyeOnSite. If a Co-Founder cannot transition to full-time within 60 days of the trigger event, the vesting schedule pauses until full-time commitment resumes.</w:t>
      </w:r>
    </w:p>
    <w:p>
      <w:pPr>
        <w:spacing w:after="0"/>
      </w:pPr>
    </w:p>
    <w:p>
      <w:pPr>
        <w:pStyle w:val="Heading2"/>
        <w:spacing w:after="160" w:before="280"/>
      </w:pPr>
      <w:r>
        <w:rPr>
          <w:rFonts w:ascii="Arial" w:cs="Arial" w:eastAsia="Arial" w:hAnsi="Arial"/>
          <w:b/>
          <w:bCs/>
          <w:color w:val="0B6E4F"/>
          <w:sz w:val="24"/>
          <w:szCs w:val="24"/>
        </w:rPr>
        <w:t xml:space="preserve">6.4 External Employment</w:t>
      </w:r>
    </w:p>
    <w:p>
      <w:pPr>
        <w:spacing w:after="160" w:line="276"/>
      </w:pPr>
      <w:r>
        <w:rPr>
          <w:rFonts w:ascii="Arial" w:cs="Arial" w:eastAsia="Arial" w:hAnsi="Arial"/>
          <w:color w:val="333333"/>
          <w:sz w:val="20"/>
          <w:szCs w:val="20"/>
        </w:rPr>
        <w:t xml:space="preserve">Both Co-Founders acknowledge that during V0/V1, external employment is necessary and acceptable. However:</w:t>
      </w:r>
    </w:p>
    <w:p>
      <w:pPr>
        <w:pStyle w:val="ListParagraph"/>
        <w:numPr>
          <w:ilvl w:val="0"/>
          <w:numId w:val="2"/>
        </w:numPr>
        <w:spacing w:after="80" w:line="276"/>
      </w:pPr>
      <w:r>
        <w:rPr>
          <w:rFonts w:ascii="Arial" w:cs="Arial" w:eastAsia="Arial" w:hAnsi="Arial"/>
          <w:color w:val="333333"/>
          <w:sz w:val="20"/>
          <w:szCs w:val="20"/>
        </w:rPr>
        <w:t xml:space="preserve">Neither Co-Founder shall work for or advise a direct competitor of EyeOnSite</w:t>
      </w:r>
    </w:p>
    <w:p>
      <w:pPr>
        <w:pStyle w:val="ListParagraph"/>
        <w:numPr>
          <w:ilvl w:val="0"/>
          <w:numId w:val="2"/>
        </w:numPr>
        <w:spacing w:after="80" w:line="276"/>
      </w:pPr>
      <w:r>
        <w:rPr>
          <w:rFonts w:ascii="Arial" w:cs="Arial" w:eastAsia="Arial" w:hAnsi="Arial"/>
          <w:color w:val="333333"/>
          <w:sz w:val="20"/>
          <w:szCs w:val="20"/>
        </w:rPr>
        <w:t xml:space="preserve">If either Co-Founder accepts a full-time role that reduces their EyeOnSite commitment below the agreed minimum hours, they must disclose this within 7 days</w:t>
      </w:r>
    </w:p>
    <w:p>
      <w:pPr>
        <w:pStyle w:val="ListParagraph"/>
        <w:numPr>
          <w:ilvl w:val="0"/>
          <w:numId w:val="2"/>
        </w:numPr>
        <w:spacing w:after="80" w:line="276"/>
      </w:pPr>
      <w:r>
        <w:rPr>
          <w:rFonts w:ascii="Arial" w:cs="Arial" w:eastAsia="Arial" w:hAnsi="Arial"/>
          <w:color w:val="333333"/>
          <w:sz w:val="20"/>
          <w:szCs w:val="20"/>
        </w:rPr>
        <w:t xml:space="preserve">If the reduced commitment continues for more than 3 months without mutual agreement, the non-affected Co-Founder may invoke the Pause/Leave provisions in Section 7</w:t>
      </w:r>
    </w:p>
    <w:p>
      <w:pPr>
        <w:pStyle w:val="Heading1"/>
        <w:spacing w:after="200" w:before="360"/>
      </w:pPr>
      <w:r>
        <w:rPr>
          <w:rFonts w:ascii="Arial" w:cs="Arial" w:eastAsia="Arial" w:hAnsi="Arial"/>
          <w:b/>
          <w:bCs/>
          <w:color w:val="022B1E"/>
          <w:sz w:val="28"/>
          <w:szCs w:val="28"/>
        </w:rPr>
        <w:t xml:space="preserve">7. Departure, Pause, and Dissolution</w:t>
      </w:r>
    </w:p>
    <w:p>
      <w:pPr>
        <w:pStyle w:val="Heading2"/>
        <w:spacing w:after="160" w:before="280"/>
      </w:pPr>
      <w:r>
        <w:rPr>
          <w:rFonts w:ascii="Arial" w:cs="Arial" w:eastAsia="Arial" w:hAnsi="Arial"/>
          <w:b/>
          <w:bCs/>
          <w:color w:val="0B6E4F"/>
          <w:sz w:val="24"/>
          <w:szCs w:val="24"/>
        </w:rPr>
        <w:t xml:space="preserve">7.1 Voluntary Departure</w:t>
      </w:r>
    </w:p>
    <w:p>
      <w:pPr>
        <w:spacing w:after="160" w:line="276"/>
      </w:pPr>
      <w:r>
        <w:rPr>
          <w:rFonts w:ascii="Arial" w:cs="Arial" w:eastAsia="Arial" w:hAnsi="Arial"/>
          <w:color w:val="333333"/>
          <w:sz w:val="20"/>
          <w:szCs w:val="20"/>
        </w:rPr>
        <w:t xml:space="preserve">If either Co-Founder voluntarily leaves EyeOnSite:</w:t>
      </w:r>
    </w:p>
    <w:p>
      <w:pPr>
        <w:pStyle w:val="ListParagraph"/>
        <w:numPr>
          <w:ilvl w:val="0"/>
          <w:numId w:val="2"/>
        </w:numPr>
        <w:spacing w:after="80" w:line="276"/>
      </w:pPr>
      <w:r>
        <w:rPr>
          <w:rFonts w:ascii="Arial" w:cs="Arial" w:eastAsia="Arial" w:hAnsi="Arial"/>
          <w:color w:val="333333"/>
          <w:sz w:val="20"/>
          <w:szCs w:val="20"/>
        </w:rPr>
        <w:t xml:space="preserve">Vested equity is retained by the departing Co-Founder</w:t>
      </w:r>
    </w:p>
    <w:p>
      <w:pPr>
        <w:pStyle w:val="ListParagraph"/>
        <w:numPr>
          <w:ilvl w:val="0"/>
          <w:numId w:val="2"/>
        </w:numPr>
        <w:spacing w:after="80" w:line="276"/>
      </w:pPr>
      <w:r>
        <w:rPr>
          <w:rFonts w:ascii="Arial" w:cs="Arial" w:eastAsia="Arial" w:hAnsi="Arial"/>
          <w:color w:val="333333"/>
          <w:sz w:val="20"/>
          <w:szCs w:val="20"/>
        </w:rPr>
        <w:t xml:space="preserve">Unvested equity is forfeited and returns to the Company (or is redistributed to the remaining Co-Founder by mutual agreement)</w:t>
      </w:r>
    </w:p>
    <w:p>
      <w:pPr>
        <w:pStyle w:val="ListParagraph"/>
        <w:numPr>
          <w:ilvl w:val="0"/>
          <w:numId w:val="2"/>
        </w:numPr>
        <w:spacing w:after="80" w:line="276"/>
      </w:pPr>
      <w:r>
        <w:rPr>
          <w:rFonts w:ascii="Arial" w:cs="Arial" w:eastAsia="Arial" w:hAnsi="Arial"/>
          <w:color w:val="333333"/>
          <w:sz w:val="20"/>
          <w:szCs w:val="20"/>
        </w:rPr>
        <w:t xml:space="preserve">The departing Co-Founder shall cooperate in transitioning their responsibilities over a 30-day period</w:t>
      </w:r>
    </w:p>
    <w:p>
      <w:pPr>
        <w:pStyle w:val="ListParagraph"/>
        <w:numPr>
          <w:ilvl w:val="0"/>
          <w:numId w:val="2"/>
        </w:numPr>
        <w:spacing w:after="80" w:line="276"/>
      </w:pPr>
      <w:r>
        <w:rPr>
          <w:rFonts w:ascii="Arial" w:cs="Arial" w:eastAsia="Arial" w:hAnsi="Arial"/>
          <w:color w:val="333333"/>
          <w:sz w:val="20"/>
          <w:szCs w:val="20"/>
        </w:rPr>
        <w:t xml:space="preserve">Non-compete: 12 months from departure, the departing Co-Founder shall not launch or work for a direct competitor in the same geographic markets (Ghana, Nigeria, Kenya diaspora verification)</w:t>
      </w:r>
    </w:p>
    <w:p>
      <w:pPr>
        <w:spacing w:after="0"/>
      </w:pPr>
    </w:p>
    <w:p>
      <w:pPr>
        <w:pStyle w:val="Heading2"/>
        <w:spacing w:after="160" w:before="280"/>
      </w:pPr>
      <w:r>
        <w:rPr>
          <w:rFonts w:ascii="Arial" w:cs="Arial" w:eastAsia="Arial" w:hAnsi="Arial"/>
          <w:b/>
          <w:bCs/>
          <w:color w:val="0B6E4F"/>
          <w:sz w:val="24"/>
          <w:szCs w:val="24"/>
        </w:rPr>
        <w:t xml:space="preserve">7.2 Vesting Pause</w:t>
      </w:r>
    </w:p>
    <w:p>
      <w:pPr>
        <w:spacing w:after="160" w:line="276"/>
      </w:pPr>
      <w:r>
        <w:rPr>
          <w:rFonts w:ascii="Arial" w:cs="Arial" w:eastAsia="Arial" w:hAnsi="Arial"/>
          <w:color w:val="333333"/>
          <w:sz w:val="20"/>
          <w:szCs w:val="20"/>
        </w:rPr>
        <w:t xml:space="preserve">If either Co-Founder's commitment falls below the agreed minimums due to external employment, health, or personal circumstances:</w:t>
      </w:r>
    </w:p>
    <w:p>
      <w:pPr>
        <w:pStyle w:val="ListParagraph"/>
        <w:numPr>
          <w:ilvl w:val="0"/>
          <w:numId w:val="2"/>
        </w:numPr>
        <w:spacing w:after="80" w:line="276"/>
      </w:pPr>
      <w:r>
        <w:rPr>
          <w:rFonts w:ascii="Arial" w:cs="Arial" w:eastAsia="Arial" w:hAnsi="Arial"/>
          <w:color w:val="333333"/>
          <w:sz w:val="20"/>
          <w:szCs w:val="20"/>
        </w:rPr>
        <w:t xml:space="preserve">Vesting pauses (does not continue to accrue) for the duration of reduced commitment</w:t>
      </w:r>
    </w:p>
    <w:p>
      <w:pPr>
        <w:pStyle w:val="ListParagraph"/>
        <w:numPr>
          <w:ilvl w:val="0"/>
          <w:numId w:val="2"/>
        </w:numPr>
        <w:spacing w:after="80" w:line="276"/>
      </w:pPr>
      <w:r>
        <w:rPr>
          <w:rFonts w:ascii="Arial" w:cs="Arial" w:eastAsia="Arial" w:hAnsi="Arial"/>
          <w:color w:val="333333"/>
          <w:sz w:val="20"/>
          <w:szCs w:val="20"/>
        </w:rPr>
        <w:t xml:space="preserve">Vesting resumes when full commitment resumes</w:t>
      </w:r>
    </w:p>
    <w:p>
      <w:pPr>
        <w:pStyle w:val="ListParagraph"/>
        <w:numPr>
          <w:ilvl w:val="0"/>
          <w:numId w:val="2"/>
        </w:numPr>
        <w:spacing w:after="80" w:line="276"/>
      </w:pPr>
      <w:r>
        <w:rPr>
          <w:rFonts w:ascii="Arial" w:cs="Arial" w:eastAsia="Arial" w:hAnsi="Arial"/>
          <w:color w:val="333333"/>
          <w:sz w:val="20"/>
          <w:szCs w:val="20"/>
        </w:rPr>
        <w:t xml:space="preserve">If the pause extends beyond 6 months, the active Co-Founder may initiate a buyback of unvested shares at nominal value ($0.01/share or the most recent fair market value, whichever is lower)</w:t>
      </w:r>
    </w:p>
    <w:p>
      <w:pPr>
        <w:spacing w:after="0"/>
      </w:pPr>
    </w:p>
    <w:p>
      <w:pPr>
        <w:pStyle w:val="Heading2"/>
        <w:spacing w:after="160" w:before="280"/>
      </w:pPr>
      <w:r>
        <w:rPr>
          <w:rFonts w:ascii="Arial" w:cs="Arial" w:eastAsia="Arial" w:hAnsi="Arial"/>
          <w:b/>
          <w:bCs/>
          <w:color w:val="0B6E4F"/>
          <w:sz w:val="24"/>
          <w:szCs w:val="24"/>
        </w:rPr>
        <w:t xml:space="preserve">7.3 Termination for Cause</w:t>
      </w:r>
    </w:p>
    <w:p>
      <w:pPr>
        <w:spacing w:after="160" w:line="276"/>
      </w:pPr>
      <w:r>
        <w:rPr>
          <w:rFonts w:ascii="Arial" w:cs="Arial" w:eastAsia="Arial" w:hAnsi="Arial"/>
          <w:color w:val="333333"/>
          <w:sz w:val="20"/>
          <w:szCs w:val="20"/>
        </w:rPr>
        <w:t xml:space="preserve">Either Co-Founder may terminate the other for cause, defined as:</w:t>
      </w:r>
    </w:p>
    <w:p>
      <w:pPr>
        <w:pStyle w:val="ListParagraph"/>
        <w:numPr>
          <w:ilvl w:val="0"/>
          <w:numId w:val="2"/>
        </w:numPr>
        <w:spacing w:after="80" w:line="276"/>
      </w:pPr>
      <w:r>
        <w:rPr>
          <w:rFonts w:ascii="Arial" w:cs="Arial" w:eastAsia="Arial" w:hAnsi="Arial"/>
          <w:color w:val="333333"/>
          <w:sz w:val="20"/>
          <w:szCs w:val="20"/>
        </w:rPr>
        <w:t xml:space="preserve">Material breach of this Agreement that is not cured within 30 days of written notice</w:t>
      </w:r>
    </w:p>
    <w:p>
      <w:pPr>
        <w:pStyle w:val="ListParagraph"/>
        <w:numPr>
          <w:ilvl w:val="0"/>
          <w:numId w:val="2"/>
        </w:numPr>
        <w:spacing w:after="80" w:line="276"/>
      </w:pPr>
      <w:r>
        <w:rPr>
          <w:rFonts w:ascii="Arial" w:cs="Arial" w:eastAsia="Arial" w:hAnsi="Arial"/>
          <w:color w:val="333333"/>
          <w:sz w:val="20"/>
          <w:szCs w:val="20"/>
        </w:rPr>
        <w:t xml:space="preserve">Fraud, theft, or misappropriation of Company funds or assets</w:t>
      </w:r>
    </w:p>
    <w:p>
      <w:pPr>
        <w:pStyle w:val="ListParagraph"/>
        <w:numPr>
          <w:ilvl w:val="0"/>
          <w:numId w:val="2"/>
        </w:numPr>
        <w:spacing w:after="80" w:line="276"/>
      </w:pPr>
      <w:r>
        <w:rPr>
          <w:rFonts w:ascii="Arial" w:cs="Arial" w:eastAsia="Arial" w:hAnsi="Arial"/>
          <w:color w:val="333333"/>
          <w:sz w:val="20"/>
          <w:szCs w:val="20"/>
        </w:rPr>
        <w:t xml:space="preserve">Conviction of a felony or crime of moral turpitude</w:t>
      </w:r>
    </w:p>
    <w:p>
      <w:pPr>
        <w:pStyle w:val="ListParagraph"/>
        <w:numPr>
          <w:ilvl w:val="0"/>
          <w:numId w:val="2"/>
        </w:numPr>
        <w:spacing w:after="80" w:line="276"/>
      </w:pPr>
      <w:r>
        <w:rPr>
          <w:rFonts w:ascii="Arial" w:cs="Arial" w:eastAsia="Arial" w:hAnsi="Arial"/>
          <w:color w:val="333333"/>
          <w:sz w:val="20"/>
          <w:szCs w:val="20"/>
        </w:rPr>
        <w:t xml:space="preserve">Gross negligence causing material harm to the Company</w:t>
      </w:r>
    </w:p>
    <w:p>
      <w:pPr>
        <w:spacing w:after="160" w:line="276"/>
      </w:pPr>
      <w:r>
        <w:rPr>
          <w:rFonts w:ascii="Arial" w:cs="Arial" w:eastAsia="Arial" w:hAnsi="Arial"/>
          <w:color w:val="333333"/>
          <w:sz w:val="20"/>
          <w:szCs w:val="20"/>
        </w:rPr>
        <w:t xml:space="preserve">Upon termination for cause, the terminated Co-Founder forfeits all unvested equity immediately. Vested equity may be subject to buyback at the Board's discretion.</w:t>
      </w:r>
    </w:p>
    <w:p>
      <w:pPr>
        <w:spacing w:after="0"/>
      </w:pPr>
    </w:p>
    <w:p>
      <w:pPr>
        <w:pStyle w:val="Heading2"/>
        <w:spacing w:after="160" w:before="280"/>
      </w:pPr>
      <w:r>
        <w:rPr>
          <w:rFonts w:ascii="Arial" w:cs="Arial" w:eastAsia="Arial" w:hAnsi="Arial"/>
          <w:b/>
          <w:bCs/>
          <w:color w:val="0B6E4F"/>
          <w:sz w:val="24"/>
          <w:szCs w:val="24"/>
        </w:rPr>
        <w:t xml:space="preserve">7.4 Dissolution</w:t>
      </w:r>
    </w:p>
    <w:p>
      <w:pPr>
        <w:spacing w:after="160" w:line="276"/>
      </w:pPr>
      <w:r>
        <w:rPr>
          <w:rFonts w:ascii="Arial" w:cs="Arial" w:eastAsia="Arial" w:hAnsi="Arial"/>
          <w:color w:val="333333"/>
          <w:sz w:val="20"/>
          <w:szCs w:val="20"/>
        </w:rPr>
        <w:t xml:space="preserve">If both Co-Founders agree to dissolve the Company, remaining assets shall be distributed proportionally to equity ownership after settling all debts, obligations, and third-party commitments.</w:t>
      </w:r>
    </w:p>
    <w:p>
      <w:pPr>
        <w:pStyle w:val="Heading1"/>
        <w:spacing w:after="200" w:before="360"/>
      </w:pPr>
      <w:r>
        <w:rPr>
          <w:rFonts w:ascii="Arial" w:cs="Arial" w:eastAsia="Arial" w:hAnsi="Arial"/>
          <w:b/>
          <w:bCs/>
          <w:color w:val="022B1E"/>
          <w:sz w:val="28"/>
          <w:szCs w:val="28"/>
        </w:rPr>
        <w:t xml:space="preserve">8. Decision-Making and Governance</w:t>
      </w:r>
    </w:p>
    <w:p>
      <w:pPr>
        <w:pStyle w:val="Heading2"/>
        <w:spacing w:after="160" w:before="280"/>
      </w:pPr>
      <w:r>
        <w:rPr>
          <w:rFonts w:ascii="Arial" w:cs="Arial" w:eastAsia="Arial" w:hAnsi="Arial"/>
          <w:b/>
          <w:bCs/>
          <w:color w:val="0B6E4F"/>
          <w:sz w:val="24"/>
          <w:szCs w:val="24"/>
        </w:rPr>
        <w:t xml:space="preserve">8.1 Day-to-Day Decisions</w:t>
      </w:r>
    </w:p>
    <w:p>
      <w:pPr>
        <w:spacing w:after="160" w:line="276"/>
      </w:pPr>
      <w:r>
        <w:rPr>
          <w:rFonts w:ascii="Arial" w:cs="Arial" w:eastAsia="Arial" w:hAnsi="Arial"/>
          <w:color w:val="333333"/>
          <w:sz w:val="20"/>
          <w:szCs w:val="20"/>
        </w:rPr>
        <w:t xml:space="preserve">Each Co-Founder has authority over decisions within their domain (Technical Founder: product, engineering, operations; Growth Founder: marketing, sales, partnerships, fundraising). Cross-domain decisions are made jointly.</w:t>
      </w:r>
    </w:p>
    <w:p>
      <w:pPr>
        <w:spacing w:after="0"/>
      </w:pPr>
    </w:p>
    <w:p>
      <w:pPr>
        <w:pStyle w:val="Heading2"/>
        <w:spacing w:after="160" w:before="280"/>
      </w:pPr>
      <w:r>
        <w:rPr>
          <w:rFonts w:ascii="Arial" w:cs="Arial" w:eastAsia="Arial" w:hAnsi="Arial"/>
          <w:b/>
          <w:bCs/>
          <w:color w:val="0B6E4F"/>
          <w:sz w:val="24"/>
          <w:szCs w:val="24"/>
        </w:rPr>
        <w:t xml:space="preserve">8.2 Major Decisions (Require Unanimous Agreement)</w:t>
      </w:r>
    </w:p>
    <w:p>
      <w:pPr>
        <w:pStyle w:val="ListParagraph"/>
        <w:numPr>
          <w:ilvl w:val="0"/>
          <w:numId w:val="2"/>
        </w:numPr>
        <w:spacing w:after="80" w:line="276"/>
      </w:pPr>
      <w:r>
        <w:rPr>
          <w:rFonts w:ascii="Arial" w:cs="Arial" w:eastAsia="Arial" w:hAnsi="Arial"/>
          <w:color w:val="333333"/>
          <w:sz w:val="20"/>
          <w:szCs w:val="20"/>
        </w:rPr>
        <w:t xml:space="preserve">Raising external capital or issuing new equity</w:t>
      </w:r>
    </w:p>
    <w:p>
      <w:pPr>
        <w:pStyle w:val="ListParagraph"/>
        <w:numPr>
          <w:ilvl w:val="0"/>
          <w:numId w:val="2"/>
        </w:numPr>
        <w:spacing w:after="80" w:line="276"/>
      </w:pPr>
      <w:r>
        <w:rPr>
          <w:rFonts w:ascii="Arial" w:cs="Arial" w:eastAsia="Arial" w:hAnsi="Arial"/>
          <w:color w:val="333333"/>
          <w:sz w:val="20"/>
          <w:szCs w:val="20"/>
        </w:rPr>
        <w:t xml:space="preserve">Hiring or terminating employees</w:t>
      </w:r>
    </w:p>
    <w:p>
      <w:pPr>
        <w:pStyle w:val="ListParagraph"/>
        <w:numPr>
          <w:ilvl w:val="0"/>
          <w:numId w:val="2"/>
        </w:numPr>
        <w:spacing w:after="80" w:line="276"/>
      </w:pPr>
      <w:r>
        <w:rPr>
          <w:rFonts w:ascii="Arial" w:cs="Arial" w:eastAsia="Arial" w:hAnsi="Arial"/>
          <w:color w:val="333333"/>
          <w:sz w:val="20"/>
          <w:szCs w:val="20"/>
        </w:rPr>
        <w:t xml:space="preserve">Spending more than $5,000 in a single transaction</w:t>
      </w:r>
    </w:p>
    <w:p>
      <w:pPr>
        <w:pStyle w:val="ListParagraph"/>
        <w:numPr>
          <w:ilvl w:val="0"/>
          <w:numId w:val="2"/>
        </w:numPr>
        <w:spacing w:after="80" w:line="276"/>
      </w:pPr>
      <w:r>
        <w:rPr>
          <w:rFonts w:ascii="Arial" w:cs="Arial" w:eastAsia="Arial" w:hAnsi="Arial"/>
          <w:color w:val="333333"/>
          <w:sz w:val="20"/>
          <w:szCs w:val="20"/>
        </w:rPr>
        <w:t xml:space="preserve">Entering into partnerships or contracts with obligations exceeding $10,000</w:t>
      </w:r>
    </w:p>
    <w:p>
      <w:pPr>
        <w:pStyle w:val="ListParagraph"/>
        <w:numPr>
          <w:ilvl w:val="0"/>
          <w:numId w:val="2"/>
        </w:numPr>
        <w:spacing w:after="80" w:line="276"/>
      </w:pPr>
      <w:r>
        <w:rPr>
          <w:rFonts w:ascii="Arial" w:cs="Arial" w:eastAsia="Arial" w:hAnsi="Arial"/>
          <w:color w:val="333333"/>
          <w:sz w:val="20"/>
          <w:szCs w:val="20"/>
        </w:rPr>
        <w:t xml:space="preserve">Changing the Company's legal structure or jurisdiction</w:t>
      </w:r>
    </w:p>
    <w:p>
      <w:pPr>
        <w:pStyle w:val="ListParagraph"/>
        <w:numPr>
          <w:ilvl w:val="0"/>
          <w:numId w:val="2"/>
        </w:numPr>
        <w:spacing w:after="80" w:line="276"/>
      </w:pPr>
      <w:r>
        <w:rPr>
          <w:rFonts w:ascii="Arial" w:cs="Arial" w:eastAsia="Arial" w:hAnsi="Arial"/>
          <w:color w:val="333333"/>
          <w:sz w:val="20"/>
          <w:szCs w:val="20"/>
        </w:rPr>
        <w:t xml:space="preserve">Pivoting the core product direction</w:t>
      </w:r>
    </w:p>
    <w:p>
      <w:pPr>
        <w:pStyle w:val="ListParagraph"/>
        <w:numPr>
          <w:ilvl w:val="0"/>
          <w:numId w:val="2"/>
        </w:numPr>
        <w:spacing w:after="80" w:line="276"/>
      </w:pPr>
      <w:r>
        <w:rPr>
          <w:rFonts w:ascii="Arial" w:cs="Arial" w:eastAsia="Arial" w:hAnsi="Arial"/>
          <w:color w:val="333333"/>
          <w:sz w:val="20"/>
          <w:szCs w:val="20"/>
        </w:rPr>
        <w:t xml:space="preserve">Expanding to a new country or vertical</w:t>
      </w:r>
    </w:p>
    <w:p>
      <w:pPr>
        <w:spacing w:after="0"/>
      </w:pPr>
    </w:p>
    <w:p>
      <w:pPr>
        <w:pStyle w:val="Heading2"/>
        <w:spacing w:after="160" w:before="280"/>
      </w:pPr>
      <w:r>
        <w:rPr>
          <w:rFonts w:ascii="Arial" w:cs="Arial" w:eastAsia="Arial" w:hAnsi="Arial"/>
          <w:b/>
          <w:bCs/>
          <w:color w:val="0B6E4F"/>
          <w:sz w:val="24"/>
          <w:szCs w:val="24"/>
        </w:rPr>
        <w:t xml:space="preserve">8.3 Deadlock Resolution</w:t>
      </w:r>
    </w:p>
    <w:p>
      <w:pPr>
        <w:spacing w:after="160" w:line="276"/>
      </w:pPr>
      <w:r>
        <w:rPr>
          <w:rFonts w:ascii="Arial" w:cs="Arial" w:eastAsia="Arial" w:hAnsi="Arial"/>
          <w:color w:val="333333"/>
          <w:sz w:val="20"/>
          <w:szCs w:val="20"/>
        </w:rPr>
        <w:t xml:space="preserve">If the Co-Founders cannot reach agreement on a major decision after good-faith discussion over 14 days, the matter shall be submitted to a mutually agreed advisor or mentor for a non-binding recommendation. If deadlock persists for 30 days, either Co-Founder may invoke the dissolution provisions.</w:t>
      </w:r>
    </w:p>
    <w:p>
      <w:pPr>
        <w:pStyle w:val="Heading1"/>
        <w:spacing w:after="200" w:before="360"/>
      </w:pPr>
      <w:r>
        <w:rPr>
          <w:rFonts w:ascii="Arial" w:cs="Arial" w:eastAsia="Arial" w:hAnsi="Arial"/>
          <w:b/>
          <w:bCs/>
          <w:color w:val="022B1E"/>
          <w:sz w:val="28"/>
          <w:szCs w:val="28"/>
        </w:rPr>
        <w:t xml:space="preserve">9. Financial Terms</w:t>
      </w:r>
    </w:p>
    <w:p>
      <w:pPr>
        <w:pStyle w:val="Heading2"/>
        <w:spacing w:after="160" w:before="280"/>
      </w:pPr>
      <w:r>
        <w:rPr>
          <w:rFonts w:ascii="Arial" w:cs="Arial" w:eastAsia="Arial" w:hAnsi="Arial"/>
          <w:b/>
          <w:bCs/>
          <w:color w:val="0B6E4F"/>
          <w:sz w:val="24"/>
          <w:szCs w:val="24"/>
        </w:rPr>
        <w:t xml:space="preserve">9.1 Initial Funding</w:t>
      </w:r>
    </w:p>
    <w:p>
      <w:pPr>
        <w:spacing w:after="160" w:line="276"/>
      </w:pPr>
      <w:r>
        <w:rPr>
          <w:rFonts w:ascii="Arial" w:cs="Arial" w:eastAsia="Arial" w:hAnsi="Arial"/>
          <w:color w:val="333333"/>
          <w:sz w:val="20"/>
          <w:szCs w:val="20"/>
        </w:rPr>
        <w:t xml:space="preserve">V0/V1 operating costs (estimated at less than $500/month for Firebase, domains, marketing tests) shall be funded by the Technical Founder from personal resources or Farmerline salary. The Growth Founder shall contribute proportionally to marketing spend as agreed.</w:t>
      </w:r>
    </w:p>
    <w:p>
      <w:pPr>
        <w:spacing w:after="0"/>
      </w:pPr>
    </w:p>
    <w:p>
      <w:pPr>
        <w:pStyle w:val="Heading2"/>
        <w:spacing w:after="160" w:before="280"/>
      </w:pPr>
      <w:r>
        <w:rPr>
          <w:rFonts w:ascii="Arial" w:cs="Arial" w:eastAsia="Arial" w:hAnsi="Arial"/>
          <w:b/>
          <w:bCs/>
          <w:color w:val="0B6E4F"/>
          <w:sz w:val="24"/>
          <w:szCs w:val="24"/>
        </w:rPr>
        <w:t xml:space="preserve">9.2 Compensation</w:t>
      </w:r>
    </w:p>
    <w:p>
      <w:pPr>
        <w:spacing w:after="160" w:line="276"/>
      </w:pPr>
      <w:r>
        <w:rPr>
          <w:rFonts w:ascii="Arial" w:cs="Arial" w:eastAsia="Arial" w:hAnsi="Arial"/>
          <w:color w:val="333333"/>
          <w:sz w:val="20"/>
          <w:szCs w:val="20"/>
        </w:rPr>
        <w:t xml:space="preserve">Neither Co-Founder receives a salary until EyeOnSite generates sufficient revenue or raises external funding. Once revenue exceeds $5,000 MRR or external funding is secured, the Co-Founders shall agree on a compensation plan that reflects market rates, adjusted for the Company's stage.</w:t>
      </w:r>
    </w:p>
    <w:p>
      <w:pPr>
        <w:spacing w:after="0"/>
      </w:pPr>
    </w:p>
    <w:p>
      <w:pPr>
        <w:pStyle w:val="Heading2"/>
        <w:spacing w:after="160" w:before="280"/>
      </w:pPr>
      <w:r>
        <w:rPr>
          <w:rFonts w:ascii="Arial" w:cs="Arial" w:eastAsia="Arial" w:hAnsi="Arial"/>
          <w:b/>
          <w:bCs/>
          <w:color w:val="0B6E4F"/>
          <w:sz w:val="24"/>
          <w:szCs w:val="24"/>
        </w:rPr>
        <w:t xml:space="preserve">9.3 Expense Reimbursement</w:t>
      </w:r>
    </w:p>
    <w:p>
      <w:pPr>
        <w:spacing w:after="160" w:line="276"/>
      </w:pPr>
      <w:r>
        <w:rPr>
          <w:rFonts w:ascii="Arial" w:cs="Arial" w:eastAsia="Arial" w:hAnsi="Arial"/>
          <w:color w:val="333333"/>
          <w:sz w:val="20"/>
          <w:szCs w:val="20"/>
        </w:rPr>
        <w:t xml:space="preserve">Reasonable, pre-approved business expenses (travel for partnership meetings, conference attendance, marketing spend) shall be reimbursed from Company funds. Expenses exceeding $500 require prior agreement from both Co-Founders.</w:t>
      </w:r>
    </w:p>
    <w:p>
      <w:pPr>
        <w:pStyle w:val="Heading1"/>
        <w:spacing w:after="200" w:before="360"/>
      </w:pPr>
      <w:r>
        <w:rPr>
          <w:rFonts w:ascii="Arial" w:cs="Arial" w:eastAsia="Arial" w:hAnsi="Arial"/>
          <w:b/>
          <w:bCs/>
          <w:color w:val="022B1E"/>
          <w:sz w:val="28"/>
          <w:szCs w:val="28"/>
        </w:rPr>
        <w:t xml:space="preserve">10. Confidentiality and Non-Disclosure</w:t>
      </w:r>
    </w:p>
    <w:p>
      <w:pPr>
        <w:spacing w:after="160" w:line="276"/>
      </w:pPr>
      <w:r>
        <w:rPr>
          <w:rFonts w:ascii="Arial" w:cs="Arial" w:eastAsia="Arial" w:hAnsi="Arial"/>
          <w:color w:val="333333"/>
          <w:sz w:val="20"/>
          <w:szCs w:val="20"/>
        </w:rPr>
        <w:t xml:space="preserve">Both Co-Founders agree to maintain the confidentiality of all proprietary information, business plans, financial data, client lists, inspector data, and trade secrets of EyeOnSite. This obligation survives the termination of this Agreement for a period of 3 years.</w:t>
      </w:r>
    </w:p>
    <w:p>
      <w:pPr>
        <w:spacing w:after="160" w:line="276"/>
      </w:pPr>
      <w:r>
        <w:rPr>
          <w:rFonts w:ascii="Arial" w:cs="Arial" w:eastAsia="Arial" w:hAnsi="Arial"/>
          <w:color w:val="333333"/>
          <w:sz w:val="20"/>
          <w:szCs w:val="20"/>
        </w:rPr>
        <w:t xml:space="preserve">Confidential information does not include information that is publicly available, independently developed, or received from a third party without restriction.</w:t>
      </w:r>
    </w:p>
    <w:p>
      <w:pPr>
        <w:pStyle w:val="Heading1"/>
        <w:spacing w:after="200" w:before="360"/>
      </w:pPr>
      <w:r>
        <w:rPr>
          <w:rFonts w:ascii="Arial" w:cs="Arial" w:eastAsia="Arial" w:hAnsi="Arial"/>
          <w:b/>
          <w:bCs/>
          <w:color w:val="022B1E"/>
          <w:sz w:val="28"/>
          <w:szCs w:val="28"/>
        </w:rPr>
        <w:t xml:space="preserve">11. Dispute Resolution</w:t>
      </w:r>
    </w:p>
    <w:p>
      <w:pPr>
        <w:spacing w:after="160" w:line="276"/>
      </w:pPr>
      <w:r>
        <w:rPr>
          <w:rFonts w:ascii="Arial" w:cs="Arial" w:eastAsia="Arial" w:hAnsi="Arial"/>
          <w:color w:val="333333"/>
          <w:sz w:val="20"/>
          <w:szCs w:val="20"/>
        </w:rPr>
        <w:t xml:space="preserve">Any dispute arising from this Agreement shall first be submitted to good-faith mediation by a mutually agreed mediator. If mediation fails within 30 days, the dispute shall be resolved by binding arbitration under the rules of the Ghana Arbitration Centre (for disputes between parties in Ghana) or the American Arbitration Association (for disputes involving the Delaware entity).</w:t>
      </w:r>
    </w:p>
    <w:p>
      <w:pPr>
        <w:pStyle w:val="Heading1"/>
        <w:spacing w:after="200" w:before="360"/>
      </w:pPr>
      <w:r>
        <w:rPr>
          <w:rFonts w:ascii="Arial" w:cs="Arial" w:eastAsia="Arial" w:hAnsi="Arial"/>
          <w:b/>
          <w:bCs/>
          <w:color w:val="022B1E"/>
          <w:sz w:val="28"/>
          <w:szCs w:val="28"/>
        </w:rPr>
        <w:t xml:space="preserve">12. Governing Law</w:t>
      </w:r>
    </w:p>
    <w:p>
      <w:pPr>
        <w:spacing w:after="160" w:line="276"/>
      </w:pPr>
      <w:r>
        <w:rPr>
          <w:rFonts w:ascii="Arial" w:cs="Arial" w:eastAsia="Arial" w:hAnsi="Arial"/>
          <w:color w:val="333333"/>
          <w:sz w:val="20"/>
          <w:szCs w:val="20"/>
        </w:rPr>
        <w:t xml:space="preserve">This Agreement shall be governed by the laws of the Republic of Ghana for matters relating to the Ghana entity, and by the laws of the State of Delaware, USA, for matters relating to Manti Labs LLC or the Delaware entity.</w:t>
      </w:r>
    </w:p>
    <w:p>
      <w:pPr>
        <w:pStyle w:val="Heading1"/>
        <w:spacing w:after="200" w:before="360"/>
      </w:pPr>
      <w:r>
        <w:rPr>
          <w:rFonts w:ascii="Arial" w:cs="Arial" w:eastAsia="Arial" w:hAnsi="Arial"/>
          <w:b/>
          <w:bCs/>
          <w:color w:val="022B1E"/>
          <w:sz w:val="28"/>
          <w:szCs w:val="28"/>
        </w:rPr>
        <w:t xml:space="preserve">13. General Provisions</w:t>
      </w:r>
    </w:p>
    <w:p>
      <w:pPr>
        <w:spacing w:after="160" w:line="276"/>
      </w:pPr>
      <w:r>
        <w:rPr>
          <w:rFonts w:ascii="Arial" w:cs="Arial" w:eastAsia="Arial" w:hAnsi="Arial"/>
          <w:b/>
          <w:bCs/>
          <w:color w:val="333333"/>
          <w:sz w:val="20"/>
          <w:szCs w:val="20"/>
        </w:rPr>
        <w:t xml:space="preserve">Entire Agreement: </w:t>
      </w:r>
      <w:r>
        <w:rPr>
          <w:rFonts w:ascii="Arial" w:cs="Arial" w:eastAsia="Arial" w:hAnsi="Arial"/>
          <w:color w:val="333333"/>
          <w:sz w:val="20"/>
          <w:szCs w:val="20"/>
        </w:rPr>
        <w:t xml:space="preserve">This Agreement constitutes the entire understanding between the Co-Founders regarding EyeOnSite and supersedes all prior discussions, agreements, or understandings.</w:t>
      </w:r>
    </w:p>
    <w:p>
      <w:pPr>
        <w:spacing w:after="160" w:line="276"/>
      </w:pPr>
      <w:r>
        <w:rPr>
          <w:rFonts w:ascii="Arial" w:cs="Arial" w:eastAsia="Arial" w:hAnsi="Arial"/>
          <w:b/>
          <w:bCs/>
          <w:color w:val="333333"/>
          <w:sz w:val="20"/>
          <w:szCs w:val="20"/>
        </w:rPr>
        <w:t xml:space="preserve">Amendments: </w:t>
      </w:r>
      <w:r>
        <w:rPr>
          <w:rFonts w:ascii="Arial" w:cs="Arial" w:eastAsia="Arial" w:hAnsi="Arial"/>
          <w:color w:val="333333"/>
          <w:sz w:val="20"/>
          <w:szCs w:val="20"/>
        </w:rPr>
        <w:t xml:space="preserve">This Agreement may only be amended by written instrument signed by both Co-Founders.</w:t>
      </w:r>
    </w:p>
    <w:p>
      <w:pPr>
        <w:spacing w:after="160" w:line="276"/>
      </w:pPr>
      <w:r>
        <w:rPr>
          <w:rFonts w:ascii="Arial" w:cs="Arial" w:eastAsia="Arial" w:hAnsi="Arial"/>
          <w:b/>
          <w:bCs/>
          <w:color w:val="333333"/>
          <w:sz w:val="20"/>
          <w:szCs w:val="20"/>
        </w:rPr>
        <w:t xml:space="preserve">Severability: </w:t>
      </w:r>
      <w:r>
        <w:rPr>
          <w:rFonts w:ascii="Arial" w:cs="Arial" w:eastAsia="Arial" w:hAnsi="Arial"/>
          <w:color w:val="333333"/>
          <w:sz w:val="20"/>
          <w:szCs w:val="20"/>
        </w:rPr>
        <w:t xml:space="preserve">If any provision is found to be unenforceable, the remaining provisions shall remain in full force and effect.</w:t>
      </w:r>
    </w:p>
    <w:p>
      <w:pPr>
        <w:spacing w:after="160" w:line="276"/>
      </w:pPr>
      <w:r>
        <w:rPr>
          <w:rFonts w:ascii="Arial" w:cs="Arial" w:eastAsia="Arial" w:hAnsi="Arial"/>
          <w:b/>
          <w:bCs/>
          <w:color w:val="333333"/>
          <w:sz w:val="20"/>
          <w:szCs w:val="20"/>
        </w:rPr>
        <w:t xml:space="preserve">Notices: </w:t>
      </w:r>
      <w:r>
        <w:rPr>
          <w:rFonts w:ascii="Arial" w:cs="Arial" w:eastAsia="Arial" w:hAnsi="Arial"/>
          <w:color w:val="333333"/>
          <w:sz w:val="20"/>
          <w:szCs w:val="20"/>
        </w:rPr>
        <w:t xml:space="preserve">All notices shall be in writing and delivered by email to the addresses provided by each Co-Founder, with confirmation of receipt.</w:t>
      </w:r>
    </w:p>
    <w:p>
      <w:pPr>
        <w:pStyle w:val="Heading1"/>
        <w:spacing w:after="200" w:before="360"/>
      </w:pPr>
      <w:r>
        <w:rPr>
          <w:rFonts w:ascii="Arial" w:cs="Arial" w:eastAsia="Arial" w:hAnsi="Arial"/>
          <w:b/>
          <w:bCs/>
          <w:color w:val="022B1E"/>
          <w:sz w:val="28"/>
          <w:szCs w:val="28"/>
        </w:rPr>
        <w:t xml:space="preserve">14. Signatures</w:t>
      </w:r>
    </w:p>
    <w:p>
      <w:pPr>
        <w:spacing w:after="160" w:line="276"/>
      </w:pPr>
      <w:r>
        <w:rPr>
          <w:rFonts w:ascii="Arial" w:cs="Arial" w:eastAsia="Arial" w:hAnsi="Arial"/>
          <w:color w:val="333333"/>
          <w:sz w:val="20"/>
          <w:szCs w:val="20"/>
        </w:rPr>
        <w:t xml:space="preserve">By signing below, both Co-Founders acknowledge that they have read, understood, and agree to the terms of this Agreement. Both Co-Founders are advised to seek independent legal counsel before signing.</w:t>
      </w:r>
    </w:p>
    <w:p>
      <w:pPr>
        <w:spacing w:after="0"/>
      </w:pPr>
    </w:p>
    <w:p>
      <w:pPr>
        <w:spacing w:after="160" w:line="276"/>
      </w:pPr>
      <w:r>
        <w:rPr>
          <w:rFonts w:ascii="Arial" w:cs="Arial" w:eastAsia="Arial" w:hAnsi="Arial"/>
          <w:b/>
          <w:bCs/>
          <w:color w:val="333333"/>
          <w:sz w:val="20"/>
          <w:szCs w:val="20"/>
        </w:rPr>
        <w:t xml:space="preserve">PARTY A — Technical Founder</w:t>
      </w:r>
      <w:r>
        <w:rPr>
          <w:rFonts w:ascii="Arial" w:cs="Arial" w:eastAsia="Arial" w:hAnsi="Arial"/>
          <w:color w:val="333333"/>
          <w:sz w:val="20"/>
          <w:szCs w:val="20"/>
        </w:rPr>
        <w:t xml:space="preserve"/>
      </w:r>
    </w:p>
    <w:p>
      <w:pPr>
        <w:pBdr>
          <w:bottom w:val="single" w:color="999999" w:sz="1" w:space="4"/>
        </w:pBdr>
        <w:spacing w:after="0" w:before="400"/>
      </w:pPr>
      <w:r>
        <w:rPr>
          <w:rFonts w:ascii="Arial" w:cs="Arial" w:eastAsia="Arial" w:hAnsi="Arial"/>
          <w:sz w:val="20"/>
          <w:szCs w:val="20"/>
        </w:rPr>
        <w:t xml:space="preserve"> </w:t>
      </w:r>
    </w:p>
    <w:p>
      <w:pPr>
        <w:spacing w:after="200"/>
      </w:pPr>
      <w:r>
        <w:rPr>
          <w:rFonts w:ascii="Arial" w:cs="Arial" w:eastAsia="Arial" w:hAnsi="Arial"/>
          <w:color w:val="999999"/>
          <w:sz w:val="18"/>
          <w:szCs w:val="18"/>
        </w:rPr>
        <w:t xml:space="preserve">Signature</w:t>
      </w:r>
    </w:p>
    <w:p>
      <w:pPr>
        <w:pBdr>
          <w:bottom w:val="single" w:color="999999" w:sz="1" w:space="4"/>
        </w:pBdr>
        <w:spacing w:after="0" w:before="400"/>
      </w:pPr>
      <w:r>
        <w:rPr>
          <w:rFonts w:ascii="Arial" w:cs="Arial" w:eastAsia="Arial" w:hAnsi="Arial"/>
          <w:sz w:val="20"/>
          <w:szCs w:val="20"/>
        </w:rPr>
        <w:t xml:space="preserve"> </w:t>
      </w:r>
    </w:p>
    <w:p>
      <w:pPr>
        <w:spacing w:after="200"/>
      </w:pPr>
      <w:r>
        <w:rPr>
          <w:rFonts w:ascii="Arial" w:cs="Arial" w:eastAsia="Arial" w:hAnsi="Arial"/>
          <w:color w:val="999999"/>
          <w:sz w:val="18"/>
          <w:szCs w:val="18"/>
        </w:rPr>
        <w:t xml:space="preserve">Printed Name: Maku Mazakpe</w:t>
      </w:r>
    </w:p>
    <w:p>
      <w:pPr>
        <w:pBdr>
          <w:bottom w:val="single" w:color="999999" w:sz="1" w:space="4"/>
        </w:pBdr>
        <w:spacing w:after="0" w:before="400"/>
      </w:pPr>
      <w:r>
        <w:rPr>
          <w:rFonts w:ascii="Arial" w:cs="Arial" w:eastAsia="Arial" w:hAnsi="Arial"/>
          <w:sz w:val="20"/>
          <w:szCs w:val="20"/>
        </w:rPr>
        <w:t xml:space="preserve"> </w:t>
      </w:r>
    </w:p>
    <w:p>
      <w:pPr>
        <w:spacing w:after="200"/>
      </w:pPr>
      <w:r>
        <w:rPr>
          <w:rFonts w:ascii="Arial" w:cs="Arial" w:eastAsia="Arial" w:hAnsi="Arial"/>
          <w:color w:val="999999"/>
          <w:sz w:val="18"/>
          <w:szCs w:val="18"/>
        </w:rPr>
        <w:t xml:space="preserve">Date</w:t>
      </w:r>
    </w:p>
    <w:p>
      <w:pPr>
        <w:spacing w:after="0"/>
      </w:pPr>
    </w:p>
    <w:p>
      <w:pPr>
        <w:spacing w:after="160" w:line="276"/>
      </w:pPr>
      <w:r>
        <w:rPr>
          <w:rFonts w:ascii="Arial" w:cs="Arial" w:eastAsia="Arial" w:hAnsi="Arial"/>
          <w:b/>
          <w:bCs/>
          <w:color w:val="333333"/>
          <w:sz w:val="20"/>
          <w:szCs w:val="20"/>
        </w:rPr>
        <w:t xml:space="preserve">PARTY B — Growth Founder</w:t>
      </w:r>
      <w:r>
        <w:rPr>
          <w:rFonts w:ascii="Arial" w:cs="Arial" w:eastAsia="Arial" w:hAnsi="Arial"/>
          <w:color w:val="333333"/>
          <w:sz w:val="20"/>
          <w:szCs w:val="20"/>
        </w:rPr>
        <w:t xml:space="preserve"/>
      </w:r>
    </w:p>
    <w:p>
      <w:pPr>
        <w:pBdr>
          <w:bottom w:val="single" w:color="999999" w:sz="1" w:space="4"/>
        </w:pBdr>
        <w:spacing w:after="0" w:before="400"/>
      </w:pPr>
      <w:r>
        <w:rPr>
          <w:rFonts w:ascii="Arial" w:cs="Arial" w:eastAsia="Arial" w:hAnsi="Arial"/>
          <w:sz w:val="20"/>
          <w:szCs w:val="20"/>
        </w:rPr>
        <w:t xml:space="preserve"> </w:t>
      </w:r>
    </w:p>
    <w:p>
      <w:pPr>
        <w:spacing w:after="200"/>
      </w:pPr>
      <w:r>
        <w:rPr>
          <w:rFonts w:ascii="Arial" w:cs="Arial" w:eastAsia="Arial" w:hAnsi="Arial"/>
          <w:color w:val="999999"/>
          <w:sz w:val="18"/>
          <w:szCs w:val="18"/>
        </w:rPr>
        <w:t xml:space="preserve">Signature</w:t>
      </w:r>
    </w:p>
    <w:p>
      <w:pPr>
        <w:pBdr>
          <w:bottom w:val="single" w:color="999999" w:sz="1" w:space="4"/>
        </w:pBdr>
        <w:spacing w:after="0" w:before="400"/>
      </w:pPr>
      <w:r>
        <w:rPr>
          <w:rFonts w:ascii="Arial" w:cs="Arial" w:eastAsia="Arial" w:hAnsi="Arial"/>
          <w:sz w:val="20"/>
          <w:szCs w:val="20"/>
        </w:rPr>
        <w:t xml:space="preserve"> </w:t>
      </w:r>
    </w:p>
    <w:p>
      <w:pPr>
        <w:spacing w:after="200"/>
      </w:pPr>
      <w:r>
        <w:rPr>
          <w:rFonts w:ascii="Arial" w:cs="Arial" w:eastAsia="Arial" w:hAnsi="Arial"/>
          <w:color w:val="999999"/>
          <w:sz w:val="18"/>
          <w:szCs w:val="18"/>
        </w:rPr>
        <w:t xml:space="preserve">Printed Name</w:t>
      </w:r>
    </w:p>
    <w:p>
      <w:pPr>
        <w:pBdr>
          <w:bottom w:val="single" w:color="999999" w:sz="1" w:space="4"/>
        </w:pBdr>
        <w:spacing w:after="0" w:before="400"/>
      </w:pPr>
      <w:r>
        <w:rPr>
          <w:rFonts w:ascii="Arial" w:cs="Arial" w:eastAsia="Arial" w:hAnsi="Arial"/>
          <w:sz w:val="20"/>
          <w:szCs w:val="20"/>
        </w:rPr>
        <w:t xml:space="preserve"> </w:t>
      </w:r>
    </w:p>
    <w:p>
      <w:pPr>
        <w:spacing w:after="200"/>
      </w:pPr>
      <w:r>
        <w:rPr>
          <w:rFonts w:ascii="Arial" w:cs="Arial" w:eastAsia="Arial" w:hAnsi="Arial"/>
          <w:color w:val="999999"/>
          <w:sz w:val="18"/>
          <w:szCs w:val="18"/>
        </w:rPr>
        <w:t xml:space="preserve">Date</w:t>
      </w:r>
    </w:p>
    <w:p>
      <w:pPr>
        <w:spacing w:after="0"/>
      </w:pPr>
    </w:p>
    <w:p>
      <w:pPr>
        <w:pBdr>
          <w:top w:val="single" w:color="E8E6DD" w:sz="2" w:space="8"/>
        </w:pBdr>
        <w:spacing w:before="200"/>
        <w:jc w:val="center"/>
      </w:pPr>
      <w:r>
        <w:rPr>
          <w:rFonts w:ascii="Arial" w:cs="Arial" w:eastAsia="Arial" w:hAnsi="Arial"/>
          <w:i/>
          <w:iCs/>
          <w:color w:val="999999"/>
          <w:sz w:val="18"/>
          <w:szCs w:val="18"/>
        </w:rPr>
        <w:t xml:space="preserve">End of Co-Founder Agreement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22B1E"/>
      <w:sz w:val="28"/>
      <w:szCs w:val="28"/>
    </w:rPr>
  </w:style>
  <w:style w:type="paragraph" w:styleId="Heading2">
    <w:name w:val="Heading 2"/>
    <w:basedOn w:val="Normal"/>
    <w:next w:val="Normal"/>
    <w:qFormat/>
    <w:pPr>
      <w:spacing w:after="160" w:before="280"/>
      <w:outlineLvl w:val="1"/>
    </w:pPr>
    <w:rPr>
      <w:rFonts w:ascii="Arial" w:cs="Arial" w:eastAsia="Arial" w:hAnsi="Arial"/>
      <w:b/>
      <w:bCs/>
      <w:color w:val="0B6E4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2026-05-25T15:44:06.607Z</dcterms:created>
  <dcterms:modified xsi:type="dcterms:W3CDTF">2026-05-25T15:44:06.607Z</dcterms:modified>
</cp:coreProperties>
</file>

<file path=docProps/custom.xml><?xml version="1.0" encoding="utf-8"?>
<Properties xmlns="http://schemas.openxmlformats.org/officeDocument/2006/custom-properties" xmlns:vt="http://schemas.openxmlformats.org/officeDocument/2006/docPropsVTypes"/>
</file>