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B6E4F"/>
          <w:sz w:val="36"/>
          <w:szCs w:val="36"/>
        </w:rPr>
        <w:t xml:space="preserve">EYEONSITE</w:t>
      </w:r>
    </w:p>
    <w:p>
      <w:pPr>
        <w:spacing w:after="40"/>
        <w:jc w:val="center"/>
      </w:pPr>
      <w:r>
        <w:rPr>
          <w:rFonts w:ascii="Arial" w:cs="Arial" w:eastAsia="Arial" w:hAnsi="Arial"/>
          <w:b/>
          <w:bCs/>
          <w:color w:val="022B1E"/>
          <w:sz w:val="30"/>
          <w:szCs w:val="30"/>
        </w:rPr>
        <w:t xml:space="preserve">NIGERIA REGULATORY &amp; MARKET ENTRY FRAMEWORK</w:t>
      </w:r>
    </w:p>
    <w:p>
      <w:pPr>
        <w:spacing w:after="20"/>
        <w:jc w:val="center"/>
      </w:pPr>
      <w:r>
        <w:rPr>
          <w:rFonts w:ascii="Arial" w:cs="Arial" w:eastAsia="Arial" w:hAnsi="Arial"/>
          <w:color w:val="4A4A47"/>
          <w:sz w:val="22"/>
          <w:szCs w:val="22"/>
        </w:rPr>
        <w:t xml:space="preserve">Entity Options, Data Protection, Licensing, Labour, Tax &amp; Country Representative Strategy</w:t>
      </w:r>
    </w:p>
    <w:p>
      <w:pPr>
        <w:spacing w:after="300"/>
        <w:jc w:val="center"/>
      </w:pPr>
      <w:r>
        <w:rPr>
          <w:rFonts w:ascii="Arial" w:cs="Arial" w:eastAsia="Arial" w:hAnsi="Arial"/>
          <w:color w:val="999999"/>
          <w:sz w:val="18"/>
          <w:szCs w:val="18"/>
        </w:rPr>
        <w:t xml:space="preserve">Document EOS-16-NG | Version 1.0 | May 2026 | Manti Labs LLC (Delaware) | CONFIDENTIAL</w:t>
      </w:r>
    </w:p>
    <w:p>
      <w:pPr>
        <w:pBdr>
          <w:left w:val="single" w:color="E8593C" w:sz="12" w:space="8"/>
        </w:pBdr>
        <w:shd w:fill="FEF2F2" w:val="clear"/>
        <w:spacing w:after="200" w:before="120"/>
      </w:pPr>
      <w:r>
        <w:rPr>
          <w:rFonts w:ascii="Arial" w:cs="Arial" w:eastAsia="Arial" w:hAnsi="Arial"/>
          <w:color w:val="333333"/>
          <w:sz w:val="20"/>
          <w:szCs w:val="20"/>
        </w:rPr>
        <w:t xml:space="preserve">IMPORTANT: This document is a compliance planning framework, not legal advice. Nigeria has the most complex fintech regulatory environment in Africa. All interpretations must be verified with qualified Nigerian legal counsel. The Founder is not Nigerian — this document explicitly addresses the structural and operational implications of entering Nigeria as a non-Nigerian founder with a Delaware parent company.</w:t>
      </w:r>
    </w:p>
    <w:p>
      <w:pPr>
        <w:pStyle w:val="Heading1"/>
        <w:spacing w:after="200" w:before="400"/>
      </w:pPr>
      <w:r>
        <w:rPr>
          <w:rFonts w:ascii="Arial" w:cs="Arial" w:eastAsia="Arial" w:hAnsi="Arial"/>
          <w:b/>
          <w:bCs/>
          <w:color w:val="022B1E"/>
          <w:sz w:val="28"/>
          <w:szCs w:val="28"/>
        </w:rPr>
        <w:t xml:space="preserve">1. Context: Why Nigeria Is Different</w:t>
      </w:r>
    </w:p>
    <w:p>
      <w:pPr>
        <w:spacing w:after="140" w:line="276"/>
      </w:pPr>
      <w:r>
        <w:rPr>
          <w:rFonts w:ascii="Arial" w:cs="Arial" w:eastAsia="Arial" w:hAnsi="Arial"/>
          <w:color w:val="333333"/>
          <w:sz w:val="20"/>
          <w:szCs w:val="20"/>
        </w:rPr>
        <w:t xml:space="preserve">Nigeria is Africa's largest economy, its most populous country (230M+ people), and the continent's most active diaspora remittance corridor. The UK-to-Nigeria and US-to-Nigeria corridors alone represent tens of billions of dollars in annual remittances. Lagos is the single largest concentration of diaspora-funded construction projects on the continent.</w:t>
      </w:r>
    </w:p>
    <w:p>
      <w:pPr>
        <w:spacing w:after="0"/>
      </w:pPr>
    </w:p>
    <w:p>
      <w:pPr>
        <w:spacing w:after="140" w:line="276"/>
      </w:pPr>
      <w:r>
        <w:rPr>
          <w:rFonts w:ascii="Arial" w:cs="Arial" w:eastAsia="Arial" w:hAnsi="Arial"/>
          <w:color w:val="333333"/>
          <w:sz w:val="20"/>
          <w:szCs w:val="20"/>
        </w:rPr>
        <w:t xml:space="preserve">However, Nigeria is also the most heavily regulated fintech market in Africa. The Central Bank of Nigeria (CBN) actively enforces licensing requirements, has imposed fines of up to ₦500 million for non-compliance, froze Flutterwave's Kenya operations over AML concerns, and fined Paystack ₦250 million for exceeding license scope in 2025. The Nigeria Data Protection Commission (NDPC) has fined Multichoice ₦766.2 million and Meta $220 million.</w:t>
      </w:r>
    </w:p>
    <w:p>
      <w:pPr>
        <w:spacing w:after="0"/>
      </w:pPr>
    </w:p>
    <w:p>
      <w:pPr>
        <w:pStyle w:val="Heading2"/>
        <w:spacing w:after="160" w:before="300"/>
      </w:pPr>
      <w:r>
        <w:rPr>
          <w:rFonts w:ascii="Arial" w:cs="Arial" w:eastAsia="Arial" w:hAnsi="Arial"/>
          <w:b/>
          <w:bCs/>
          <w:color w:val="0B6E4F"/>
          <w:sz w:val="24"/>
          <w:szCs w:val="24"/>
        </w:rPr>
        <w:t xml:space="preserve">1.1 The Founder's Position</w:t>
      </w:r>
    </w:p>
    <w:p>
      <w:pPr>
        <w:spacing w:after="140" w:line="276"/>
      </w:pPr>
      <w:r>
        <w:rPr>
          <w:rFonts w:ascii="Arial" w:cs="Arial" w:eastAsia="Arial" w:hAnsi="Arial"/>
          <w:b/>
          <w:bCs/>
          <w:color w:val="333333"/>
          <w:sz w:val="20"/>
          <w:szCs w:val="20"/>
        </w:rPr>
        <w:t xml:space="preserve">Nationality: </w:t>
      </w:r>
      <w:r>
        <w:rPr>
          <w:rFonts w:ascii="Arial" w:cs="Arial" w:eastAsia="Arial" w:hAnsi="Arial"/>
          <w:color w:val="333333"/>
          <w:sz w:val="20"/>
          <w:szCs w:val="20"/>
        </w:rPr>
        <w:t xml:space="preserve">Ugandan</w:t>
      </w:r>
    </w:p>
    <w:p>
      <w:pPr>
        <w:spacing w:after="140" w:line="276"/>
      </w:pPr>
      <w:r>
        <w:rPr>
          <w:rFonts w:ascii="Arial" w:cs="Arial" w:eastAsia="Arial" w:hAnsi="Arial"/>
          <w:b/>
          <w:bCs/>
          <w:color w:val="333333"/>
          <w:sz w:val="20"/>
          <w:szCs w:val="20"/>
        </w:rPr>
        <w:t xml:space="preserve">Residence: </w:t>
      </w:r>
      <w:r>
        <w:rPr>
          <w:rFonts w:ascii="Arial" w:cs="Arial" w:eastAsia="Arial" w:hAnsi="Arial"/>
          <w:color w:val="333333"/>
          <w:sz w:val="20"/>
          <w:szCs w:val="20"/>
        </w:rPr>
        <w:t xml:space="preserve">Accra, Ghana</w:t>
      </w:r>
    </w:p>
    <w:p>
      <w:pPr>
        <w:spacing w:after="140" w:line="276"/>
      </w:pPr>
      <w:r>
        <w:rPr>
          <w:rFonts w:ascii="Arial" w:cs="Arial" w:eastAsia="Arial" w:hAnsi="Arial"/>
          <w:b/>
          <w:bCs/>
          <w:color w:val="333333"/>
          <w:sz w:val="20"/>
          <w:szCs w:val="20"/>
        </w:rPr>
        <w:t xml:space="preserve">Nigerian connections: </w:t>
      </w:r>
      <w:r>
        <w:rPr>
          <w:rFonts w:ascii="Arial" w:cs="Arial" w:eastAsia="Arial" w:hAnsi="Arial"/>
          <w:color w:val="333333"/>
          <w:sz w:val="20"/>
          <w:szCs w:val="20"/>
        </w:rPr>
        <w:t xml:space="preserve">None established. No MEST alumni network in Lagos. No personal or professional history in Nigeria.</w:t>
      </w:r>
    </w:p>
    <w:p>
      <w:pPr>
        <w:spacing w:after="140" w:line="276"/>
      </w:pPr>
      <w:r>
        <w:rPr>
          <w:rFonts w:ascii="Arial" w:cs="Arial" w:eastAsia="Arial" w:hAnsi="Arial"/>
          <w:b/>
          <w:bCs/>
          <w:color w:val="333333"/>
          <w:sz w:val="20"/>
          <w:szCs w:val="20"/>
        </w:rPr>
        <w:t xml:space="preserve">Implication: </w:t>
      </w:r>
      <w:r>
        <w:rPr>
          <w:rFonts w:ascii="Arial" w:cs="Arial" w:eastAsia="Arial" w:hAnsi="Arial"/>
          <w:color w:val="333333"/>
          <w:sz w:val="20"/>
          <w:szCs w:val="20"/>
        </w:rPr>
        <w:t xml:space="preserve">Cannot serve as resident director. Cannot navigate Nigerian regulatory landscape without local expertise. Needs a Nigerian representative, partner, or co-founder for credible market entry.</w:t>
      </w:r>
    </w:p>
    <w:p>
      <w:pPr>
        <w:spacing w:after="0"/>
      </w:pPr>
    </w:p>
    <w:p>
      <w:pPr>
        <w:pStyle w:val="Heading2"/>
        <w:spacing w:after="160" w:before="300"/>
      </w:pPr>
      <w:r>
        <w:rPr>
          <w:rFonts w:ascii="Arial" w:cs="Arial" w:eastAsia="Arial" w:hAnsi="Arial"/>
          <w:b/>
          <w:bCs/>
          <w:color w:val="0B6E4F"/>
          <w:sz w:val="24"/>
          <w:szCs w:val="24"/>
        </w:rPr>
        <w:t xml:space="preserve">1.2 Recommended Market Entry Timing</w:t>
      </w:r>
    </w:p>
    <w:p>
      <w:pPr>
        <w:spacing w:after="140" w:line="276"/>
      </w:pPr>
      <w:r>
        <w:rPr>
          <w:rFonts w:ascii="Arial" w:cs="Arial" w:eastAsia="Arial" w:hAnsi="Arial"/>
          <w:b/>
          <w:bCs/>
          <w:color w:val="333333"/>
          <w:sz w:val="20"/>
          <w:szCs w:val="20"/>
        </w:rPr>
        <w:t xml:space="preserve">V1 (Months 1-8): </w:t>
      </w:r>
      <w:r>
        <w:rPr>
          <w:rFonts w:ascii="Arial" w:cs="Arial" w:eastAsia="Arial" w:hAnsi="Arial"/>
          <w:color w:val="333333"/>
          <w:sz w:val="20"/>
          <w:szCs w:val="20"/>
        </w:rPr>
        <w:t xml:space="preserve">Ghana (Accra). Founder is physically present, MEST network, low regulatory friction.</w:t>
      </w:r>
    </w:p>
    <w:p>
      <w:pPr>
        <w:spacing w:after="140" w:line="276"/>
      </w:pPr>
      <w:r>
        <w:rPr>
          <w:rFonts w:ascii="Arial" w:cs="Arial" w:eastAsia="Arial" w:hAnsi="Arial"/>
          <w:b/>
          <w:bCs/>
          <w:color w:val="333333"/>
          <w:sz w:val="20"/>
          <w:szCs w:val="20"/>
        </w:rPr>
        <w:t xml:space="preserve">V2 (Months 9-14): </w:t>
      </w:r>
      <w:r>
        <w:rPr>
          <w:rFonts w:ascii="Arial" w:cs="Arial" w:eastAsia="Arial" w:hAnsi="Arial"/>
          <w:color w:val="333333"/>
          <w:sz w:val="20"/>
          <w:szCs w:val="20"/>
        </w:rPr>
        <w:t xml:space="preserve">Kenya (Nairobi). More startup-friendly than Nigeria, 18% commission cap already legislated.</w:t>
      </w:r>
    </w:p>
    <w:p>
      <w:pPr>
        <w:spacing w:after="140" w:line="276"/>
      </w:pPr>
      <w:r>
        <w:rPr>
          <w:rFonts w:ascii="Arial" w:cs="Arial" w:eastAsia="Arial" w:hAnsi="Arial"/>
          <w:b/>
          <w:bCs/>
          <w:color w:val="333333"/>
          <w:sz w:val="20"/>
          <w:szCs w:val="20"/>
        </w:rPr>
        <w:t xml:space="preserve">V3 (Months 15-24): </w:t>
      </w:r>
      <w:r>
        <w:rPr>
          <w:rFonts w:ascii="Arial" w:cs="Arial" w:eastAsia="Arial" w:hAnsi="Arial"/>
          <w:color w:val="333333"/>
          <w:sz w:val="20"/>
          <w:szCs w:val="20"/>
        </w:rPr>
        <w:t xml:space="preserve">Nigeria (Lagos). Enter with revenue, proven model, and ideally a Nigerian co-founder or country representative.</w:t>
      </w:r>
    </w:p>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Nigeria is a V3 market, not V2. Entering Nigeria prematurely — without local representation, revenue, or regulatory preparation — risks regulatory penalties, operational failure, and reputational damage that could undermine the broader EyeOnSite brand.</w:t>
      </w:r>
    </w:p>
    <w:p>
      <w:pPr>
        <w:pStyle w:val="Heading1"/>
        <w:spacing w:after="200" w:before="400"/>
      </w:pPr>
      <w:r>
        <w:rPr>
          <w:rFonts w:ascii="Arial" w:cs="Arial" w:eastAsia="Arial" w:hAnsi="Arial"/>
          <w:b/>
          <w:bCs/>
          <w:color w:val="022B1E"/>
          <w:sz w:val="28"/>
          <w:szCs w:val="28"/>
        </w:rPr>
        <w:t xml:space="preserve">2. Market Entry Options — Detailed Analysis</w:t>
      </w:r>
    </w:p>
    <w:p>
      <w:pPr>
        <w:spacing w:after="140" w:line="276"/>
      </w:pPr>
      <w:r>
        <w:rPr>
          <w:rFonts w:ascii="Arial" w:cs="Arial" w:eastAsia="Arial" w:hAnsi="Arial"/>
          <w:color w:val="333333"/>
          <w:sz w:val="20"/>
          <w:szCs w:val="20"/>
        </w:rPr>
        <w:t xml:space="preserve">Four options exist for entering Nigeria. Each has distinct regulatory, operational, and financial implications. This section provides a comprehensive analysis of all four to enable an informed decision.</w:t>
      </w:r>
    </w:p>
    <w:p>
      <w:pPr>
        <w:spacing w:after="0"/>
      </w:pPr>
    </w:p>
    <w:p>
      <w:pPr>
        <w:pStyle w:val="Heading2"/>
        <w:spacing w:after="160" w:before="300"/>
      </w:pPr>
      <w:r>
        <w:rPr>
          <w:rFonts w:ascii="Arial" w:cs="Arial" w:eastAsia="Arial" w:hAnsi="Arial"/>
          <w:b/>
          <w:bCs/>
          <w:color w:val="0B6E4F"/>
          <w:sz w:val="24"/>
          <w:szCs w:val="24"/>
        </w:rPr>
        <w:t xml:space="preserve">2.1 Option A: Country Representative + Local Subsidiary</w:t>
      </w:r>
    </w:p>
    <w:p>
      <w:pPr>
        <w:spacing w:after="140" w:line="276"/>
      </w:pPr>
      <w:r>
        <w:rPr>
          <w:rFonts w:ascii="Arial" w:cs="Arial" w:eastAsia="Arial" w:hAnsi="Arial"/>
          <w:b/>
          <w:bCs/>
          <w:color w:val="333333"/>
          <w:sz w:val="20"/>
          <w:szCs w:val="20"/>
        </w:rPr>
        <w:t xml:space="preserve">Summary: </w:t>
      </w:r>
      <w:r>
        <w:rPr>
          <w:rFonts w:ascii="Arial" w:cs="Arial" w:eastAsia="Arial" w:hAnsi="Arial"/>
          <w:color w:val="333333"/>
          <w:sz w:val="20"/>
          <w:szCs w:val="20"/>
        </w:rPr>
        <w:t xml:space="preserve">Incorporate EyeOnSite Nigeria Ltd with a hired Nigerian country representative serving as local director. Manti Labs LLC (Delaware) is the parent/majority shareholder.</w:t>
      </w:r>
    </w:p>
    <w:p>
      <w:pPr>
        <w:spacing w:after="0"/>
      </w:pPr>
    </w:p>
    <w:p>
      <w:pPr>
        <w:spacing w:after="120" w:before="200"/>
      </w:pPr>
      <w:r>
        <w:rPr>
          <w:rFonts w:ascii="Arial" w:cs="Arial" w:eastAsia="Arial" w:hAnsi="Arial"/>
          <w:b/>
          <w:bCs/>
          <w:color w:val="4A4A47"/>
          <w:sz w:val="22"/>
          <w:szCs w:val="22"/>
        </w:rPr>
        <w:t xml:space="preserve">How It Works</w:t>
      </w:r>
    </w:p>
    <w:p>
      <w:pPr>
        <w:pStyle w:val="ListParagraph"/>
        <w:numPr>
          <w:ilvl w:val="0"/>
          <w:numId w:val="2"/>
        </w:numPr>
        <w:spacing w:after="80" w:line="276"/>
      </w:pPr>
      <w:r>
        <w:rPr>
          <w:rFonts w:ascii="Arial" w:cs="Arial" w:eastAsia="Arial" w:hAnsi="Arial"/>
          <w:color w:val="333333"/>
          <w:sz w:val="20"/>
          <w:szCs w:val="20"/>
        </w:rPr>
        <w:t xml:space="preserve">Hire a Nigerian professional (lawyer, accountant, or fintech operations person) as Country Representative.</w:t>
      </w:r>
    </w:p>
    <w:p>
      <w:pPr>
        <w:pStyle w:val="ListParagraph"/>
        <w:numPr>
          <w:ilvl w:val="0"/>
          <w:numId w:val="2"/>
        </w:numPr>
        <w:spacing w:after="80" w:line="276"/>
      </w:pPr>
      <w:r>
        <w:rPr>
          <w:rFonts w:ascii="Arial" w:cs="Arial" w:eastAsia="Arial" w:hAnsi="Arial"/>
          <w:color w:val="333333"/>
          <w:sz w:val="20"/>
          <w:szCs w:val="20"/>
        </w:rPr>
        <w:t xml:space="preserve">They serve as a named director on EyeOnSite Nigeria Ltd (satisfying CAMA 2020's requirement for directors ordinarily resident in Nigeria).</w:t>
      </w:r>
    </w:p>
    <w:p>
      <w:pPr>
        <w:pStyle w:val="ListParagraph"/>
        <w:numPr>
          <w:ilvl w:val="0"/>
          <w:numId w:val="2"/>
        </w:numPr>
        <w:spacing w:after="80" w:line="276"/>
      </w:pPr>
      <w:r>
        <w:rPr>
          <w:rFonts w:ascii="Arial" w:cs="Arial" w:eastAsia="Arial" w:hAnsi="Arial"/>
          <w:color w:val="333333"/>
          <w:sz w:val="20"/>
          <w:szCs w:val="20"/>
        </w:rPr>
        <w:t xml:space="preserve">They handle: CAC filings, NDPC registration, FIRS tax compliance, inspector recruitment in Lagos, partnership meetings, and regulatory interactions.</w:t>
      </w:r>
    </w:p>
    <w:p>
      <w:pPr>
        <w:pStyle w:val="ListParagraph"/>
        <w:numPr>
          <w:ilvl w:val="0"/>
          <w:numId w:val="2"/>
        </w:numPr>
        <w:spacing w:after="80" w:line="276"/>
      </w:pPr>
      <w:r>
        <w:rPr>
          <w:rFonts w:ascii="Arial" w:cs="Arial" w:eastAsia="Arial" w:hAnsi="Arial"/>
          <w:color w:val="333333"/>
          <w:sz w:val="20"/>
          <w:szCs w:val="20"/>
        </w:rPr>
        <w:t xml:space="preserve">Manti Labs LLC holds majority shares. The Country Representative may hold a nominal equity stake (1-5%) or be purely compensated.</w:t>
      </w:r>
    </w:p>
    <w:p>
      <w:pPr>
        <w:pStyle w:val="ListParagraph"/>
        <w:numPr>
          <w:ilvl w:val="0"/>
          <w:numId w:val="2"/>
        </w:numPr>
        <w:spacing w:after="80" w:line="276"/>
      </w:pPr>
      <w:r>
        <w:rPr>
          <w:rFonts w:ascii="Arial" w:cs="Arial" w:eastAsia="Arial" w:hAnsi="Arial"/>
          <w:color w:val="333333"/>
          <w:sz w:val="20"/>
          <w:szCs w:val="20"/>
        </w:rPr>
        <w:t xml:space="preserve">Strategic decisions remain with the Founder. Operational execution in Nigeria is delegated to the representative.</w:t>
      </w:r>
    </w:p>
    <w:p>
      <w:pPr>
        <w:spacing w:after="0"/>
      </w:pPr>
    </w:p>
    <w:p>
      <w:pPr>
        <w:spacing w:after="120" w:before="200"/>
      </w:pPr>
      <w:r>
        <w:rPr>
          <w:rFonts w:ascii="Arial" w:cs="Arial" w:eastAsia="Arial" w:hAnsi="Arial"/>
          <w:b/>
          <w:bCs/>
          <w:color w:val="4A4A47"/>
          <w:sz w:val="22"/>
          <w:szCs w:val="22"/>
        </w:rPr>
        <w:t xml:space="preserve">Country Representative Profile</w:t>
      </w:r>
    </w:p>
    <w:p>
      <w:pPr>
        <w:pStyle w:val="ListParagraph"/>
        <w:numPr>
          <w:ilvl w:val="0"/>
          <w:numId w:val="2"/>
        </w:numPr>
        <w:spacing w:after="80" w:line="276"/>
      </w:pPr>
      <w:r>
        <w:rPr>
          <w:rFonts w:ascii="Arial" w:cs="Arial" w:eastAsia="Arial" w:hAnsi="Arial"/>
          <w:color w:val="333333"/>
          <w:sz w:val="20"/>
          <w:szCs w:val="20"/>
        </w:rPr>
        <w:t xml:space="preserve">Nigerian citizen, based in Lagos (preferably Ikeja, Victoria Island, or Lekki — the business districts).</w:t>
      </w:r>
    </w:p>
    <w:p>
      <w:pPr>
        <w:pStyle w:val="ListParagraph"/>
        <w:numPr>
          <w:ilvl w:val="0"/>
          <w:numId w:val="2"/>
        </w:numPr>
        <w:spacing w:after="80" w:line="276"/>
      </w:pPr>
      <w:r>
        <w:rPr>
          <w:rFonts w:ascii="Arial" w:cs="Arial" w:eastAsia="Arial" w:hAnsi="Arial"/>
          <w:color w:val="333333"/>
          <w:sz w:val="20"/>
          <w:szCs w:val="20"/>
        </w:rPr>
        <w:t xml:space="preserve">Background: fintech operations, corporate law, or business development. 3-5+ years experience.</w:t>
      </w:r>
    </w:p>
    <w:p>
      <w:pPr>
        <w:pStyle w:val="ListParagraph"/>
        <w:numPr>
          <w:ilvl w:val="0"/>
          <w:numId w:val="2"/>
        </w:numPr>
        <w:spacing w:after="80" w:line="276"/>
      </w:pPr>
      <w:r>
        <w:rPr>
          <w:rFonts w:ascii="Arial" w:cs="Arial" w:eastAsia="Arial" w:hAnsi="Arial"/>
          <w:color w:val="333333"/>
          <w:sz w:val="20"/>
          <w:szCs w:val="20"/>
        </w:rPr>
        <w:t xml:space="preserve">Understanding of CBN regulations, CAMA compliance, and the Lagos business environment.</w:t>
      </w:r>
    </w:p>
    <w:p>
      <w:pPr>
        <w:pStyle w:val="ListParagraph"/>
        <w:numPr>
          <w:ilvl w:val="0"/>
          <w:numId w:val="2"/>
        </w:numPr>
        <w:spacing w:after="80" w:line="276"/>
      </w:pPr>
      <w:r>
        <w:rPr>
          <w:rFonts w:ascii="Arial" w:cs="Arial" w:eastAsia="Arial" w:hAnsi="Arial"/>
          <w:color w:val="333333"/>
          <w:sz w:val="20"/>
          <w:szCs w:val="20"/>
        </w:rPr>
        <w:t xml:space="preserve">Existing professional network in Lagos tech/fintech ecosystem.</w:t>
      </w:r>
    </w:p>
    <w:p>
      <w:pPr>
        <w:pStyle w:val="ListParagraph"/>
        <w:numPr>
          <w:ilvl w:val="0"/>
          <w:numId w:val="2"/>
        </w:numPr>
        <w:spacing w:after="80" w:line="276"/>
      </w:pPr>
      <w:r>
        <w:rPr>
          <w:rFonts w:ascii="Arial" w:cs="Arial" w:eastAsia="Arial" w:hAnsi="Arial"/>
          <w:color w:val="333333"/>
          <w:sz w:val="20"/>
          <w:szCs w:val="20"/>
        </w:rPr>
        <w:t xml:space="preserve">Trustworthy — they will have signatory authority on the Nigerian bank account and file regulatory documents on your behalf.</w:t>
      </w:r>
    </w:p>
    <w:p>
      <w:pPr>
        <w:spacing w:after="0"/>
      </w:pPr>
    </w:p>
    <w:p>
      <w:pPr>
        <w:spacing w:after="120" w:before="200"/>
      </w:pPr>
      <w:r>
        <w:rPr>
          <w:rFonts w:ascii="Arial" w:cs="Arial" w:eastAsia="Arial" w:hAnsi="Arial"/>
          <w:b/>
          <w:bCs/>
          <w:color w:val="4A4A47"/>
          <w:sz w:val="22"/>
          <w:szCs w:val="22"/>
        </w:rPr>
        <w:t xml:space="preserve">Compensation</w:t>
      </w:r>
    </w:p>
    <w:p>
      <w:pPr>
        <w:pStyle w:val="ListParagraph"/>
        <w:numPr>
          <w:ilvl w:val="0"/>
          <w:numId w:val="2"/>
        </w:numPr>
        <w:spacing w:after="80" w:line="276"/>
      </w:pPr>
      <w:r>
        <w:rPr>
          <w:rFonts w:ascii="Arial" w:cs="Arial" w:eastAsia="Arial" w:hAnsi="Arial"/>
          <w:color w:val="333333"/>
          <w:sz w:val="20"/>
          <w:szCs w:val="20"/>
        </w:rPr>
        <w:t xml:space="preserve">Monthly retainer: $800-1,500/month (NGN 1.2M-2.2M at current rates).</w:t>
      </w:r>
    </w:p>
    <w:p>
      <w:pPr>
        <w:pStyle w:val="ListParagraph"/>
        <w:numPr>
          <w:ilvl w:val="0"/>
          <w:numId w:val="2"/>
        </w:numPr>
        <w:spacing w:after="80" w:line="276"/>
      </w:pPr>
      <w:r>
        <w:rPr>
          <w:rFonts w:ascii="Arial" w:cs="Arial" w:eastAsia="Arial" w:hAnsi="Arial"/>
          <w:color w:val="333333"/>
          <w:sz w:val="20"/>
          <w:szCs w:val="20"/>
        </w:rPr>
        <w:t xml:space="preserve">Alternative: per-deliverable fee (e.g., $500 for CAC registration, $300/month for ongoing compliance, $200 per partnership meeting).</w:t>
      </w:r>
    </w:p>
    <w:p>
      <w:pPr>
        <w:pStyle w:val="ListParagraph"/>
        <w:numPr>
          <w:ilvl w:val="0"/>
          <w:numId w:val="2"/>
        </w:numPr>
        <w:spacing w:after="80" w:line="276"/>
      </w:pPr>
      <w:r>
        <w:rPr>
          <w:rFonts w:ascii="Arial" w:cs="Arial" w:eastAsia="Arial" w:hAnsi="Arial"/>
          <w:color w:val="333333"/>
          <w:sz w:val="20"/>
          <w:szCs w:val="20"/>
        </w:rPr>
        <w:t xml:space="preserve">Equity: 1-5% of EyeOnSite Nigeria Ltd (optional — creates alignment but complicates cap table).</w:t>
      </w:r>
    </w:p>
    <w:p>
      <w:pPr>
        <w:pStyle w:val="ListParagraph"/>
        <w:numPr>
          <w:ilvl w:val="0"/>
          <w:numId w:val="2"/>
        </w:numPr>
        <w:spacing w:after="80" w:line="276"/>
      </w:pPr>
      <w:r>
        <w:rPr>
          <w:rFonts w:ascii="Arial" w:cs="Arial" w:eastAsia="Arial" w:hAnsi="Arial"/>
          <w:color w:val="333333"/>
          <w:sz w:val="20"/>
          <w:szCs w:val="20"/>
        </w:rPr>
        <w:t xml:space="preserve">Performance bonus: tied to Nigeria-specific KPIs (inspectors onboarded, tasks completed, partnerships closed).</w:t>
      </w:r>
    </w:p>
    <w:p>
      <w:pPr>
        <w:spacing w:after="0"/>
      </w:pPr>
    </w:p>
    <w:p>
      <w:pPr>
        <w:spacing w:after="120" w:before="200"/>
      </w:pPr>
      <w:r>
        <w:rPr>
          <w:rFonts w:ascii="Arial" w:cs="Arial" w:eastAsia="Arial" w:hAnsi="Arial"/>
          <w:b/>
          <w:bCs/>
          <w:color w:val="4A4A47"/>
          <w:sz w:val="22"/>
          <w:szCs w:val="22"/>
        </w:rPr>
        <w:t xml:space="preserve">Pros</w:t>
      </w:r>
    </w:p>
    <w:p>
      <w:pPr>
        <w:pStyle w:val="ListParagraph"/>
        <w:numPr>
          <w:ilvl w:val="0"/>
          <w:numId w:val="2"/>
        </w:numPr>
        <w:spacing w:after="80" w:line="276"/>
      </w:pPr>
      <w:r>
        <w:rPr>
          <w:rFonts w:ascii="Arial" w:cs="Arial" w:eastAsia="Arial" w:hAnsi="Arial"/>
          <w:color w:val="333333"/>
          <w:sz w:val="20"/>
          <w:szCs w:val="20"/>
        </w:rPr>
        <w:t xml:space="preserve">Satisfies all CAMA requirements for a locally incorporated foreign-owned company.</w:t>
      </w:r>
    </w:p>
    <w:p>
      <w:pPr>
        <w:pStyle w:val="ListParagraph"/>
        <w:numPr>
          <w:ilvl w:val="0"/>
          <w:numId w:val="2"/>
        </w:numPr>
        <w:spacing w:after="80" w:line="276"/>
      </w:pPr>
      <w:r>
        <w:rPr>
          <w:rFonts w:ascii="Arial" w:cs="Arial" w:eastAsia="Arial" w:hAnsi="Arial"/>
          <w:color w:val="333333"/>
          <w:sz w:val="20"/>
          <w:szCs w:val="20"/>
        </w:rPr>
        <w:t xml:space="preserve">Provides a credible Nigerian face for regulatory interactions, partnerships, and inspector recruitment.</w:t>
      </w:r>
    </w:p>
    <w:p>
      <w:pPr>
        <w:pStyle w:val="ListParagraph"/>
        <w:numPr>
          <w:ilvl w:val="0"/>
          <w:numId w:val="2"/>
        </w:numPr>
        <w:spacing w:after="80" w:line="276"/>
      </w:pPr>
      <w:r>
        <w:rPr>
          <w:rFonts w:ascii="Arial" w:cs="Arial" w:eastAsia="Arial" w:hAnsi="Arial"/>
          <w:color w:val="333333"/>
          <w:sz w:val="20"/>
          <w:szCs w:val="20"/>
        </w:rPr>
        <w:t xml:space="preserve">Lower cost than a full-time Nigerian co-founder or senior hire.</w:t>
      </w:r>
    </w:p>
    <w:p>
      <w:pPr>
        <w:pStyle w:val="ListParagraph"/>
        <w:numPr>
          <w:ilvl w:val="0"/>
          <w:numId w:val="2"/>
        </w:numPr>
        <w:spacing w:after="80" w:line="276"/>
      </w:pPr>
      <w:r>
        <w:rPr>
          <w:rFonts w:ascii="Arial" w:cs="Arial" w:eastAsia="Arial" w:hAnsi="Arial"/>
          <w:color w:val="333333"/>
          <w:sz w:val="20"/>
          <w:szCs w:val="20"/>
        </w:rPr>
        <w:t xml:space="preserve">Manti Labs retains full strategic control and majority ownership.</w:t>
      </w:r>
    </w:p>
    <w:p>
      <w:pPr>
        <w:pStyle w:val="ListParagraph"/>
        <w:numPr>
          <w:ilvl w:val="0"/>
          <w:numId w:val="2"/>
        </w:numPr>
        <w:spacing w:after="80" w:line="276"/>
      </w:pPr>
      <w:r>
        <w:rPr>
          <w:rFonts w:ascii="Arial" w:cs="Arial" w:eastAsia="Arial" w:hAnsi="Arial"/>
          <w:color w:val="333333"/>
          <w:sz w:val="20"/>
          <w:szCs w:val="20"/>
        </w:rPr>
        <w:t xml:space="preserve">Scalable: start with one representative, expand to a team as Nigeria revenue grows.</w:t>
      </w:r>
    </w:p>
    <w:p>
      <w:pPr>
        <w:spacing w:after="0"/>
      </w:pPr>
    </w:p>
    <w:p>
      <w:pPr>
        <w:spacing w:after="120" w:before="200"/>
      </w:pPr>
      <w:r>
        <w:rPr>
          <w:rFonts w:ascii="Arial" w:cs="Arial" w:eastAsia="Arial" w:hAnsi="Arial"/>
          <w:b/>
          <w:bCs/>
          <w:color w:val="4A4A47"/>
          <w:sz w:val="22"/>
          <w:szCs w:val="22"/>
        </w:rPr>
        <w:t xml:space="preserve">Cons</w:t>
      </w:r>
    </w:p>
    <w:p>
      <w:pPr>
        <w:pStyle w:val="ListParagraph"/>
        <w:numPr>
          <w:ilvl w:val="0"/>
          <w:numId w:val="2"/>
        </w:numPr>
        <w:spacing w:after="80" w:line="276"/>
      </w:pPr>
      <w:r>
        <w:rPr>
          <w:rFonts w:ascii="Arial" w:cs="Arial" w:eastAsia="Arial" w:hAnsi="Arial"/>
          <w:color w:val="333333"/>
          <w:sz w:val="20"/>
          <w:szCs w:val="20"/>
        </w:rPr>
        <w:t xml:space="preserve">Finding a trustworthy representative is the hardest part. They'll have access to the bank account, tax filings, and regulatory submissions.</w:t>
      </w:r>
    </w:p>
    <w:p>
      <w:pPr>
        <w:pStyle w:val="ListParagraph"/>
        <w:numPr>
          <w:ilvl w:val="0"/>
          <w:numId w:val="2"/>
        </w:numPr>
        <w:spacing w:after="80" w:line="276"/>
      </w:pPr>
      <w:r>
        <w:rPr>
          <w:rFonts w:ascii="Arial" w:cs="Arial" w:eastAsia="Arial" w:hAnsi="Arial"/>
          <w:color w:val="333333"/>
          <w:sz w:val="20"/>
          <w:szCs w:val="20"/>
        </w:rPr>
        <w:t xml:space="preserve">Part-time engagement means limited bandwidth — the representative may have other commitments.</w:t>
      </w:r>
    </w:p>
    <w:p>
      <w:pPr>
        <w:pStyle w:val="ListParagraph"/>
        <w:numPr>
          <w:ilvl w:val="0"/>
          <w:numId w:val="2"/>
        </w:numPr>
        <w:spacing w:after="80" w:line="276"/>
      </w:pPr>
      <w:r>
        <w:rPr>
          <w:rFonts w:ascii="Arial" w:cs="Arial" w:eastAsia="Arial" w:hAnsi="Arial"/>
          <w:color w:val="333333"/>
          <w:sz w:val="20"/>
          <w:szCs w:val="20"/>
        </w:rPr>
        <w:t xml:space="preserve">No deep personal investment in EyeOnSite's success (compared to a co-founder with significant equity).</w:t>
      </w:r>
    </w:p>
    <w:p>
      <w:pPr>
        <w:pStyle w:val="ListParagraph"/>
        <w:numPr>
          <w:ilvl w:val="0"/>
          <w:numId w:val="2"/>
        </w:numPr>
        <w:spacing w:after="80" w:line="276"/>
      </w:pPr>
      <w:r>
        <w:rPr>
          <w:rFonts w:ascii="Arial" w:cs="Arial" w:eastAsia="Arial" w:hAnsi="Arial"/>
          <w:color w:val="333333"/>
          <w:sz w:val="20"/>
          <w:szCs w:val="20"/>
        </w:rPr>
        <w:t xml:space="preserve">Risk of nominee director liability issues if the representative doesn't actively participate in governance.</w:t>
      </w:r>
    </w:p>
    <w:p>
      <w:pPr>
        <w:pStyle w:val="ListParagraph"/>
        <w:numPr>
          <w:ilvl w:val="0"/>
          <w:numId w:val="2"/>
        </w:numPr>
        <w:spacing w:after="80" w:line="276"/>
      </w:pPr>
      <w:r>
        <w:rPr>
          <w:rFonts w:ascii="Arial" w:cs="Arial" w:eastAsia="Arial" w:hAnsi="Arial"/>
          <w:color w:val="333333"/>
          <w:sz w:val="20"/>
          <w:szCs w:val="20"/>
        </w:rPr>
        <w:t xml:space="preserve">Ongoing cost: $9,600-18,000/year in retainer fees before a single task is completed in Nigeria.</w:t>
      </w:r>
    </w:p>
    <w:p>
      <w:pPr>
        <w:spacing w:after="0"/>
      </w:pPr>
    </w:p>
    <w:p>
      <w:pPr>
        <w:spacing w:after="120" w:before="200"/>
      </w:pPr>
      <w:r>
        <w:rPr>
          <w:rFonts w:ascii="Arial" w:cs="Arial" w:eastAsia="Arial" w:hAnsi="Arial"/>
          <w:b/>
          <w:bCs/>
          <w:color w:val="4A4A47"/>
          <w:sz w:val="22"/>
          <w:szCs w:val="22"/>
        </w:rPr>
        <w:t xml:space="preserve">Where to Find a Country Representative</w:t>
      </w:r>
    </w:p>
    <w:p>
      <w:pPr>
        <w:pStyle w:val="ListParagraph"/>
        <w:numPr>
          <w:ilvl w:val="0"/>
          <w:numId w:val="2"/>
        </w:numPr>
        <w:spacing w:after="80" w:line="276"/>
      </w:pPr>
      <w:r>
        <w:rPr>
          <w:rFonts w:ascii="Arial" w:cs="Arial" w:eastAsia="Arial" w:hAnsi="Arial"/>
          <w:color w:val="333333"/>
          <w:sz w:val="20"/>
          <w:szCs w:val="20"/>
        </w:rPr>
        <w:t xml:space="preserve">Nigerian fintech lawyer networks (Aelex Partners, Olaniwun Ajayi LP, Templars, Aluko &amp; Oyebode).</w:t>
      </w:r>
    </w:p>
    <w:p>
      <w:pPr>
        <w:pStyle w:val="ListParagraph"/>
        <w:numPr>
          <w:ilvl w:val="0"/>
          <w:numId w:val="2"/>
        </w:numPr>
        <w:spacing w:after="80" w:line="276"/>
      </w:pPr>
      <w:r>
        <w:rPr>
          <w:rFonts w:ascii="Arial" w:cs="Arial" w:eastAsia="Arial" w:hAnsi="Arial"/>
          <w:color w:val="333333"/>
          <w:sz w:val="20"/>
          <w:szCs w:val="20"/>
        </w:rPr>
        <w:t xml:space="preserve">Paystack/Flutterwave alumni — operations professionals who understand marketplace infrastructure.</w:t>
      </w:r>
    </w:p>
    <w:p>
      <w:pPr>
        <w:pStyle w:val="ListParagraph"/>
        <w:numPr>
          <w:ilvl w:val="0"/>
          <w:numId w:val="2"/>
        </w:numPr>
        <w:spacing w:after="80" w:line="276"/>
      </w:pPr>
      <w:r>
        <w:rPr>
          <w:rFonts w:ascii="Arial" w:cs="Arial" w:eastAsia="Arial" w:hAnsi="Arial"/>
          <w:color w:val="333333"/>
          <w:sz w:val="20"/>
          <w:szCs w:val="20"/>
        </w:rPr>
        <w:t xml:space="preserve">MEST alumni who are Nigerian or have strong Lagos connections.</w:t>
      </w:r>
    </w:p>
    <w:p>
      <w:pPr>
        <w:pStyle w:val="ListParagraph"/>
        <w:numPr>
          <w:ilvl w:val="0"/>
          <w:numId w:val="2"/>
        </w:numPr>
        <w:spacing w:after="80" w:line="276"/>
      </w:pPr>
      <w:r>
        <w:rPr>
          <w:rFonts w:ascii="Arial" w:cs="Arial" w:eastAsia="Arial" w:hAnsi="Arial"/>
          <w:color w:val="333333"/>
          <w:sz w:val="20"/>
          <w:szCs w:val="20"/>
        </w:rPr>
        <w:t xml:space="preserve">Y Combinator alumni based in Lagos (W23/S23/W24 batches had several Nigerian founders).</w:t>
      </w:r>
    </w:p>
    <w:p>
      <w:pPr>
        <w:pStyle w:val="ListParagraph"/>
        <w:numPr>
          <w:ilvl w:val="0"/>
          <w:numId w:val="2"/>
        </w:numPr>
        <w:spacing w:after="80" w:line="276"/>
      </w:pPr>
      <w:r>
        <w:rPr>
          <w:rFonts w:ascii="Arial" w:cs="Arial" w:eastAsia="Arial" w:hAnsi="Arial"/>
          <w:color w:val="333333"/>
          <w:sz w:val="20"/>
          <w:szCs w:val="20"/>
        </w:rPr>
        <w:t xml:space="preserve">Nigerian tech communities: Techpoint Africa, TechCabal, CcHub, Andela alumni network.</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RECOMMENDED for V3 market entry if no Nigerian co-founder has been found. Budget: ~$15,000-25,000 for Year 1 (incorporation + retainer + compliance). Recoverable from approximately 170-280 completed Standard tasks ($80 each, 18% platform fee).</w:t>
      </w:r>
    </w:p>
    <w:p>
      <w:pPr>
        <w:pStyle w:val="Heading2"/>
        <w:spacing w:after="160" w:before="300"/>
      </w:pPr>
      <w:r>
        <w:rPr>
          <w:rFonts w:ascii="Arial" w:cs="Arial" w:eastAsia="Arial" w:hAnsi="Arial"/>
          <w:b/>
          <w:bCs/>
          <w:color w:val="0B6E4F"/>
          <w:sz w:val="24"/>
          <w:szCs w:val="24"/>
        </w:rPr>
        <w:t xml:space="preserve">2.2 Option B: Nigerian Co-Founder or Equity Partner</w:t>
      </w:r>
    </w:p>
    <w:p>
      <w:pPr>
        <w:spacing w:after="140" w:line="276"/>
      </w:pPr>
      <w:r>
        <w:rPr>
          <w:rFonts w:ascii="Arial" w:cs="Arial" w:eastAsia="Arial" w:hAnsi="Arial"/>
          <w:b/>
          <w:bCs/>
          <w:color w:val="333333"/>
          <w:sz w:val="20"/>
          <w:szCs w:val="20"/>
        </w:rPr>
        <w:t xml:space="preserve">Summary: </w:t>
      </w:r>
      <w:r>
        <w:rPr>
          <w:rFonts w:ascii="Arial" w:cs="Arial" w:eastAsia="Arial" w:hAnsi="Arial"/>
          <w:color w:val="333333"/>
          <w:sz w:val="20"/>
          <w:szCs w:val="20"/>
        </w:rPr>
        <w:t xml:space="preserve">A Nigerian individual joins as co-founder (or senior equity partner) of EyeOnSite Nigeria Ltd, bringing local expertise, network, and credibility in exchange for meaningful equity.</w:t>
      </w:r>
    </w:p>
    <w:p>
      <w:pPr>
        <w:spacing w:after="0"/>
      </w:pPr>
    </w:p>
    <w:p>
      <w:pPr>
        <w:spacing w:after="120" w:before="200"/>
      </w:pPr>
      <w:r>
        <w:rPr>
          <w:rFonts w:ascii="Arial" w:cs="Arial" w:eastAsia="Arial" w:hAnsi="Arial"/>
          <w:b/>
          <w:bCs/>
          <w:color w:val="4A4A47"/>
          <w:sz w:val="22"/>
          <w:szCs w:val="22"/>
        </w:rPr>
        <w:t xml:space="preserve">How It Works</w:t>
      </w:r>
    </w:p>
    <w:p>
      <w:pPr>
        <w:pStyle w:val="ListParagraph"/>
        <w:numPr>
          <w:ilvl w:val="0"/>
          <w:numId w:val="2"/>
        </w:numPr>
        <w:spacing w:after="80" w:line="276"/>
      </w:pPr>
      <w:r>
        <w:rPr>
          <w:rFonts w:ascii="Arial" w:cs="Arial" w:eastAsia="Arial" w:hAnsi="Arial"/>
          <w:color w:val="333333"/>
          <w:sz w:val="20"/>
          <w:szCs w:val="20"/>
        </w:rPr>
        <w:t xml:space="preserve">The co-founder search (see EyeOnSite Co-Founder Recruitment Brief) specifically targets Nigerian candidates.</w:t>
      </w:r>
    </w:p>
    <w:p>
      <w:pPr>
        <w:pStyle w:val="ListParagraph"/>
        <w:numPr>
          <w:ilvl w:val="0"/>
          <w:numId w:val="2"/>
        </w:numPr>
        <w:spacing w:after="80" w:line="276"/>
      </w:pPr>
      <w:r>
        <w:rPr>
          <w:rFonts w:ascii="Arial" w:cs="Arial" w:eastAsia="Arial" w:hAnsi="Arial"/>
          <w:color w:val="333333"/>
          <w:sz w:val="20"/>
          <w:szCs w:val="20"/>
        </w:rPr>
        <w:t xml:space="preserve">If a Nigerian candidate is selected as the Growth Co-Founder (45% of EyeOnSite globally), they naturally lead Nigeria operations.</w:t>
      </w:r>
    </w:p>
    <w:p>
      <w:pPr>
        <w:pStyle w:val="ListParagraph"/>
        <w:numPr>
          <w:ilvl w:val="0"/>
          <w:numId w:val="2"/>
        </w:numPr>
        <w:spacing w:after="80" w:line="276"/>
      </w:pPr>
      <w:r>
        <w:rPr>
          <w:rFonts w:ascii="Arial" w:cs="Arial" w:eastAsia="Arial" w:hAnsi="Arial"/>
          <w:color w:val="333333"/>
          <w:sz w:val="20"/>
          <w:szCs w:val="20"/>
        </w:rPr>
        <w:t xml:space="preserve">Alternatively, a Nigeria-specific equity partner could hold 10-25% of EyeOnSite Nigeria Ltd (not the global entity) in exchange for leading the Nigerian market.</w:t>
      </w:r>
    </w:p>
    <w:p>
      <w:pPr>
        <w:pStyle w:val="ListParagraph"/>
        <w:numPr>
          <w:ilvl w:val="0"/>
          <w:numId w:val="2"/>
        </w:numPr>
        <w:spacing w:after="80" w:line="276"/>
      </w:pPr>
      <w:r>
        <w:rPr>
          <w:rFonts w:ascii="Arial" w:cs="Arial" w:eastAsia="Arial" w:hAnsi="Arial"/>
          <w:color w:val="333333"/>
          <w:sz w:val="20"/>
          <w:szCs w:val="20"/>
        </w:rPr>
        <w:t xml:space="preserve">They serve as Managing Director of EyeOnSite Nigeria Ltd, handling all local regulatory, operational, and commercial activities.</w:t>
      </w:r>
    </w:p>
    <w:p>
      <w:pPr>
        <w:spacing w:after="0"/>
      </w:pPr>
    </w:p>
    <w:p>
      <w:pPr>
        <w:spacing w:after="120" w:before="200"/>
      </w:pPr>
      <w:r>
        <w:rPr>
          <w:rFonts w:ascii="Arial" w:cs="Arial" w:eastAsia="Arial" w:hAnsi="Arial"/>
          <w:b/>
          <w:bCs/>
          <w:color w:val="4A4A47"/>
          <w:sz w:val="22"/>
          <w:szCs w:val="22"/>
        </w:rPr>
        <w:t xml:space="preserve">Pros</w:t>
      </w:r>
    </w:p>
    <w:p>
      <w:pPr>
        <w:pStyle w:val="ListParagraph"/>
        <w:numPr>
          <w:ilvl w:val="0"/>
          <w:numId w:val="2"/>
        </w:numPr>
        <w:spacing w:after="80" w:line="276"/>
      </w:pPr>
      <w:r>
        <w:rPr>
          <w:rFonts w:ascii="Arial" w:cs="Arial" w:eastAsia="Arial" w:hAnsi="Arial"/>
          <w:color w:val="333333"/>
          <w:sz w:val="20"/>
          <w:szCs w:val="20"/>
        </w:rPr>
        <w:t xml:space="preserve">Deepest alignment: significant equity means the Nigerian partner is fully invested in success.</w:t>
      </w:r>
    </w:p>
    <w:p>
      <w:pPr>
        <w:pStyle w:val="ListParagraph"/>
        <w:numPr>
          <w:ilvl w:val="0"/>
          <w:numId w:val="2"/>
        </w:numPr>
        <w:spacing w:after="80" w:line="276"/>
      </w:pPr>
      <w:r>
        <w:rPr>
          <w:rFonts w:ascii="Arial" w:cs="Arial" w:eastAsia="Arial" w:hAnsi="Arial"/>
          <w:color w:val="333333"/>
          <w:sz w:val="20"/>
          <w:szCs w:val="20"/>
        </w:rPr>
        <w:t xml:space="preserve">Strongest credibility: a Nigerian co-founder/partner opens doors that a foreign founder cannot.</w:t>
      </w:r>
    </w:p>
    <w:p>
      <w:pPr>
        <w:pStyle w:val="ListParagraph"/>
        <w:numPr>
          <w:ilvl w:val="0"/>
          <w:numId w:val="2"/>
        </w:numPr>
        <w:spacing w:after="80" w:line="276"/>
      </w:pPr>
      <w:r>
        <w:rPr>
          <w:rFonts w:ascii="Arial" w:cs="Arial" w:eastAsia="Arial" w:hAnsi="Arial"/>
          <w:color w:val="333333"/>
          <w:sz w:val="20"/>
          <w:szCs w:val="20"/>
        </w:rPr>
        <w:t xml:space="preserve">Comprehensive capability: handles regulatory compliance, inspector recruitment, client acquisition, partnership development, and public representation simultaneously.</w:t>
      </w:r>
    </w:p>
    <w:p>
      <w:pPr>
        <w:pStyle w:val="ListParagraph"/>
        <w:numPr>
          <w:ilvl w:val="0"/>
          <w:numId w:val="2"/>
        </w:numPr>
        <w:spacing w:after="80" w:line="276"/>
      </w:pPr>
      <w:r>
        <w:rPr>
          <w:rFonts w:ascii="Arial" w:cs="Arial" w:eastAsia="Arial" w:hAnsi="Arial"/>
          <w:color w:val="333333"/>
          <w:sz w:val="20"/>
          <w:szCs w:val="20"/>
        </w:rPr>
        <w:t xml:space="preserve">Investor-friendly: Nigerian and African VCs strongly prefer local founding teams.</w:t>
      </w:r>
    </w:p>
    <w:p>
      <w:pPr>
        <w:pStyle w:val="ListParagraph"/>
        <w:numPr>
          <w:ilvl w:val="0"/>
          <w:numId w:val="2"/>
        </w:numPr>
        <w:spacing w:after="80" w:line="276"/>
      </w:pPr>
      <w:r>
        <w:rPr>
          <w:rFonts w:ascii="Arial" w:cs="Arial" w:eastAsia="Arial" w:hAnsi="Arial"/>
          <w:color w:val="333333"/>
          <w:sz w:val="20"/>
          <w:szCs w:val="20"/>
        </w:rPr>
        <w:t xml:space="preserve">Cultural fluency: understands the Lagos business environment, negotiation norms, Yoruba/Igbo/Hausa dynamics, and the Nigerian diaspora community structure.</w:t>
      </w:r>
    </w:p>
    <w:p>
      <w:pPr>
        <w:spacing w:after="0"/>
      </w:pPr>
    </w:p>
    <w:p>
      <w:pPr>
        <w:spacing w:after="120" w:before="200"/>
      </w:pPr>
      <w:r>
        <w:rPr>
          <w:rFonts w:ascii="Arial" w:cs="Arial" w:eastAsia="Arial" w:hAnsi="Arial"/>
          <w:b/>
          <w:bCs/>
          <w:color w:val="4A4A47"/>
          <w:sz w:val="22"/>
          <w:szCs w:val="22"/>
        </w:rPr>
        <w:t xml:space="preserve">Cons</w:t>
      </w:r>
    </w:p>
    <w:p>
      <w:pPr>
        <w:pStyle w:val="ListParagraph"/>
        <w:numPr>
          <w:ilvl w:val="0"/>
          <w:numId w:val="2"/>
        </w:numPr>
        <w:spacing w:after="80" w:line="276"/>
      </w:pPr>
      <w:r>
        <w:rPr>
          <w:rFonts w:ascii="Arial" w:cs="Arial" w:eastAsia="Arial" w:hAnsi="Arial"/>
          <w:color w:val="333333"/>
          <w:sz w:val="20"/>
          <w:szCs w:val="20"/>
        </w:rPr>
        <w:t xml:space="preserve">Finding the right person takes 6-12 months (per the Anansi recruitment brief's realistic timeline).</w:t>
      </w:r>
    </w:p>
    <w:p>
      <w:pPr>
        <w:pStyle w:val="ListParagraph"/>
        <w:numPr>
          <w:ilvl w:val="0"/>
          <w:numId w:val="2"/>
        </w:numPr>
        <w:spacing w:after="80" w:line="276"/>
      </w:pPr>
      <w:r>
        <w:rPr>
          <w:rFonts w:ascii="Arial" w:cs="Arial" w:eastAsia="Arial" w:hAnsi="Arial"/>
          <w:color w:val="333333"/>
          <w:sz w:val="20"/>
          <w:szCs w:val="20"/>
        </w:rPr>
        <w:t xml:space="preserve">Equity dilution: 10-25% of the Nigerian entity (or 45% of global entity if they're the Growth Co-Founder) is a significant stake.</w:t>
      </w:r>
    </w:p>
    <w:p>
      <w:pPr>
        <w:pStyle w:val="ListParagraph"/>
        <w:numPr>
          <w:ilvl w:val="0"/>
          <w:numId w:val="2"/>
        </w:numPr>
        <w:spacing w:after="80" w:line="276"/>
      </w:pPr>
      <w:r>
        <w:rPr>
          <w:rFonts w:ascii="Arial" w:cs="Arial" w:eastAsia="Arial" w:hAnsi="Arial"/>
          <w:color w:val="333333"/>
          <w:sz w:val="20"/>
          <w:szCs w:val="20"/>
        </w:rPr>
        <w:t xml:space="preserve">Co-founder risk: if the relationship fails, extracting them from the Nigerian entity is legally complex under CAMA.</w:t>
      </w:r>
    </w:p>
    <w:p>
      <w:pPr>
        <w:pStyle w:val="ListParagraph"/>
        <w:numPr>
          <w:ilvl w:val="0"/>
          <w:numId w:val="2"/>
        </w:numPr>
        <w:spacing w:after="80" w:line="276"/>
      </w:pPr>
      <w:r>
        <w:rPr>
          <w:rFonts w:ascii="Arial" w:cs="Arial" w:eastAsia="Arial" w:hAnsi="Arial"/>
          <w:color w:val="333333"/>
          <w:sz w:val="20"/>
          <w:szCs w:val="20"/>
        </w:rPr>
        <w:t xml:space="preserve">May have their own vision for how Nigeria should operate, creating potential conflicts with the Founder's global strategy.</w:t>
      </w:r>
    </w:p>
    <w:p>
      <w:pPr>
        <w:pStyle w:val="ListParagraph"/>
        <w:numPr>
          <w:ilvl w:val="0"/>
          <w:numId w:val="2"/>
        </w:numPr>
        <w:spacing w:after="80" w:line="276"/>
      </w:pPr>
      <w:r>
        <w:rPr>
          <w:rFonts w:ascii="Arial" w:cs="Arial" w:eastAsia="Arial" w:hAnsi="Arial"/>
          <w:color w:val="333333"/>
          <w:sz w:val="20"/>
          <w:szCs w:val="20"/>
        </w:rPr>
        <w:t xml:space="preserve">Vetting is critical: Nigeria's business environment has a higher fraud risk than Ghana or Kenya. Background checks, reference checks, and a working trial period are non-negotiable.</w:t>
      </w:r>
    </w:p>
    <w:p>
      <w:pPr>
        <w:spacing w:after="0"/>
      </w:pPr>
    </w:p>
    <w:p>
      <w:pPr>
        <w:spacing w:after="120" w:before="200"/>
      </w:pPr>
      <w:r>
        <w:rPr>
          <w:rFonts w:ascii="Arial" w:cs="Arial" w:eastAsia="Arial" w:hAnsi="Arial"/>
          <w:b/>
          <w:bCs/>
          <w:color w:val="4A4A47"/>
          <w:sz w:val="22"/>
          <w:szCs w:val="22"/>
        </w:rPr>
        <w:t xml:space="preserve">Equity Structure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022B1E" w:val="clear"/>
          </w:tcPr>
          <w:p>
            <w:pPr>
              <w:spacing w:after="0"/>
            </w:pPr>
            <w:r>
              <w:rPr>
                <w:rFonts w:ascii="Arial" w:cs="Arial" w:eastAsia="Arial" w:hAnsi="Arial"/>
                <w:b/>
                <w:bCs/>
                <w:color w:val="FFFFFF"/>
                <w:sz w:val="18"/>
                <w:szCs w:val="18"/>
              </w:rPr>
              <w:t xml:space="preserve">Structure</w:t>
            </w:r>
          </w:p>
        </w:tc>
        <w:tc>
          <w:tcPr>
            <w:tcW w:type="dxa" w:w="1400"/>
            <w:shd w:fill="022B1E" w:val="clear"/>
          </w:tcPr>
          <w:p>
            <w:pPr>
              <w:spacing w:after="0"/>
            </w:pPr>
            <w:r>
              <w:rPr>
                <w:rFonts w:ascii="Arial" w:cs="Arial" w:eastAsia="Arial" w:hAnsi="Arial"/>
                <w:b/>
                <w:bCs/>
                <w:color w:val="FFFFFF"/>
                <w:sz w:val="18"/>
                <w:szCs w:val="18"/>
              </w:rPr>
              <w:t xml:space="preserve">Nigerian Partner %</w:t>
            </w:r>
          </w:p>
        </w:tc>
        <w:tc>
          <w:tcPr>
            <w:tcW w:type="dxa" w:w="1400"/>
            <w:shd w:fill="022B1E" w:val="clear"/>
          </w:tcPr>
          <w:p>
            <w:pPr>
              <w:spacing w:after="0"/>
            </w:pPr>
            <w:r>
              <w:rPr>
                <w:rFonts w:ascii="Arial" w:cs="Arial" w:eastAsia="Arial" w:hAnsi="Arial"/>
                <w:b/>
                <w:bCs/>
                <w:color w:val="FFFFFF"/>
                <w:sz w:val="18"/>
                <w:szCs w:val="18"/>
              </w:rPr>
              <w:t xml:space="preserve">Manti Labs LLC %</w:t>
            </w:r>
          </w:p>
        </w:tc>
        <w:tc>
          <w:tcPr>
            <w:tcW w:type="dxa" w:w="1880"/>
            <w:shd w:fill="022B1E" w:val="clear"/>
          </w:tcPr>
          <w:p>
            <w:pPr>
              <w:spacing w:after="0"/>
            </w:pPr>
            <w:r>
              <w:rPr>
                <w:rFonts w:ascii="Arial" w:cs="Arial" w:eastAsia="Arial" w:hAnsi="Arial"/>
                <w:b/>
                <w:bCs/>
                <w:color w:val="FFFFFF"/>
                <w:sz w:val="18"/>
                <w:szCs w:val="18"/>
              </w:rPr>
              <w:t xml:space="preserve">Pros</w:t>
            </w:r>
          </w:p>
        </w:tc>
        <w:tc>
          <w:tcPr>
            <w:tcW w:type="dxa" w:w="2880"/>
            <w:shd w:fill="022B1E" w:val="clear"/>
          </w:tcPr>
          <w:p>
            <w:pPr>
              <w:spacing w:after="0"/>
            </w:pPr>
            <w:r>
              <w:rPr>
                <w:rFonts w:ascii="Arial" w:cs="Arial" w:eastAsia="Arial" w:hAnsi="Arial"/>
                <w:b/>
                <w:bCs/>
                <w:color w:val="FFFFFF"/>
                <w:sz w:val="18"/>
                <w:szCs w:val="18"/>
              </w:rPr>
              <w:t xml:space="preserve">Cons</w:t>
            </w:r>
          </w:p>
        </w:tc>
      </w:tr>
      <w:tr>
        <w:tc>
          <w:tcPr>
            <w:tcW w:type="dxa" w:w="1800"/>
            <w:shd w:fill="F5F4F0" w:val="clear"/>
          </w:tcPr>
          <w:p>
            <w:pPr>
              <w:spacing w:after="0"/>
            </w:pPr>
            <w:r>
              <w:rPr>
                <w:rFonts w:ascii="Arial" w:cs="Arial" w:eastAsia="Arial" w:hAnsi="Arial"/>
                <w:color w:val="333333"/>
                <w:sz w:val="18"/>
                <w:szCs w:val="18"/>
              </w:rPr>
              <w:t xml:space="preserve">Global co-founder</w:t>
            </w:r>
          </w:p>
        </w:tc>
        <w:tc>
          <w:tcPr>
            <w:tcW w:type="dxa" w:w="1400"/>
            <w:shd w:fill="F5F4F0" w:val="clear"/>
          </w:tcPr>
          <w:p>
            <w:pPr>
              <w:spacing w:after="0"/>
            </w:pPr>
            <w:r>
              <w:rPr>
                <w:rFonts w:ascii="Arial" w:cs="Arial" w:eastAsia="Arial" w:hAnsi="Arial"/>
                <w:color w:val="333333"/>
                <w:sz w:val="18"/>
                <w:szCs w:val="18"/>
              </w:rPr>
              <w:t xml:space="preserve">45% of global EyeOnSite</w:t>
            </w:r>
          </w:p>
        </w:tc>
        <w:tc>
          <w:tcPr>
            <w:tcW w:type="dxa" w:w="1400"/>
            <w:shd w:fill="F5F4F0" w:val="clear"/>
          </w:tcPr>
          <w:p>
            <w:pPr>
              <w:spacing w:after="0"/>
            </w:pPr>
            <w:r>
              <w:rPr>
                <w:rFonts w:ascii="Arial" w:cs="Arial" w:eastAsia="Arial" w:hAnsi="Arial"/>
                <w:color w:val="333333"/>
                <w:sz w:val="18"/>
                <w:szCs w:val="18"/>
              </w:rPr>
              <w:t xml:space="preserve">55%</w:t>
            </w:r>
          </w:p>
        </w:tc>
        <w:tc>
          <w:tcPr>
            <w:tcW w:type="dxa" w:w="1880"/>
            <w:shd w:fill="F5F4F0" w:val="clear"/>
          </w:tcPr>
          <w:p>
            <w:pPr>
              <w:spacing w:after="0"/>
            </w:pPr>
            <w:r>
              <w:rPr>
                <w:rFonts w:ascii="Arial" w:cs="Arial" w:eastAsia="Arial" w:hAnsi="Arial"/>
                <w:color w:val="333333"/>
                <w:sz w:val="18"/>
                <w:szCs w:val="18"/>
              </w:rPr>
              <w:t xml:space="preserve">One entity, one cap table, fully aligned</w:t>
            </w:r>
          </w:p>
        </w:tc>
        <w:tc>
          <w:tcPr>
            <w:tcW w:type="dxa" w:w="2880"/>
            <w:shd w:fill="F5F4F0" w:val="clear"/>
          </w:tcPr>
          <w:p>
            <w:pPr>
              <w:spacing w:after="0"/>
            </w:pPr>
            <w:r>
              <w:rPr>
                <w:rFonts w:ascii="Arial" w:cs="Arial" w:eastAsia="Arial" w:hAnsi="Arial"/>
                <w:color w:val="333333"/>
                <w:sz w:val="18"/>
                <w:szCs w:val="18"/>
              </w:rPr>
              <w:t xml:space="preserve">Partner has equity in all markets, not just Nigeria</w:t>
            </w:r>
          </w:p>
        </w:tc>
      </w:tr>
      <w:tr>
        <w:tc>
          <w:tcPr>
            <w:tcW w:type="dxa" w:w="1800"/>
            <w:shd w:fill="FFFFFF" w:val="clear"/>
          </w:tcPr>
          <w:p>
            <w:pPr>
              <w:spacing w:after="0"/>
            </w:pPr>
            <w:r>
              <w:rPr>
                <w:rFonts w:ascii="Arial" w:cs="Arial" w:eastAsia="Arial" w:hAnsi="Arial"/>
                <w:color w:val="333333"/>
                <w:sz w:val="18"/>
                <w:szCs w:val="18"/>
              </w:rPr>
              <w:t xml:space="preserve">Nigeria-only partner (25%)</w:t>
            </w:r>
          </w:p>
        </w:tc>
        <w:tc>
          <w:tcPr>
            <w:tcW w:type="dxa" w:w="1400"/>
            <w:shd w:fill="FFFFFF" w:val="clear"/>
          </w:tcPr>
          <w:p>
            <w:pPr>
              <w:spacing w:after="0"/>
            </w:pPr>
            <w:r>
              <w:rPr>
                <w:rFonts w:ascii="Arial" w:cs="Arial" w:eastAsia="Arial" w:hAnsi="Arial"/>
                <w:color w:val="333333"/>
                <w:sz w:val="18"/>
                <w:szCs w:val="18"/>
              </w:rPr>
              <w:t xml:space="preserve">25% of EyeOnSite Nigeria Ltd</w:t>
            </w:r>
          </w:p>
        </w:tc>
        <w:tc>
          <w:tcPr>
            <w:tcW w:type="dxa" w:w="1400"/>
            <w:shd w:fill="FFFFFF" w:val="clear"/>
          </w:tcPr>
          <w:p>
            <w:pPr>
              <w:spacing w:after="0"/>
            </w:pPr>
            <w:r>
              <w:rPr>
                <w:rFonts w:ascii="Arial" w:cs="Arial" w:eastAsia="Arial" w:hAnsi="Arial"/>
                <w:color w:val="333333"/>
                <w:sz w:val="18"/>
                <w:szCs w:val="18"/>
              </w:rPr>
              <w:t xml:space="preserve">75%</w:t>
            </w:r>
          </w:p>
        </w:tc>
        <w:tc>
          <w:tcPr>
            <w:tcW w:type="dxa" w:w="1880"/>
            <w:shd w:fill="FFFFFF" w:val="clear"/>
          </w:tcPr>
          <w:p>
            <w:pPr>
              <w:spacing w:after="0"/>
            </w:pPr>
            <w:r>
              <w:rPr>
                <w:rFonts w:ascii="Arial" w:cs="Arial" w:eastAsia="Arial" w:hAnsi="Arial"/>
                <w:color w:val="333333"/>
                <w:sz w:val="18"/>
                <w:szCs w:val="18"/>
              </w:rPr>
              <w:t xml:space="preserve">Contained to Nigeria, global entity unaffected</w:t>
            </w:r>
          </w:p>
        </w:tc>
        <w:tc>
          <w:tcPr>
            <w:tcW w:type="dxa" w:w="2880"/>
            <w:shd w:fill="FFFFFF" w:val="clear"/>
          </w:tcPr>
          <w:p>
            <w:pPr>
              <w:spacing w:after="0"/>
            </w:pPr>
            <w:r>
              <w:rPr>
                <w:rFonts w:ascii="Arial" w:cs="Arial" w:eastAsia="Arial" w:hAnsi="Arial"/>
                <w:color w:val="333333"/>
                <w:sz w:val="18"/>
                <w:szCs w:val="18"/>
              </w:rPr>
              <w:t xml:space="preserve">Less alignment, may feel like a 'junior' partner</w:t>
            </w:r>
          </w:p>
        </w:tc>
      </w:tr>
      <w:tr>
        <w:tc>
          <w:tcPr>
            <w:tcW w:type="dxa" w:w="1800"/>
            <w:shd w:fill="F5F4F0" w:val="clear"/>
          </w:tcPr>
          <w:p>
            <w:pPr>
              <w:spacing w:after="0"/>
            </w:pPr>
            <w:r>
              <w:rPr>
                <w:rFonts w:ascii="Arial" w:cs="Arial" w:eastAsia="Arial" w:hAnsi="Arial"/>
                <w:color w:val="333333"/>
                <w:sz w:val="18"/>
                <w:szCs w:val="18"/>
              </w:rPr>
              <w:t xml:space="preserve">Nigeria-only partner (15%)</w:t>
            </w:r>
          </w:p>
        </w:tc>
        <w:tc>
          <w:tcPr>
            <w:tcW w:type="dxa" w:w="1400"/>
            <w:shd w:fill="F5F4F0" w:val="clear"/>
          </w:tcPr>
          <w:p>
            <w:pPr>
              <w:spacing w:after="0"/>
            </w:pPr>
            <w:r>
              <w:rPr>
                <w:rFonts w:ascii="Arial" w:cs="Arial" w:eastAsia="Arial" w:hAnsi="Arial"/>
                <w:color w:val="333333"/>
                <w:sz w:val="18"/>
                <w:szCs w:val="18"/>
              </w:rPr>
              <w:t xml:space="preserve">15% of EyeOnSite Nigeria Ltd</w:t>
            </w:r>
          </w:p>
        </w:tc>
        <w:tc>
          <w:tcPr>
            <w:tcW w:type="dxa" w:w="1400"/>
            <w:shd w:fill="F5F4F0" w:val="clear"/>
          </w:tcPr>
          <w:p>
            <w:pPr>
              <w:spacing w:after="0"/>
            </w:pPr>
            <w:r>
              <w:rPr>
                <w:rFonts w:ascii="Arial" w:cs="Arial" w:eastAsia="Arial" w:hAnsi="Arial"/>
                <w:color w:val="333333"/>
                <w:sz w:val="18"/>
                <w:szCs w:val="18"/>
              </w:rPr>
              <w:t xml:space="preserve">85%</w:t>
            </w:r>
          </w:p>
        </w:tc>
        <w:tc>
          <w:tcPr>
            <w:tcW w:type="dxa" w:w="1880"/>
            <w:shd w:fill="F5F4F0" w:val="clear"/>
          </w:tcPr>
          <w:p>
            <w:pPr>
              <w:spacing w:after="0"/>
            </w:pPr>
            <w:r>
              <w:rPr>
                <w:rFonts w:ascii="Arial" w:cs="Arial" w:eastAsia="Arial" w:hAnsi="Arial"/>
                <w:color w:val="333333"/>
                <w:sz w:val="18"/>
                <w:szCs w:val="18"/>
              </w:rPr>
              <w:t xml:space="preserve">Founder retains strong control</w:t>
            </w:r>
          </w:p>
        </w:tc>
        <w:tc>
          <w:tcPr>
            <w:tcW w:type="dxa" w:w="2880"/>
            <w:shd w:fill="F5F4F0" w:val="clear"/>
          </w:tcPr>
          <w:p>
            <w:pPr>
              <w:spacing w:after="0"/>
            </w:pPr>
            <w:r>
              <w:rPr>
                <w:rFonts w:ascii="Arial" w:cs="Arial" w:eastAsia="Arial" w:hAnsi="Arial"/>
                <w:color w:val="333333"/>
                <w:sz w:val="18"/>
                <w:szCs w:val="18"/>
              </w:rPr>
              <w:t xml:space="preserve">May not attract top-tier candidates — too little equity</w:t>
            </w:r>
          </w:p>
        </w:tc>
      </w:tr>
      <w:tr>
        <w:tc>
          <w:tcPr>
            <w:tcW w:type="dxa" w:w="1800"/>
            <w:shd w:fill="FFFFFF" w:val="clear"/>
          </w:tcPr>
          <w:p>
            <w:pPr>
              <w:spacing w:after="0"/>
            </w:pPr>
            <w:r>
              <w:rPr>
                <w:rFonts w:ascii="Arial" w:cs="Arial" w:eastAsia="Arial" w:hAnsi="Arial"/>
                <w:color w:val="333333"/>
                <w:sz w:val="18"/>
                <w:szCs w:val="18"/>
              </w:rPr>
              <w:t xml:space="preserve">Sweat equity + vesting</w:t>
            </w:r>
          </w:p>
        </w:tc>
        <w:tc>
          <w:tcPr>
            <w:tcW w:type="dxa" w:w="1400"/>
            <w:shd w:fill="FFFFFF" w:val="clear"/>
          </w:tcPr>
          <w:p>
            <w:pPr>
              <w:spacing w:after="0"/>
            </w:pPr>
            <w:r>
              <w:rPr>
                <w:rFonts w:ascii="Arial" w:cs="Arial" w:eastAsia="Arial" w:hAnsi="Arial"/>
                <w:color w:val="333333"/>
                <w:sz w:val="18"/>
                <w:szCs w:val="18"/>
              </w:rPr>
              <w:t xml:space="preserve">10-20% vesting over 3 years</w:t>
            </w:r>
          </w:p>
        </w:tc>
        <w:tc>
          <w:tcPr>
            <w:tcW w:type="dxa" w:w="1400"/>
            <w:shd w:fill="FFFFFF" w:val="clear"/>
          </w:tcPr>
          <w:p>
            <w:pPr>
              <w:spacing w:after="0"/>
            </w:pPr>
            <w:r>
              <w:rPr>
                <w:rFonts w:ascii="Arial" w:cs="Arial" w:eastAsia="Arial" w:hAnsi="Arial"/>
                <w:color w:val="333333"/>
                <w:sz w:val="18"/>
                <w:szCs w:val="18"/>
              </w:rPr>
              <w:t xml:space="preserve">80-90% initially</w:t>
            </w:r>
          </w:p>
        </w:tc>
        <w:tc>
          <w:tcPr>
            <w:tcW w:type="dxa" w:w="1880"/>
            <w:shd w:fill="FFFFFF" w:val="clear"/>
          </w:tcPr>
          <w:p>
            <w:pPr>
              <w:spacing w:after="0"/>
            </w:pPr>
            <w:r>
              <w:rPr>
                <w:rFonts w:ascii="Arial" w:cs="Arial" w:eastAsia="Arial" w:hAnsi="Arial"/>
                <w:color w:val="333333"/>
                <w:sz w:val="18"/>
                <w:szCs w:val="18"/>
              </w:rPr>
              <w:t xml:space="preserve">Performance-based, protects against early departure</w:t>
            </w:r>
          </w:p>
        </w:tc>
        <w:tc>
          <w:tcPr>
            <w:tcW w:type="dxa" w:w="2880"/>
            <w:shd w:fill="FFFFFF" w:val="clear"/>
          </w:tcPr>
          <w:p>
            <w:pPr>
              <w:spacing w:after="0"/>
            </w:pPr>
            <w:r>
              <w:rPr>
                <w:rFonts w:ascii="Arial" w:cs="Arial" w:eastAsia="Arial" w:hAnsi="Arial"/>
                <w:color w:val="333333"/>
                <w:sz w:val="18"/>
                <w:szCs w:val="18"/>
              </w:rPr>
              <w:t xml:space="preserve">Complexity of Nigerian entity vesting schedules</w:t>
            </w:r>
          </w:p>
        </w:tc>
      </w:tr>
    </w:tbl>
    <w:p>
      <w:pPr>
        <w:spacing w:after="0"/>
      </w:pPr>
    </w:p>
    <w:p>
      <w:pPr>
        <w:pBdr>
          <w:left w:val="single" w:color="3B82F6" w:sz="12" w:space="8"/>
        </w:pBdr>
        <w:shd w:fill="EFF6FF" w:val="clear"/>
        <w:spacing w:after="200" w:before="120"/>
      </w:pPr>
      <w:r>
        <w:rPr>
          <w:rFonts w:ascii="Arial" w:cs="Arial" w:eastAsia="Arial" w:hAnsi="Arial"/>
          <w:color w:val="333333"/>
          <w:sz w:val="20"/>
          <w:szCs w:val="20"/>
        </w:rPr>
        <w:t xml:space="preserve">IDEAL SCENARIO: The Growth Co-Founder search surfaces a Nigerian candidate who becomes the 45% global co-founder AND leads Nigeria operations. This solves the co-founder problem and the Nigeria market entry problem simultaneously. The Co-Founder Recruitment Brief already targets Nigerian diaspora professionals.</w:t>
      </w:r>
    </w:p>
    <w:p>
      <w:pPr>
        <w:pStyle w:val="Heading2"/>
        <w:spacing w:after="160" w:before="300"/>
      </w:pPr>
      <w:r>
        <w:rPr>
          <w:rFonts w:ascii="Arial" w:cs="Arial" w:eastAsia="Arial" w:hAnsi="Arial"/>
          <w:b/>
          <w:bCs/>
          <w:color w:val="0B6E4F"/>
          <w:sz w:val="24"/>
          <w:szCs w:val="24"/>
        </w:rPr>
        <w:t xml:space="preserve">2.3 Option C: Franchise / Licensing Model</w:t>
      </w:r>
    </w:p>
    <w:p>
      <w:pPr>
        <w:spacing w:after="140" w:line="276"/>
      </w:pPr>
      <w:r>
        <w:rPr>
          <w:rFonts w:ascii="Arial" w:cs="Arial" w:eastAsia="Arial" w:hAnsi="Arial"/>
          <w:b/>
          <w:bCs/>
          <w:color w:val="333333"/>
          <w:sz w:val="20"/>
          <w:szCs w:val="20"/>
        </w:rPr>
        <w:t xml:space="preserve">Summary: </w:t>
      </w:r>
      <w:r>
        <w:rPr>
          <w:rFonts w:ascii="Arial" w:cs="Arial" w:eastAsia="Arial" w:hAnsi="Arial"/>
          <w:color w:val="333333"/>
          <w:sz w:val="20"/>
          <w:szCs w:val="20"/>
        </w:rPr>
        <w:t xml:space="preserve">License the EyeOnSite brand, technology, and platform to an independent Nigerian operator. They incorporate their own entity, handle all Nigerian regulation, and pay Manti Labs a licensing fee.</w:t>
      </w:r>
    </w:p>
    <w:p>
      <w:pPr>
        <w:spacing w:after="0"/>
      </w:pPr>
    </w:p>
    <w:p>
      <w:pPr>
        <w:spacing w:after="120" w:before="200"/>
      </w:pPr>
      <w:r>
        <w:rPr>
          <w:rFonts w:ascii="Arial" w:cs="Arial" w:eastAsia="Arial" w:hAnsi="Arial"/>
          <w:b/>
          <w:bCs/>
          <w:color w:val="4A4A47"/>
          <w:sz w:val="22"/>
          <w:szCs w:val="22"/>
        </w:rPr>
        <w:t xml:space="preserve">How It Works</w:t>
      </w:r>
    </w:p>
    <w:p>
      <w:pPr>
        <w:pStyle w:val="ListParagraph"/>
        <w:numPr>
          <w:ilvl w:val="0"/>
          <w:numId w:val="2"/>
        </w:numPr>
        <w:spacing w:after="80" w:line="276"/>
      </w:pPr>
      <w:r>
        <w:rPr>
          <w:rFonts w:ascii="Arial" w:cs="Arial" w:eastAsia="Arial" w:hAnsi="Arial"/>
          <w:color w:val="333333"/>
          <w:sz w:val="20"/>
          <w:szCs w:val="20"/>
        </w:rPr>
        <w:t xml:space="preserve">Identify a Nigerian entrepreneur or small company interested in operating a verification marketplace in Nigeria.</w:t>
      </w:r>
    </w:p>
    <w:p>
      <w:pPr>
        <w:pStyle w:val="ListParagraph"/>
        <w:numPr>
          <w:ilvl w:val="0"/>
          <w:numId w:val="2"/>
        </w:numPr>
        <w:spacing w:after="80" w:line="276"/>
      </w:pPr>
      <w:r>
        <w:rPr>
          <w:rFonts w:ascii="Arial" w:cs="Arial" w:eastAsia="Arial" w:hAnsi="Arial"/>
          <w:color w:val="333333"/>
          <w:sz w:val="20"/>
          <w:szCs w:val="20"/>
        </w:rPr>
        <w:t xml:space="preserve">Sign a Master License Agreement granting them the right to operate EyeOnSite in Nigeria (exclusive or non-exclusive).</w:t>
      </w:r>
    </w:p>
    <w:p>
      <w:pPr>
        <w:pStyle w:val="ListParagraph"/>
        <w:numPr>
          <w:ilvl w:val="0"/>
          <w:numId w:val="2"/>
        </w:numPr>
        <w:spacing w:after="80" w:line="276"/>
      </w:pPr>
      <w:r>
        <w:rPr>
          <w:rFonts w:ascii="Arial" w:cs="Arial" w:eastAsia="Arial" w:hAnsi="Arial"/>
          <w:color w:val="333333"/>
          <w:sz w:val="20"/>
          <w:szCs w:val="20"/>
        </w:rPr>
        <w:t xml:space="preserve">They incorporate their own Nigerian company, handle CAC/NDPC/FIRS/CBN compliance, recruit inspectors, and acquire clients.</w:t>
      </w:r>
    </w:p>
    <w:p>
      <w:pPr>
        <w:pStyle w:val="ListParagraph"/>
        <w:numPr>
          <w:ilvl w:val="0"/>
          <w:numId w:val="2"/>
        </w:numPr>
        <w:spacing w:after="80" w:line="276"/>
      </w:pPr>
      <w:r>
        <w:rPr>
          <w:rFonts w:ascii="Arial" w:cs="Arial" w:eastAsia="Arial" w:hAnsi="Arial"/>
          <w:color w:val="333333"/>
          <w:sz w:val="20"/>
          <w:szCs w:val="20"/>
        </w:rPr>
        <w:t xml:space="preserve">Manti Labs provides: the platform (app, backend, brand assets), training, quality standards, and ongoing technical support.</w:t>
      </w:r>
    </w:p>
    <w:p>
      <w:pPr>
        <w:pStyle w:val="ListParagraph"/>
        <w:numPr>
          <w:ilvl w:val="0"/>
          <w:numId w:val="2"/>
        </w:numPr>
        <w:spacing w:after="80" w:line="276"/>
      </w:pPr>
      <w:r>
        <w:rPr>
          <w:rFonts w:ascii="Arial" w:cs="Arial" w:eastAsia="Arial" w:hAnsi="Arial"/>
          <w:color w:val="333333"/>
          <w:sz w:val="20"/>
          <w:szCs w:val="20"/>
        </w:rPr>
        <w:t xml:space="preserve">The licensee pays: upfront licensing fee ($5,000-15,000) + ongoing royalty (5-8% of gross revenue) + technology fee ($500-1,500/month).</w:t>
      </w:r>
    </w:p>
    <w:p>
      <w:pPr>
        <w:spacing w:after="0"/>
      </w:pPr>
    </w:p>
    <w:p>
      <w:pPr>
        <w:spacing w:after="120" w:before="200"/>
      </w:pPr>
      <w:r>
        <w:rPr>
          <w:rFonts w:ascii="Arial" w:cs="Arial" w:eastAsia="Arial" w:hAnsi="Arial"/>
          <w:b/>
          <w:bCs/>
          <w:color w:val="4A4A47"/>
          <w:sz w:val="22"/>
          <w:szCs w:val="22"/>
        </w:rPr>
        <w:t xml:space="preserve">Pros</w:t>
      </w:r>
    </w:p>
    <w:p>
      <w:pPr>
        <w:pStyle w:val="ListParagraph"/>
        <w:numPr>
          <w:ilvl w:val="0"/>
          <w:numId w:val="2"/>
        </w:numPr>
        <w:spacing w:after="80" w:line="276"/>
      </w:pPr>
      <w:r>
        <w:rPr>
          <w:rFonts w:ascii="Arial" w:cs="Arial" w:eastAsia="Arial" w:hAnsi="Arial"/>
          <w:color w:val="333333"/>
          <w:sz w:val="20"/>
          <w:szCs w:val="20"/>
        </w:rPr>
        <w:t xml:space="preserve">Zero Nigerian regulatory burden for Manti Labs — the licensee handles everything.</w:t>
      </w:r>
    </w:p>
    <w:p>
      <w:pPr>
        <w:pStyle w:val="ListParagraph"/>
        <w:numPr>
          <w:ilvl w:val="0"/>
          <w:numId w:val="2"/>
        </w:numPr>
        <w:spacing w:after="80" w:line="276"/>
      </w:pPr>
      <w:r>
        <w:rPr>
          <w:rFonts w:ascii="Arial" w:cs="Arial" w:eastAsia="Arial" w:hAnsi="Arial"/>
          <w:color w:val="333333"/>
          <w:sz w:val="20"/>
          <w:szCs w:val="20"/>
        </w:rPr>
        <w:t xml:space="preserve">No need for CAMA incorporation, NDPC registration, or FIRS tax filings by Manti Labs.</w:t>
      </w:r>
    </w:p>
    <w:p>
      <w:pPr>
        <w:pStyle w:val="ListParagraph"/>
        <w:numPr>
          <w:ilvl w:val="0"/>
          <w:numId w:val="2"/>
        </w:numPr>
        <w:spacing w:after="80" w:line="276"/>
      </w:pPr>
      <w:r>
        <w:rPr>
          <w:rFonts w:ascii="Arial" w:cs="Arial" w:eastAsia="Arial" w:hAnsi="Arial"/>
          <w:color w:val="333333"/>
          <w:sz w:val="20"/>
          <w:szCs w:val="20"/>
        </w:rPr>
        <w:t xml:space="preserve">Fastest market entry: find the right operator and they're live within weeks.</w:t>
      </w:r>
    </w:p>
    <w:p>
      <w:pPr>
        <w:pStyle w:val="ListParagraph"/>
        <w:numPr>
          <w:ilvl w:val="0"/>
          <w:numId w:val="2"/>
        </w:numPr>
        <w:spacing w:after="80" w:line="276"/>
      </w:pPr>
      <w:r>
        <w:rPr>
          <w:rFonts w:ascii="Arial" w:cs="Arial" w:eastAsia="Arial" w:hAnsi="Arial"/>
          <w:color w:val="333333"/>
          <w:sz w:val="20"/>
          <w:szCs w:val="20"/>
        </w:rPr>
        <w:t xml:space="preserve">Capital-light: no incorporation costs, no retainer fees, no Nigerian bank account.</w:t>
      </w:r>
    </w:p>
    <w:p>
      <w:pPr>
        <w:pStyle w:val="ListParagraph"/>
        <w:numPr>
          <w:ilvl w:val="0"/>
          <w:numId w:val="2"/>
        </w:numPr>
        <w:spacing w:after="80" w:line="276"/>
      </w:pPr>
      <w:r>
        <w:rPr>
          <w:rFonts w:ascii="Arial" w:cs="Arial" w:eastAsia="Arial" w:hAnsi="Arial"/>
          <w:color w:val="333333"/>
          <w:sz w:val="20"/>
          <w:szCs w:val="20"/>
        </w:rPr>
        <w:t xml:space="preserve">Revenue from day one: licensing fees are upfront revenue before the Nigerian market generates task volume.</w:t>
      </w:r>
    </w:p>
    <w:p>
      <w:pPr>
        <w:spacing w:after="0"/>
      </w:pPr>
    </w:p>
    <w:p>
      <w:pPr>
        <w:spacing w:after="120" w:before="200"/>
      </w:pPr>
      <w:r>
        <w:rPr>
          <w:rFonts w:ascii="Arial" w:cs="Arial" w:eastAsia="Arial" w:hAnsi="Arial"/>
          <w:b/>
          <w:bCs/>
          <w:color w:val="4A4A47"/>
          <w:sz w:val="22"/>
          <w:szCs w:val="22"/>
        </w:rPr>
        <w:t xml:space="preserve">Cons</w:t>
      </w:r>
    </w:p>
    <w:p>
      <w:pPr>
        <w:pStyle w:val="ListParagraph"/>
        <w:numPr>
          <w:ilvl w:val="0"/>
          <w:numId w:val="2"/>
        </w:numPr>
        <w:spacing w:after="80" w:line="276"/>
      </w:pPr>
      <w:r>
        <w:rPr>
          <w:rFonts w:ascii="Arial" w:cs="Arial" w:eastAsia="Arial" w:hAnsi="Arial"/>
          <w:color w:val="333333"/>
          <w:sz w:val="20"/>
          <w:szCs w:val="20"/>
        </w:rPr>
        <w:t xml:space="preserve">Loss of control: the licensee operates independently. Quality, brand reputation, and customer experience are in their hands.</w:t>
      </w:r>
    </w:p>
    <w:p>
      <w:pPr>
        <w:pStyle w:val="ListParagraph"/>
        <w:numPr>
          <w:ilvl w:val="0"/>
          <w:numId w:val="2"/>
        </w:numPr>
        <w:spacing w:after="80" w:line="276"/>
      </w:pPr>
      <w:r>
        <w:rPr>
          <w:rFonts w:ascii="Arial" w:cs="Arial" w:eastAsia="Arial" w:hAnsi="Arial"/>
          <w:color w:val="333333"/>
          <w:sz w:val="20"/>
          <w:szCs w:val="20"/>
        </w:rPr>
        <w:t xml:space="preserve">Lower revenue per task: you earn 5-8% royalty instead of 18% platform fee. On an $80 task, that's $4-6.40 instead of $14.40.</w:t>
      </w:r>
    </w:p>
    <w:p>
      <w:pPr>
        <w:pStyle w:val="ListParagraph"/>
        <w:numPr>
          <w:ilvl w:val="0"/>
          <w:numId w:val="2"/>
        </w:numPr>
        <w:spacing w:after="80" w:line="276"/>
      </w:pPr>
      <w:r>
        <w:rPr>
          <w:rFonts w:ascii="Arial" w:cs="Arial" w:eastAsia="Arial" w:hAnsi="Arial"/>
          <w:color w:val="333333"/>
          <w:sz w:val="20"/>
          <w:szCs w:val="20"/>
        </w:rPr>
        <w:t xml:space="preserve">Brand risk: if the Nigerian licensee provides poor service, it damages the EyeOnSite brand globally.</w:t>
      </w:r>
    </w:p>
    <w:p>
      <w:pPr>
        <w:pStyle w:val="ListParagraph"/>
        <w:numPr>
          <w:ilvl w:val="0"/>
          <w:numId w:val="2"/>
        </w:numPr>
        <w:spacing w:after="80" w:line="276"/>
      </w:pPr>
      <w:r>
        <w:rPr>
          <w:rFonts w:ascii="Arial" w:cs="Arial" w:eastAsia="Arial" w:hAnsi="Arial"/>
          <w:color w:val="333333"/>
          <w:sz w:val="20"/>
          <w:szCs w:val="20"/>
        </w:rPr>
        <w:t xml:space="preserve">Finding the right licensee is as hard as finding a co-founder — and misaligned incentives make it riskier.</w:t>
      </w:r>
    </w:p>
    <w:p>
      <w:pPr>
        <w:pStyle w:val="ListParagraph"/>
        <w:numPr>
          <w:ilvl w:val="0"/>
          <w:numId w:val="2"/>
        </w:numPr>
        <w:spacing w:after="80" w:line="276"/>
      </w:pPr>
      <w:r>
        <w:rPr>
          <w:rFonts w:ascii="Arial" w:cs="Arial" w:eastAsia="Arial" w:hAnsi="Arial"/>
          <w:color w:val="333333"/>
          <w:sz w:val="20"/>
          <w:szCs w:val="20"/>
        </w:rPr>
        <w:t xml:space="preserve">Investor perception: VCs may view a franchise model as less valuable than direct operations. It signals 'we couldn't crack Nigeria ourselves.'</w:t>
      </w:r>
    </w:p>
    <w:p>
      <w:pPr>
        <w:pStyle w:val="ListParagraph"/>
        <w:numPr>
          <w:ilvl w:val="0"/>
          <w:numId w:val="2"/>
        </w:numPr>
        <w:spacing w:after="80" w:line="276"/>
      </w:pPr>
      <w:r>
        <w:rPr>
          <w:rFonts w:ascii="Arial" w:cs="Arial" w:eastAsia="Arial" w:hAnsi="Arial"/>
          <w:color w:val="333333"/>
          <w:sz w:val="20"/>
          <w:szCs w:val="20"/>
        </w:rPr>
        <w:t xml:space="preserve">Data ownership ambiguity: who owns the Nigerian client and inspector data? Must be clearly defined in the license agreement.</w:t>
      </w:r>
    </w:p>
    <w:p>
      <w:pPr>
        <w:pStyle w:val="ListParagraph"/>
        <w:numPr>
          <w:ilvl w:val="0"/>
          <w:numId w:val="2"/>
        </w:numPr>
        <w:spacing w:after="80" w:line="276"/>
      </w:pPr>
      <w:r>
        <w:rPr>
          <w:rFonts w:ascii="Arial" w:cs="Arial" w:eastAsia="Arial" w:hAnsi="Arial"/>
          <w:color w:val="333333"/>
          <w:sz w:val="20"/>
          <w:szCs w:val="20"/>
        </w:rPr>
        <w:t xml:space="preserve">Exit complexity: if EyeOnSite wants to transition to direct operations later, buying out the licensee is expensive and contentious.</w:t>
      </w:r>
    </w:p>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NOT RECOMMENDED as the primary Nigeria strategy. The franchise model trades too much control and revenue for convenience. However, it may be appropriate as a temporary arrangement (2-3 year license) while building direct capacity, or for secondary Nigerian cities (Abuja, Port Harcourt, Ibadan) while Lagos is operated directly.</w:t>
      </w:r>
    </w:p>
    <w:p>
      <w:pPr>
        <w:pStyle w:val="Heading2"/>
        <w:spacing w:after="160" w:before="300"/>
      </w:pPr>
      <w:r>
        <w:rPr>
          <w:rFonts w:ascii="Arial" w:cs="Arial" w:eastAsia="Arial" w:hAnsi="Arial"/>
          <w:b/>
          <w:bCs/>
          <w:color w:val="0B6E4F"/>
          <w:sz w:val="24"/>
          <w:szCs w:val="24"/>
        </w:rPr>
        <w:t xml:space="preserve">2.4 Option D: Delay Nigeria, Do Kenya First</w:t>
      </w:r>
    </w:p>
    <w:p>
      <w:pPr>
        <w:spacing w:after="140" w:line="276"/>
      </w:pPr>
      <w:r>
        <w:rPr>
          <w:rFonts w:ascii="Arial" w:cs="Arial" w:eastAsia="Arial" w:hAnsi="Arial"/>
          <w:b/>
          <w:bCs/>
          <w:color w:val="333333"/>
          <w:sz w:val="20"/>
          <w:szCs w:val="20"/>
        </w:rPr>
        <w:t xml:space="preserve">Summary: </w:t>
      </w:r>
      <w:r>
        <w:rPr>
          <w:rFonts w:ascii="Arial" w:cs="Arial" w:eastAsia="Arial" w:hAnsi="Arial"/>
          <w:color w:val="333333"/>
          <w:sz w:val="20"/>
          <w:szCs w:val="20"/>
        </w:rPr>
        <w:t xml:space="preserve">Enter Kenya as the second market (V2) and delay Nigeria to V3, when EyeOnSite has more revenue, operational experience, and potentially a Nigerian co-founder.</w:t>
      </w:r>
    </w:p>
    <w:p>
      <w:pPr>
        <w:spacing w:after="0"/>
      </w:pPr>
    </w:p>
    <w:p>
      <w:pPr>
        <w:spacing w:after="120" w:before="200"/>
      </w:pPr>
      <w:r>
        <w:rPr>
          <w:rFonts w:ascii="Arial" w:cs="Arial" w:eastAsia="Arial" w:hAnsi="Arial"/>
          <w:b/>
          <w:bCs/>
          <w:color w:val="4A4A47"/>
          <w:sz w:val="22"/>
          <w:szCs w:val="22"/>
        </w:rPr>
        <w:t xml:space="preserve">Why Kenya Before Nigeria</w:t>
      </w:r>
    </w:p>
    <w:p>
      <w:pPr>
        <w:pStyle w:val="ListParagraph"/>
        <w:numPr>
          <w:ilvl w:val="0"/>
          <w:numId w:val="2"/>
        </w:numPr>
        <w:spacing w:after="80" w:line="276"/>
      </w:pPr>
      <w:r>
        <w:rPr>
          <w:rFonts w:ascii="Arial" w:cs="Arial" w:eastAsia="Arial" w:hAnsi="Arial"/>
          <w:color w:val="333333"/>
          <w:sz w:val="20"/>
          <w:szCs w:val="20"/>
        </w:rPr>
        <w:t xml:space="preserve">Regulatory: Kenya has a more startup-friendly environment. Company registration is simpler, the 18% commission cap is already legislated (validating our take rate), and the CBK is less aggressive than the CBN.</w:t>
      </w:r>
    </w:p>
    <w:p>
      <w:pPr>
        <w:pStyle w:val="ListParagraph"/>
        <w:numPr>
          <w:ilvl w:val="0"/>
          <w:numId w:val="2"/>
        </w:numPr>
        <w:spacing w:after="80" w:line="276"/>
      </w:pPr>
      <w:r>
        <w:rPr>
          <w:rFonts w:ascii="Arial" w:cs="Arial" w:eastAsia="Arial" w:hAnsi="Arial"/>
          <w:color w:val="333333"/>
          <w:sz w:val="20"/>
          <w:szCs w:val="20"/>
        </w:rPr>
        <w:t xml:space="preserve">Cost: Kenya incorporation is cheaper and faster (2-4 months for PSP considerations vs 3-6 months in Nigeria). No ₦100 million minimum share capital for foreign companies.</w:t>
      </w:r>
    </w:p>
    <w:p>
      <w:pPr>
        <w:pStyle w:val="ListParagraph"/>
        <w:numPr>
          <w:ilvl w:val="0"/>
          <w:numId w:val="2"/>
        </w:numPr>
        <w:spacing w:after="80" w:line="276"/>
      </w:pPr>
      <w:r>
        <w:rPr>
          <w:rFonts w:ascii="Arial" w:cs="Arial" w:eastAsia="Arial" w:hAnsi="Arial"/>
          <w:color w:val="333333"/>
          <w:sz w:val="20"/>
          <w:szCs w:val="20"/>
        </w:rPr>
        <w:t xml:space="preserve">Diaspora corridor: UK-to-Kenya is a significant corridor, and Nairobi has a mature tech ecosystem (M-Pesa, Safaricom, iHub).</w:t>
      </w:r>
    </w:p>
    <w:p>
      <w:pPr>
        <w:pStyle w:val="ListParagraph"/>
        <w:numPr>
          <w:ilvl w:val="0"/>
          <w:numId w:val="2"/>
        </w:numPr>
        <w:spacing w:after="80" w:line="276"/>
      </w:pPr>
      <w:r>
        <w:rPr>
          <w:rFonts w:ascii="Arial" w:cs="Arial" w:eastAsia="Arial" w:hAnsi="Arial"/>
          <w:color w:val="333333"/>
          <w:sz w:val="20"/>
          <w:szCs w:val="20"/>
        </w:rPr>
        <w:t xml:space="preserve">Proof of concept: proving the multi-country model works in Ghana + Kenya gives credibility for the Nigeria fundraise conversation.</w:t>
      </w:r>
    </w:p>
    <w:p>
      <w:pPr>
        <w:pStyle w:val="ListParagraph"/>
        <w:numPr>
          <w:ilvl w:val="0"/>
          <w:numId w:val="2"/>
        </w:numPr>
        <w:spacing w:after="80" w:line="276"/>
      </w:pPr>
      <w:r>
        <w:rPr>
          <w:rFonts w:ascii="Arial" w:cs="Arial" w:eastAsia="Arial" w:hAnsi="Arial"/>
          <w:color w:val="333333"/>
          <w:sz w:val="20"/>
          <w:szCs w:val="20"/>
        </w:rPr>
        <w:t xml:space="preserve">Co-founder timing: the 6-12 month co-founder search runs in parallel with Kenya V2. By V3, a Nigerian candidate may have been found.</w:t>
      </w:r>
    </w:p>
    <w:p>
      <w:pPr>
        <w:spacing w:after="0"/>
      </w:pPr>
    </w:p>
    <w:p>
      <w:pPr>
        <w:spacing w:after="120" w:before="200"/>
      </w:pPr>
      <w:r>
        <w:rPr>
          <w:rFonts w:ascii="Arial" w:cs="Arial" w:eastAsia="Arial" w:hAnsi="Arial"/>
          <w:b/>
          <w:bCs/>
          <w:color w:val="4A4A47"/>
          <w:sz w:val="22"/>
          <w:szCs w:val="22"/>
        </w:rPr>
        <w:t xml:space="preserve">Pros</w:t>
      </w:r>
    </w:p>
    <w:p>
      <w:pPr>
        <w:pStyle w:val="ListParagraph"/>
        <w:numPr>
          <w:ilvl w:val="0"/>
          <w:numId w:val="2"/>
        </w:numPr>
        <w:spacing w:after="80" w:line="276"/>
      </w:pPr>
      <w:r>
        <w:rPr>
          <w:rFonts w:ascii="Arial" w:cs="Arial" w:eastAsia="Arial" w:hAnsi="Arial"/>
          <w:color w:val="333333"/>
          <w:sz w:val="20"/>
          <w:szCs w:val="20"/>
        </w:rPr>
        <w:t xml:space="preserve">Avoids Nigeria's regulatory complexity until EyeOnSite has revenue and resources to handle it properly.</w:t>
      </w:r>
    </w:p>
    <w:p>
      <w:pPr>
        <w:pStyle w:val="ListParagraph"/>
        <w:numPr>
          <w:ilvl w:val="0"/>
          <w:numId w:val="2"/>
        </w:numPr>
        <w:spacing w:after="80" w:line="276"/>
      </w:pPr>
      <w:r>
        <w:rPr>
          <w:rFonts w:ascii="Arial" w:cs="Arial" w:eastAsia="Arial" w:hAnsi="Arial"/>
          <w:color w:val="333333"/>
          <w:sz w:val="20"/>
          <w:szCs w:val="20"/>
        </w:rPr>
        <w:t xml:space="preserve">Proves the multi-country model in a friendlier regulatory environment first.</w:t>
      </w:r>
    </w:p>
    <w:p>
      <w:pPr>
        <w:pStyle w:val="ListParagraph"/>
        <w:numPr>
          <w:ilvl w:val="0"/>
          <w:numId w:val="2"/>
        </w:numPr>
        <w:spacing w:after="80" w:line="276"/>
      </w:pPr>
      <w:r>
        <w:rPr>
          <w:rFonts w:ascii="Arial" w:cs="Arial" w:eastAsia="Arial" w:hAnsi="Arial"/>
          <w:color w:val="333333"/>
          <w:sz w:val="20"/>
          <w:szCs w:val="20"/>
        </w:rPr>
        <w:t xml:space="preserve">Gives time for the co-founder search to surface a Nigerian candidate.</w:t>
      </w:r>
    </w:p>
    <w:p>
      <w:pPr>
        <w:pStyle w:val="ListParagraph"/>
        <w:numPr>
          <w:ilvl w:val="0"/>
          <w:numId w:val="2"/>
        </w:numPr>
        <w:spacing w:after="80" w:line="276"/>
      </w:pPr>
      <w:r>
        <w:rPr>
          <w:rFonts w:ascii="Arial" w:cs="Arial" w:eastAsia="Arial" w:hAnsi="Arial"/>
          <w:color w:val="333333"/>
          <w:sz w:val="20"/>
          <w:szCs w:val="20"/>
        </w:rPr>
        <w:t xml:space="preserve">Lower risk: a failed Kenya launch is recoverable. A failed Nigeria launch (regulatory penalties, brand damage) could be existential.</w:t>
      </w:r>
    </w:p>
    <w:p>
      <w:pPr>
        <w:spacing w:after="0"/>
      </w:pPr>
    </w:p>
    <w:p>
      <w:pPr>
        <w:spacing w:after="120" w:before="200"/>
      </w:pPr>
      <w:r>
        <w:rPr>
          <w:rFonts w:ascii="Arial" w:cs="Arial" w:eastAsia="Arial" w:hAnsi="Arial"/>
          <w:b/>
          <w:bCs/>
          <w:color w:val="4A4A47"/>
          <w:sz w:val="22"/>
          <w:szCs w:val="22"/>
        </w:rPr>
        <w:t xml:space="preserve">Cons</w:t>
      </w:r>
    </w:p>
    <w:p>
      <w:pPr>
        <w:pStyle w:val="ListParagraph"/>
        <w:numPr>
          <w:ilvl w:val="0"/>
          <w:numId w:val="2"/>
        </w:numPr>
        <w:spacing w:after="80" w:line="276"/>
      </w:pPr>
      <w:r>
        <w:rPr>
          <w:rFonts w:ascii="Arial" w:cs="Arial" w:eastAsia="Arial" w:hAnsi="Arial"/>
          <w:color w:val="333333"/>
          <w:sz w:val="20"/>
          <w:szCs w:val="20"/>
        </w:rPr>
        <w:t xml:space="preserve">Delays access to Africa's largest diaspora remittance market. Lagos construction investment dwarfs Accra and Nairobi combined.</w:t>
      </w:r>
    </w:p>
    <w:p>
      <w:pPr>
        <w:pStyle w:val="ListParagraph"/>
        <w:numPr>
          <w:ilvl w:val="0"/>
          <w:numId w:val="2"/>
        </w:numPr>
        <w:spacing w:after="80" w:line="276"/>
      </w:pPr>
      <w:r>
        <w:rPr>
          <w:rFonts w:ascii="Arial" w:cs="Arial" w:eastAsia="Arial" w:hAnsi="Arial"/>
          <w:color w:val="333333"/>
          <w:sz w:val="20"/>
          <w:szCs w:val="20"/>
        </w:rPr>
        <w:t xml:space="preserve">Competitors (LandSafe, Mantel Verify, LANDIZ) are all Nigeria-based. Every month of delay gives them more runway.</w:t>
      </w:r>
    </w:p>
    <w:p>
      <w:pPr>
        <w:pStyle w:val="ListParagraph"/>
        <w:numPr>
          <w:ilvl w:val="0"/>
          <w:numId w:val="2"/>
        </w:numPr>
        <w:spacing w:after="80" w:line="276"/>
      </w:pPr>
      <w:r>
        <w:rPr>
          <w:rFonts w:ascii="Arial" w:cs="Arial" w:eastAsia="Arial" w:hAnsi="Arial"/>
          <w:color w:val="333333"/>
          <w:sz w:val="20"/>
          <w:szCs w:val="20"/>
        </w:rPr>
        <w:t xml:space="preserve">Investors may question why you're avoiding the biggest market. 'If you can't do Nigeria, can you scale?'</w:t>
      </w:r>
    </w:p>
    <w:p>
      <w:pPr>
        <w:pStyle w:val="ListParagraph"/>
        <w:numPr>
          <w:ilvl w:val="0"/>
          <w:numId w:val="2"/>
        </w:numPr>
        <w:spacing w:after="80" w:line="276"/>
      </w:pPr>
      <w:r>
        <w:rPr>
          <w:rFonts w:ascii="Arial" w:cs="Arial" w:eastAsia="Arial" w:hAnsi="Arial"/>
          <w:color w:val="333333"/>
          <w:sz w:val="20"/>
          <w:szCs w:val="20"/>
        </w:rPr>
        <w:t xml:space="preserve">The Nigeria co-founder search may take longer than 12 months. V3 entry could slip to V4.</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RECOMMENDED as the overall strategy. Enter Nigeria at V3 (months 15-24) via Option A (Country Representative) or Option B (Nigerian Co-Founder), whichever materializes first. Use the V1-V2 period to build revenue, prove the model, and run the Nigerian co-founder search in parallel.</w:t>
      </w:r>
    </w:p>
    <w:p>
      <w:pPr>
        <w:pStyle w:val="Heading1"/>
        <w:spacing w:after="200" w:before="400"/>
      </w:pPr>
      <w:r>
        <w:rPr>
          <w:rFonts w:ascii="Arial" w:cs="Arial" w:eastAsia="Arial" w:hAnsi="Arial"/>
          <w:b/>
          <w:bCs/>
          <w:color w:val="022B1E"/>
          <w:sz w:val="28"/>
          <w:szCs w:val="28"/>
        </w:rPr>
        <w:t xml:space="preserve">3. Market Entry Options — Comparison Matrix</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022B1E" w:val="clear"/>
          </w:tcPr>
          <w:p>
            <w:pPr>
              <w:spacing w:after="0"/>
            </w:pPr>
            <w:r>
              <w:rPr>
                <w:rFonts w:ascii="Arial" w:cs="Arial" w:eastAsia="Arial" w:hAnsi="Arial"/>
                <w:b/>
                <w:bCs/>
                <w:color w:val="FFFFFF"/>
                <w:sz w:val="18"/>
                <w:szCs w:val="18"/>
              </w:rPr>
              <w:t xml:space="preserve">Factor</w:t>
            </w:r>
          </w:p>
        </w:tc>
        <w:tc>
          <w:tcPr>
            <w:tcW w:type="dxa" w:w="1700"/>
            <w:shd w:fill="022B1E" w:val="clear"/>
          </w:tcPr>
          <w:p>
            <w:pPr>
              <w:spacing w:after="0"/>
            </w:pPr>
            <w:r>
              <w:rPr>
                <w:rFonts w:ascii="Arial" w:cs="Arial" w:eastAsia="Arial" w:hAnsi="Arial"/>
                <w:b/>
                <w:bCs/>
                <w:color w:val="FFFFFF"/>
                <w:sz w:val="18"/>
                <w:szCs w:val="18"/>
              </w:rPr>
              <w:t xml:space="preserve">A: Country Rep</w:t>
            </w:r>
          </w:p>
        </w:tc>
        <w:tc>
          <w:tcPr>
            <w:tcW w:type="dxa" w:w="1800"/>
            <w:shd w:fill="022B1E" w:val="clear"/>
          </w:tcPr>
          <w:p>
            <w:pPr>
              <w:spacing w:after="0"/>
            </w:pPr>
            <w:r>
              <w:rPr>
                <w:rFonts w:ascii="Arial" w:cs="Arial" w:eastAsia="Arial" w:hAnsi="Arial"/>
                <w:b/>
                <w:bCs/>
                <w:color w:val="FFFFFF"/>
                <w:sz w:val="18"/>
                <w:szCs w:val="18"/>
              </w:rPr>
              <w:t xml:space="preserve">B: Co-Founder</w:t>
            </w:r>
          </w:p>
        </w:tc>
        <w:tc>
          <w:tcPr>
            <w:tcW w:type="dxa" w:w="1800"/>
            <w:shd w:fill="022B1E" w:val="clear"/>
          </w:tcPr>
          <w:p>
            <w:pPr>
              <w:spacing w:after="0"/>
            </w:pPr>
            <w:r>
              <w:rPr>
                <w:rFonts w:ascii="Arial" w:cs="Arial" w:eastAsia="Arial" w:hAnsi="Arial"/>
                <w:b/>
                <w:bCs/>
                <w:color w:val="FFFFFF"/>
                <w:sz w:val="18"/>
                <w:szCs w:val="18"/>
              </w:rPr>
              <w:t xml:space="preserve">C: Franchise</w:t>
            </w:r>
          </w:p>
        </w:tc>
        <w:tc>
          <w:tcPr>
            <w:tcW w:type="dxa" w:w="2260"/>
            <w:shd w:fill="022B1E" w:val="clear"/>
          </w:tcPr>
          <w:p>
            <w:pPr>
              <w:spacing w:after="0"/>
            </w:pPr>
            <w:r>
              <w:rPr>
                <w:rFonts w:ascii="Arial" w:cs="Arial" w:eastAsia="Arial" w:hAnsi="Arial"/>
                <w:b/>
                <w:bCs/>
                <w:color w:val="FFFFFF"/>
                <w:sz w:val="18"/>
                <w:szCs w:val="18"/>
              </w:rPr>
              <w:t xml:space="preserve">D: Delay (Kenya first)</w:t>
            </w:r>
          </w:p>
        </w:tc>
      </w:tr>
      <w:tr>
        <w:tc>
          <w:tcPr>
            <w:tcW w:type="dxa" w:w="1800"/>
            <w:shd w:fill="F5F4F0" w:val="clear"/>
          </w:tcPr>
          <w:p>
            <w:pPr>
              <w:spacing w:after="0"/>
            </w:pPr>
            <w:r>
              <w:rPr>
                <w:rFonts w:ascii="Arial" w:cs="Arial" w:eastAsia="Arial" w:hAnsi="Arial"/>
                <w:color w:val="333333"/>
                <w:sz w:val="18"/>
                <w:szCs w:val="18"/>
              </w:rPr>
              <w:t xml:space="preserve">Setup cost</w:t>
            </w:r>
          </w:p>
        </w:tc>
        <w:tc>
          <w:tcPr>
            <w:tcW w:type="dxa" w:w="1700"/>
            <w:shd w:fill="F5F4F0" w:val="clear"/>
          </w:tcPr>
          <w:p>
            <w:pPr>
              <w:spacing w:after="0"/>
            </w:pPr>
            <w:r>
              <w:rPr>
                <w:rFonts w:ascii="Arial" w:cs="Arial" w:eastAsia="Arial" w:hAnsi="Arial"/>
                <w:color w:val="333333"/>
                <w:sz w:val="18"/>
                <w:szCs w:val="18"/>
              </w:rPr>
              <w:t xml:space="preserve">$15-25K (Year 1)</w:t>
            </w:r>
          </w:p>
        </w:tc>
        <w:tc>
          <w:tcPr>
            <w:tcW w:type="dxa" w:w="1800"/>
            <w:shd w:fill="F5F4F0" w:val="clear"/>
          </w:tcPr>
          <w:p>
            <w:pPr>
              <w:spacing w:after="0"/>
            </w:pPr>
            <w:r>
              <w:rPr>
                <w:rFonts w:ascii="Arial" w:cs="Arial" w:eastAsia="Arial" w:hAnsi="Arial"/>
                <w:color w:val="333333"/>
                <w:sz w:val="18"/>
                <w:szCs w:val="18"/>
              </w:rPr>
              <w:t xml:space="preserve">$10-20K + equity dilution</w:t>
            </w:r>
          </w:p>
        </w:tc>
        <w:tc>
          <w:tcPr>
            <w:tcW w:type="dxa" w:w="1800"/>
            <w:shd w:fill="F5F4F0" w:val="clear"/>
          </w:tcPr>
          <w:p>
            <w:pPr>
              <w:spacing w:after="0"/>
            </w:pPr>
            <w:r>
              <w:rPr>
                <w:rFonts w:ascii="Arial" w:cs="Arial" w:eastAsia="Arial" w:hAnsi="Arial"/>
                <w:color w:val="333333"/>
                <w:sz w:val="18"/>
                <w:szCs w:val="18"/>
              </w:rPr>
              <w:t xml:space="preserve">$5-10K + legal fees</w:t>
            </w:r>
          </w:p>
        </w:tc>
        <w:tc>
          <w:tcPr>
            <w:tcW w:type="dxa" w:w="2260"/>
            <w:shd w:fill="F5F4F0" w:val="clear"/>
          </w:tcPr>
          <w:p>
            <w:pPr>
              <w:spacing w:after="0"/>
            </w:pPr>
            <w:r>
              <w:rPr>
                <w:rFonts w:ascii="Arial" w:cs="Arial" w:eastAsia="Arial" w:hAnsi="Arial"/>
                <w:color w:val="333333"/>
                <w:sz w:val="18"/>
                <w:szCs w:val="18"/>
              </w:rPr>
              <w:t xml:space="preserve">$0 (Nigeria-specific)</w:t>
            </w:r>
          </w:p>
        </w:tc>
      </w:tr>
      <w:tr>
        <w:tc>
          <w:tcPr>
            <w:tcW w:type="dxa" w:w="1800"/>
            <w:shd w:fill="FFFFFF" w:val="clear"/>
          </w:tcPr>
          <w:p>
            <w:pPr>
              <w:spacing w:after="0"/>
            </w:pPr>
            <w:r>
              <w:rPr>
                <w:rFonts w:ascii="Arial" w:cs="Arial" w:eastAsia="Arial" w:hAnsi="Arial"/>
                <w:color w:val="333333"/>
                <w:sz w:val="18"/>
                <w:szCs w:val="18"/>
              </w:rPr>
              <w:t xml:space="preserve">Monthly ongoing</w:t>
            </w:r>
          </w:p>
        </w:tc>
        <w:tc>
          <w:tcPr>
            <w:tcW w:type="dxa" w:w="1700"/>
            <w:shd w:fill="FFFFFF" w:val="clear"/>
          </w:tcPr>
          <w:p>
            <w:pPr>
              <w:spacing w:after="0"/>
            </w:pPr>
            <w:r>
              <w:rPr>
                <w:rFonts w:ascii="Arial" w:cs="Arial" w:eastAsia="Arial" w:hAnsi="Arial"/>
                <w:color w:val="333333"/>
                <w:sz w:val="18"/>
                <w:szCs w:val="18"/>
              </w:rPr>
              <w:t xml:space="preserve">$800-1,500 retainer</w:t>
            </w:r>
          </w:p>
        </w:tc>
        <w:tc>
          <w:tcPr>
            <w:tcW w:type="dxa" w:w="1800"/>
            <w:shd w:fill="FFFFFF" w:val="clear"/>
          </w:tcPr>
          <w:p>
            <w:pPr>
              <w:spacing w:after="0"/>
            </w:pPr>
            <w:r>
              <w:rPr>
                <w:rFonts w:ascii="Arial" w:cs="Arial" w:eastAsia="Arial" w:hAnsi="Arial"/>
                <w:color w:val="333333"/>
                <w:sz w:val="18"/>
                <w:szCs w:val="18"/>
              </w:rPr>
              <w:t xml:space="preserve">$0 (equity-compensated)</w:t>
            </w:r>
          </w:p>
        </w:tc>
        <w:tc>
          <w:tcPr>
            <w:tcW w:type="dxa" w:w="1800"/>
            <w:shd w:fill="FFFFFF" w:val="clear"/>
          </w:tcPr>
          <w:p>
            <w:pPr>
              <w:spacing w:after="0"/>
            </w:pPr>
            <w:r>
              <w:rPr>
                <w:rFonts w:ascii="Arial" w:cs="Arial" w:eastAsia="Arial" w:hAnsi="Arial"/>
                <w:color w:val="333333"/>
                <w:sz w:val="18"/>
                <w:szCs w:val="18"/>
              </w:rPr>
              <w:t xml:space="preserve">$500-1,500 tech fee income</w:t>
            </w:r>
          </w:p>
        </w:tc>
        <w:tc>
          <w:tcPr>
            <w:tcW w:type="dxa" w:w="2260"/>
            <w:shd w:fill="FFFFFF" w:val="clear"/>
          </w:tcPr>
          <w:p>
            <w:pPr>
              <w:spacing w:after="0"/>
            </w:pPr>
            <w:r>
              <w:rPr>
                <w:rFonts w:ascii="Arial" w:cs="Arial" w:eastAsia="Arial" w:hAnsi="Arial"/>
                <w:color w:val="333333"/>
                <w:sz w:val="18"/>
                <w:szCs w:val="18"/>
              </w:rPr>
              <w:t xml:space="preserve">$0</w:t>
            </w:r>
          </w:p>
        </w:tc>
      </w:tr>
      <w:tr>
        <w:tc>
          <w:tcPr>
            <w:tcW w:type="dxa" w:w="1800"/>
            <w:shd w:fill="F5F4F0" w:val="clear"/>
          </w:tcPr>
          <w:p>
            <w:pPr>
              <w:spacing w:after="0"/>
            </w:pPr>
            <w:r>
              <w:rPr>
                <w:rFonts w:ascii="Arial" w:cs="Arial" w:eastAsia="Arial" w:hAnsi="Arial"/>
                <w:color w:val="333333"/>
                <w:sz w:val="18"/>
                <w:szCs w:val="18"/>
              </w:rPr>
              <w:t xml:space="preserve">Regulatory burden</w:t>
            </w:r>
          </w:p>
        </w:tc>
        <w:tc>
          <w:tcPr>
            <w:tcW w:type="dxa" w:w="1700"/>
            <w:shd w:fill="F5F4F0" w:val="clear"/>
          </w:tcPr>
          <w:p>
            <w:pPr>
              <w:spacing w:after="0"/>
            </w:pPr>
            <w:r>
              <w:rPr>
                <w:rFonts w:ascii="Arial" w:cs="Arial" w:eastAsia="Arial" w:hAnsi="Arial"/>
                <w:color w:val="333333"/>
                <w:sz w:val="18"/>
                <w:szCs w:val="18"/>
              </w:rPr>
              <w:t xml:space="preserve">HIGH (we handle via rep)</w:t>
            </w:r>
          </w:p>
        </w:tc>
        <w:tc>
          <w:tcPr>
            <w:tcW w:type="dxa" w:w="1800"/>
            <w:shd w:fill="F5F4F0" w:val="clear"/>
          </w:tcPr>
          <w:p>
            <w:pPr>
              <w:spacing w:after="0"/>
            </w:pPr>
            <w:r>
              <w:rPr>
                <w:rFonts w:ascii="Arial" w:cs="Arial" w:eastAsia="Arial" w:hAnsi="Arial"/>
                <w:color w:val="333333"/>
                <w:sz w:val="18"/>
                <w:szCs w:val="18"/>
              </w:rPr>
              <w:t xml:space="preserve">HIGH (co-founder handles)</w:t>
            </w:r>
          </w:p>
        </w:tc>
        <w:tc>
          <w:tcPr>
            <w:tcW w:type="dxa" w:w="1800"/>
            <w:shd w:fill="F5F4F0" w:val="clear"/>
          </w:tcPr>
          <w:p>
            <w:pPr>
              <w:spacing w:after="0"/>
            </w:pPr>
            <w:r>
              <w:rPr>
                <w:rFonts w:ascii="Arial" w:cs="Arial" w:eastAsia="Arial" w:hAnsi="Arial"/>
                <w:color w:val="333333"/>
                <w:sz w:val="18"/>
                <w:szCs w:val="18"/>
              </w:rPr>
              <w:t xml:space="preserve">ZERO (licensee handles)</w:t>
            </w:r>
          </w:p>
        </w:tc>
        <w:tc>
          <w:tcPr>
            <w:tcW w:type="dxa" w:w="2260"/>
            <w:shd w:fill="F5F4F0" w:val="clear"/>
          </w:tcPr>
          <w:p>
            <w:pPr>
              <w:spacing w:after="0"/>
            </w:pPr>
            <w:r>
              <w:rPr>
                <w:rFonts w:ascii="Arial" w:cs="Arial" w:eastAsia="Arial" w:hAnsi="Arial"/>
                <w:color w:val="333333"/>
                <w:sz w:val="18"/>
                <w:szCs w:val="18"/>
              </w:rPr>
              <w:t xml:space="preserve">ZERO (until V3)</w:t>
            </w:r>
          </w:p>
        </w:tc>
      </w:tr>
      <w:tr>
        <w:tc>
          <w:tcPr>
            <w:tcW w:type="dxa" w:w="1800"/>
            <w:shd w:fill="FFFFFF" w:val="clear"/>
          </w:tcPr>
          <w:p>
            <w:pPr>
              <w:spacing w:after="0"/>
            </w:pPr>
            <w:r>
              <w:rPr>
                <w:rFonts w:ascii="Arial" w:cs="Arial" w:eastAsia="Arial" w:hAnsi="Arial"/>
                <w:color w:val="333333"/>
                <w:sz w:val="18"/>
                <w:szCs w:val="18"/>
              </w:rPr>
              <w:t xml:space="preserve">Revenue per task</w:t>
            </w:r>
          </w:p>
        </w:tc>
        <w:tc>
          <w:tcPr>
            <w:tcW w:type="dxa" w:w="1700"/>
            <w:shd w:fill="FFFFFF" w:val="clear"/>
          </w:tcPr>
          <w:p>
            <w:pPr>
              <w:spacing w:after="0"/>
            </w:pPr>
            <w:r>
              <w:rPr>
                <w:rFonts w:ascii="Arial" w:cs="Arial" w:eastAsia="Arial" w:hAnsi="Arial"/>
                <w:color w:val="333333"/>
                <w:sz w:val="18"/>
                <w:szCs w:val="18"/>
              </w:rPr>
              <w:t xml:space="preserve">Full 18% take rate</w:t>
            </w:r>
          </w:p>
        </w:tc>
        <w:tc>
          <w:tcPr>
            <w:tcW w:type="dxa" w:w="1800"/>
            <w:shd w:fill="FFFFFF" w:val="clear"/>
          </w:tcPr>
          <w:p>
            <w:pPr>
              <w:spacing w:after="0"/>
            </w:pPr>
            <w:r>
              <w:rPr>
                <w:rFonts w:ascii="Arial" w:cs="Arial" w:eastAsia="Arial" w:hAnsi="Arial"/>
                <w:color w:val="333333"/>
                <w:sz w:val="18"/>
                <w:szCs w:val="18"/>
              </w:rPr>
              <w:t xml:space="preserve">Full 18%</w:t>
            </w:r>
          </w:p>
        </w:tc>
        <w:tc>
          <w:tcPr>
            <w:tcW w:type="dxa" w:w="1800"/>
            <w:shd w:fill="FFFFFF" w:val="clear"/>
          </w:tcPr>
          <w:p>
            <w:pPr>
              <w:spacing w:after="0"/>
            </w:pPr>
            <w:r>
              <w:rPr>
                <w:rFonts w:ascii="Arial" w:cs="Arial" w:eastAsia="Arial" w:hAnsi="Arial"/>
                <w:color w:val="333333"/>
                <w:sz w:val="18"/>
                <w:szCs w:val="18"/>
              </w:rPr>
              <w:t xml:space="preserve">5-8% royalty only</w:t>
            </w:r>
          </w:p>
        </w:tc>
        <w:tc>
          <w:tcPr>
            <w:tcW w:type="dxa" w:w="2260"/>
            <w:shd w:fill="FFFFFF" w:val="clear"/>
          </w:tcPr>
          <w:p>
            <w:pPr>
              <w:spacing w:after="0"/>
            </w:pPr>
            <w:r>
              <w:rPr>
                <w:rFonts w:ascii="Arial" w:cs="Arial" w:eastAsia="Arial" w:hAnsi="Arial"/>
                <w:color w:val="333333"/>
                <w:sz w:val="18"/>
                <w:szCs w:val="18"/>
              </w:rPr>
              <w:t xml:space="preserve">N/A until V3</w:t>
            </w:r>
          </w:p>
        </w:tc>
      </w:tr>
      <w:tr>
        <w:tc>
          <w:tcPr>
            <w:tcW w:type="dxa" w:w="1800"/>
            <w:shd w:fill="F5F4F0" w:val="clear"/>
          </w:tcPr>
          <w:p>
            <w:pPr>
              <w:spacing w:after="0"/>
            </w:pPr>
            <w:r>
              <w:rPr>
                <w:rFonts w:ascii="Arial" w:cs="Arial" w:eastAsia="Arial" w:hAnsi="Arial"/>
                <w:color w:val="333333"/>
                <w:sz w:val="18"/>
                <w:szCs w:val="18"/>
              </w:rPr>
              <w:t xml:space="preserve">Control</w:t>
            </w:r>
          </w:p>
        </w:tc>
        <w:tc>
          <w:tcPr>
            <w:tcW w:type="dxa" w:w="1700"/>
            <w:shd w:fill="F5F4F0" w:val="clear"/>
          </w:tcPr>
          <w:p>
            <w:pPr>
              <w:spacing w:after="0"/>
            </w:pPr>
            <w:r>
              <w:rPr>
                <w:rFonts w:ascii="Arial" w:cs="Arial" w:eastAsia="Arial" w:hAnsi="Arial"/>
                <w:color w:val="333333"/>
                <w:sz w:val="18"/>
                <w:szCs w:val="18"/>
              </w:rPr>
              <w:t xml:space="preserve">HIGH</w:t>
            </w:r>
          </w:p>
        </w:tc>
        <w:tc>
          <w:tcPr>
            <w:tcW w:type="dxa" w:w="1800"/>
            <w:shd w:fill="F5F4F0" w:val="clear"/>
          </w:tcPr>
          <w:p>
            <w:pPr>
              <w:spacing w:after="0"/>
            </w:pPr>
            <w:r>
              <w:rPr>
                <w:rFonts w:ascii="Arial" w:cs="Arial" w:eastAsia="Arial" w:hAnsi="Arial"/>
                <w:color w:val="333333"/>
                <w:sz w:val="18"/>
                <w:szCs w:val="18"/>
              </w:rPr>
              <w:t xml:space="preserve">MEDIUM (shared decisions)</w:t>
            </w:r>
          </w:p>
        </w:tc>
        <w:tc>
          <w:tcPr>
            <w:tcW w:type="dxa" w:w="1800"/>
            <w:shd w:fill="F5F4F0" w:val="clear"/>
          </w:tcPr>
          <w:p>
            <w:pPr>
              <w:spacing w:after="0"/>
            </w:pPr>
            <w:r>
              <w:rPr>
                <w:rFonts w:ascii="Arial" w:cs="Arial" w:eastAsia="Arial" w:hAnsi="Arial"/>
                <w:color w:val="333333"/>
                <w:sz w:val="18"/>
                <w:szCs w:val="18"/>
              </w:rPr>
              <w:t xml:space="preserve">LOW</w:t>
            </w:r>
          </w:p>
        </w:tc>
        <w:tc>
          <w:tcPr>
            <w:tcW w:type="dxa" w:w="2260"/>
            <w:shd w:fill="F5F4F0" w:val="clear"/>
          </w:tcPr>
          <w:p>
            <w:pPr>
              <w:spacing w:after="0"/>
            </w:pPr>
            <w:r>
              <w:rPr>
                <w:rFonts w:ascii="Arial" w:cs="Arial" w:eastAsia="Arial" w:hAnsi="Arial"/>
                <w:color w:val="333333"/>
                <w:sz w:val="18"/>
                <w:szCs w:val="18"/>
              </w:rPr>
              <w:t xml:space="preserve">FULL (no Nigeria exposure)</w:t>
            </w:r>
          </w:p>
        </w:tc>
      </w:tr>
      <w:tr>
        <w:tc>
          <w:tcPr>
            <w:tcW w:type="dxa" w:w="1800"/>
            <w:shd w:fill="FFFFFF" w:val="clear"/>
          </w:tcPr>
          <w:p>
            <w:pPr>
              <w:spacing w:after="0"/>
            </w:pPr>
            <w:r>
              <w:rPr>
                <w:rFonts w:ascii="Arial" w:cs="Arial" w:eastAsia="Arial" w:hAnsi="Arial"/>
                <w:color w:val="333333"/>
                <w:sz w:val="18"/>
                <w:szCs w:val="18"/>
              </w:rPr>
              <w:t xml:space="preserve">Brand risk</w:t>
            </w:r>
          </w:p>
        </w:tc>
        <w:tc>
          <w:tcPr>
            <w:tcW w:type="dxa" w:w="1700"/>
            <w:shd w:fill="FFFFFF" w:val="clear"/>
          </w:tcPr>
          <w:p>
            <w:pPr>
              <w:spacing w:after="0"/>
            </w:pPr>
            <w:r>
              <w:rPr>
                <w:rFonts w:ascii="Arial" w:cs="Arial" w:eastAsia="Arial" w:hAnsi="Arial"/>
                <w:color w:val="333333"/>
                <w:sz w:val="18"/>
                <w:szCs w:val="18"/>
              </w:rPr>
              <w:t xml:space="preserve">LOW-MEDIUM</w:t>
            </w:r>
          </w:p>
        </w:tc>
        <w:tc>
          <w:tcPr>
            <w:tcW w:type="dxa" w:w="1800"/>
            <w:shd w:fill="FFFFFF" w:val="clear"/>
          </w:tcPr>
          <w:p>
            <w:pPr>
              <w:spacing w:after="0"/>
            </w:pPr>
            <w:r>
              <w:rPr>
                <w:rFonts w:ascii="Arial" w:cs="Arial" w:eastAsia="Arial" w:hAnsi="Arial"/>
                <w:color w:val="333333"/>
                <w:sz w:val="18"/>
                <w:szCs w:val="18"/>
              </w:rPr>
              <w:t xml:space="preserve">LOW</w:t>
            </w:r>
          </w:p>
        </w:tc>
        <w:tc>
          <w:tcPr>
            <w:tcW w:type="dxa" w:w="1800"/>
            <w:shd w:fill="FFFFFF" w:val="clear"/>
          </w:tcPr>
          <w:p>
            <w:pPr>
              <w:spacing w:after="0"/>
            </w:pPr>
            <w:r>
              <w:rPr>
                <w:rFonts w:ascii="Arial" w:cs="Arial" w:eastAsia="Arial" w:hAnsi="Arial"/>
                <w:color w:val="333333"/>
                <w:sz w:val="18"/>
                <w:szCs w:val="18"/>
              </w:rPr>
              <w:t xml:space="preserve">HIGH</w:t>
            </w:r>
          </w:p>
        </w:tc>
        <w:tc>
          <w:tcPr>
            <w:tcW w:type="dxa" w:w="2260"/>
            <w:shd w:fill="FFFFFF" w:val="clear"/>
          </w:tcPr>
          <w:p>
            <w:pPr>
              <w:spacing w:after="0"/>
            </w:pPr>
            <w:r>
              <w:rPr>
                <w:rFonts w:ascii="Arial" w:cs="Arial" w:eastAsia="Arial" w:hAnsi="Arial"/>
                <w:color w:val="333333"/>
                <w:sz w:val="18"/>
                <w:szCs w:val="18"/>
              </w:rPr>
              <w:t xml:space="preserve">ZERO</w:t>
            </w:r>
          </w:p>
        </w:tc>
      </w:tr>
      <w:tr>
        <w:tc>
          <w:tcPr>
            <w:tcW w:type="dxa" w:w="1800"/>
            <w:shd w:fill="F5F4F0" w:val="clear"/>
          </w:tcPr>
          <w:p>
            <w:pPr>
              <w:spacing w:after="0"/>
            </w:pPr>
            <w:r>
              <w:rPr>
                <w:rFonts w:ascii="Arial" w:cs="Arial" w:eastAsia="Arial" w:hAnsi="Arial"/>
                <w:color w:val="333333"/>
                <w:sz w:val="18"/>
                <w:szCs w:val="18"/>
              </w:rPr>
              <w:t xml:space="preserve">Investor perception</w:t>
            </w:r>
          </w:p>
        </w:tc>
        <w:tc>
          <w:tcPr>
            <w:tcW w:type="dxa" w:w="1700"/>
            <w:shd w:fill="F5F4F0" w:val="clear"/>
          </w:tcPr>
          <w:p>
            <w:pPr>
              <w:spacing w:after="0"/>
            </w:pPr>
            <w:r>
              <w:rPr>
                <w:rFonts w:ascii="Arial" w:cs="Arial" w:eastAsia="Arial" w:hAnsi="Arial"/>
                <w:color w:val="333333"/>
                <w:sz w:val="18"/>
                <w:szCs w:val="18"/>
              </w:rPr>
              <w:t xml:space="preserve">GOOD</w:t>
            </w:r>
          </w:p>
        </w:tc>
        <w:tc>
          <w:tcPr>
            <w:tcW w:type="dxa" w:w="1800"/>
            <w:shd w:fill="F5F4F0" w:val="clear"/>
          </w:tcPr>
          <w:p>
            <w:pPr>
              <w:spacing w:after="0"/>
            </w:pPr>
            <w:r>
              <w:rPr>
                <w:rFonts w:ascii="Arial" w:cs="Arial" w:eastAsia="Arial" w:hAnsi="Arial"/>
                <w:color w:val="333333"/>
                <w:sz w:val="18"/>
                <w:szCs w:val="18"/>
              </w:rPr>
              <w:t xml:space="preserve">EXCELLENT</w:t>
            </w:r>
          </w:p>
        </w:tc>
        <w:tc>
          <w:tcPr>
            <w:tcW w:type="dxa" w:w="1800"/>
            <w:shd w:fill="F5F4F0" w:val="clear"/>
          </w:tcPr>
          <w:p>
            <w:pPr>
              <w:spacing w:after="0"/>
            </w:pPr>
            <w:r>
              <w:rPr>
                <w:rFonts w:ascii="Arial" w:cs="Arial" w:eastAsia="Arial" w:hAnsi="Arial"/>
                <w:color w:val="333333"/>
                <w:sz w:val="18"/>
                <w:szCs w:val="18"/>
              </w:rPr>
              <w:t xml:space="preserve">POOR</w:t>
            </w:r>
          </w:p>
        </w:tc>
        <w:tc>
          <w:tcPr>
            <w:tcW w:type="dxa" w:w="2260"/>
            <w:shd w:fill="F5F4F0" w:val="clear"/>
          </w:tcPr>
          <w:p>
            <w:pPr>
              <w:spacing w:after="0"/>
            </w:pPr>
            <w:r>
              <w:rPr>
                <w:rFonts w:ascii="Arial" w:cs="Arial" w:eastAsia="Arial" w:hAnsi="Arial"/>
                <w:color w:val="333333"/>
                <w:sz w:val="18"/>
                <w:szCs w:val="18"/>
              </w:rPr>
              <w:t xml:space="preserve">NEUTRAL (need strong 'why')</w:t>
            </w:r>
          </w:p>
        </w:tc>
      </w:tr>
      <w:tr>
        <w:tc>
          <w:tcPr>
            <w:tcW w:type="dxa" w:w="1800"/>
            <w:shd w:fill="FFFFFF" w:val="clear"/>
          </w:tcPr>
          <w:p>
            <w:pPr>
              <w:spacing w:after="0"/>
            </w:pPr>
            <w:r>
              <w:rPr>
                <w:rFonts w:ascii="Arial" w:cs="Arial" w:eastAsia="Arial" w:hAnsi="Arial"/>
                <w:color w:val="333333"/>
                <w:sz w:val="18"/>
                <w:szCs w:val="18"/>
              </w:rPr>
              <w:t xml:space="preserve">Speed to market</w:t>
            </w:r>
          </w:p>
        </w:tc>
        <w:tc>
          <w:tcPr>
            <w:tcW w:type="dxa" w:w="1700"/>
            <w:shd w:fill="FFFFFF" w:val="clear"/>
          </w:tcPr>
          <w:p>
            <w:pPr>
              <w:spacing w:after="0"/>
            </w:pPr>
            <w:r>
              <w:rPr>
                <w:rFonts w:ascii="Arial" w:cs="Arial" w:eastAsia="Arial" w:hAnsi="Arial"/>
                <w:color w:val="333333"/>
                <w:sz w:val="18"/>
                <w:szCs w:val="18"/>
              </w:rPr>
              <w:t xml:space="preserve">3-6 months</w:t>
            </w:r>
          </w:p>
        </w:tc>
        <w:tc>
          <w:tcPr>
            <w:tcW w:type="dxa" w:w="1800"/>
            <w:shd w:fill="FFFFFF" w:val="clear"/>
          </w:tcPr>
          <w:p>
            <w:pPr>
              <w:spacing w:after="0"/>
            </w:pPr>
            <w:r>
              <w:rPr>
                <w:rFonts w:ascii="Arial" w:cs="Arial" w:eastAsia="Arial" w:hAnsi="Arial"/>
                <w:color w:val="333333"/>
                <w:sz w:val="18"/>
                <w:szCs w:val="18"/>
              </w:rPr>
              <w:t xml:space="preserve">6-12 months (search time)</w:t>
            </w:r>
          </w:p>
        </w:tc>
        <w:tc>
          <w:tcPr>
            <w:tcW w:type="dxa" w:w="1800"/>
            <w:shd w:fill="FFFFFF" w:val="clear"/>
          </w:tcPr>
          <w:p>
            <w:pPr>
              <w:spacing w:after="0"/>
            </w:pPr>
            <w:r>
              <w:rPr>
                <w:rFonts w:ascii="Arial" w:cs="Arial" w:eastAsia="Arial" w:hAnsi="Arial"/>
                <w:color w:val="333333"/>
                <w:sz w:val="18"/>
                <w:szCs w:val="18"/>
              </w:rPr>
              <w:t xml:space="preserve">1-3 months</w:t>
            </w:r>
          </w:p>
        </w:tc>
        <w:tc>
          <w:tcPr>
            <w:tcW w:type="dxa" w:w="2260"/>
            <w:shd w:fill="FFFFFF" w:val="clear"/>
          </w:tcPr>
          <w:p>
            <w:pPr>
              <w:spacing w:after="0"/>
            </w:pPr>
            <w:r>
              <w:rPr>
                <w:rFonts w:ascii="Arial" w:cs="Arial" w:eastAsia="Arial" w:hAnsi="Arial"/>
                <w:color w:val="333333"/>
                <w:sz w:val="18"/>
                <w:szCs w:val="18"/>
              </w:rPr>
              <w:t xml:space="preserve">12-24 months</w:t>
            </w:r>
          </w:p>
        </w:tc>
      </w:tr>
      <w:tr>
        <w:tc>
          <w:tcPr>
            <w:tcW w:type="dxa" w:w="1800"/>
            <w:shd w:fill="F5F4F0" w:val="clear"/>
          </w:tcPr>
          <w:p>
            <w:pPr>
              <w:spacing w:after="0"/>
            </w:pPr>
            <w:r>
              <w:rPr>
                <w:rFonts w:ascii="Arial" w:cs="Arial" w:eastAsia="Arial" w:hAnsi="Arial"/>
                <w:color w:val="333333"/>
                <w:sz w:val="18"/>
                <w:szCs w:val="18"/>
              </w:rPr>
              <w:t xml:space="preserve">Scalability</w:t>
            </w:r>
          </w:p>
        </w:tc>
        <w:tc>
          <w:tcPr>
            <w:tcW w:type="dxa" w:w="1700"/>
            <w:shd w:fill="F5F4F0" w:val="clear"/>
          </w:tcPr>
          <w:p>
            <w:pPr>
              <w:spacing w:after="0"/>
            </w:pPr>
            <w:r>
              <w:rPr>
                <w:rFonts w:ascii="Arial" w:cs="Arial" w:eastAsia="Arial" w:hAnsi="Arial"/>
                <w:color w:val="333333"/>
                <w:sz w:val="18"/>
                <w:szCs w:val="18"/>
              </w:rPr>
              <w:t xml:space="preserve">GOOD</w:t>
            </w:r>
          </w:p>
        </w:tc>
        <w:tc>
          <w:tcPr>
            <w:tcW w:type="dxa" w:w="1800"/>
            <w:shd w:fill="F5F4F0" w:val="clear"/>
          </w:tcPr>
          <w:p>
            <w:pPr>
              <w:spacing w:after="0"/>
            </w:pPr>
            <w:r>
              <w:rPr>
                <w:rFonts w:ascii="Arial" w:cs="Arial" w:eastAsia="Arial" w:hAnsi="Arial"/>
                <w:color w:val="333333"/>
                <w:sz w:val="18"/>
                <w:szCs w:val="18"/>
              </w:rPr>
              <w:t xml:space="preserve">EXCELLENT</w:t>
            </w:r>
          </w:p>
        </w:tc>
        <w:tc>
          <w:tcPr>
            <w:tcW w:type="dxa" w:w="1800"/>
            <w:shd w:fill="F5F4F0" w:val="clear"/>
          </w:tcPr>
          <w:p>
            <w:pPr>
              <w:spacing w:after="0"/>
            </w:pPr>
            <w:r>
              <w:rPr>
                <w:rFonts w:ascii="Arial" w:cs="Arial" w:eastAsia="Arial" w:hAnsi="Arial"/>
                <w:color w:val="333333"/>
                <w:sz w:val="18"/>
                <w:szCs w:val="18"/>
              </w:rPr>
              <w:t xml:space="preserve">LIMITED</w:t>
            </w:r>
          </w:p>
        </w:tc>
        <w:tc>
          <w:tcPr>
            <w:tcW w:type="dxa" w:w="2260"/>
            <w:shd w:fill="F5F4F0" w:val="clear"/>
          </w:tcPr>
          <w:p>
            <w:pPr>
              <w:spacing w:after="0"/>
            </w:pPr>
            <w:r>
              <w:rPr>
                <w:rFonts w:ascii="Arial" w:cs="Arial" w:eastAsia="Arial" w:hAnsi="Arial"/>
                <w:color w:val="333333"/>
                <w:sz w:val="18"/>
                <w:szCs w:val="18"/>
              </w:rPr>
              <w:t xml:space="preserve">N/A until entry</w:t>
            </w:r>
          </w:p>
        </w:tc>
      </w:tr>
      <w:tr>
        <w:tc>
          <w:tcPr>
            <w:tcW w:type="dxa" w:w="1800"/>
            <w:shd w:fill="FFFFFF" w:val="clear"/>
          </w:tcPr>
          <w:p>
            <w:pPr>
              <w:spacing w:after="0"/>
            </w:pPr>
            <w:r>
              <w:rPr>
                <w:rFonts w:ascii="Arial" w:cs="Arial" w:eastAsia="Arial" w:hAnsi="Arial"/>
                <w:color w:val="333333"/>
                <w:sz w:val="18"/>
                <w:szCs w:val="18"/>
              </w:rPr>
              <w:t xml:space="preserve">Finding the right person</w:t>
            </w:r>
          </w:p>
        </w:tc>
        <w:tc>
          <w:tcPr>
            <w:tcW w:type="dxa" w:w="1700"/>
            <w:shd w:fill="FFFFFF" w:val="clear"/>
          </w:tcPr>
          <w:p>
            <w:pPr>
              <w:spacing w:after="0"/>
            </w:pPr>
            <w:r>
              <w:rPr>
                <w:rFonts w:ascii="Arial" w:cs="Arial" w:eastAsia="Arial" w:hAnsi="Arial"/>
                <w:color w:val="333333"/>
                <w:sz w:val="18"/>
                <w:szCs w:val="18"/>
              </w:rPr>
              <w:t xml:space="preserve">MEDIUM difficulty</w:t>
            </w:r>
          </w:p>
        </w:tc>
        <w:tc>
          <w:tcPr>
            <w:tcW w:type="dxa" w:w="1800"/>
            <w:shd w:fill="FFFFFF" w:val="clear"/>
          </w:tcPr>
          <w:p>
            <w:pPr>
              <w:spacing w:after="0"/>
            </w:pPr>
            <w:r>
              <w:rPr>
                <w:rFonts w:ascii="Arial" w:cs="Arial" w:eastAsia="Arial" w:hAnsi="Arial"/>
                <w:color w:val="333333"/>
                <w:sz w:val="18"/>
                <w:szCs w:val="18"/>
              </w:rPr>
              <w:t xml:space="preserve">HARD (6-12 months)</w:t>
            </w:r>
          </w:p>
        </w:tc>
        <w:tc>
          <w:tcPr>
            <w:tcW w:type="dxa" w:w="1800"/>
            <w:shd w:fill="FFFFFF" w:val="clear"/>
          </w:tcPr>
          <w:p>
            <w:pPr>
              <w:spacing w:after="0"/>
            </w:pPr>
            <w:r>
              <w:rPr>
                <w:rFonts w:ascii="Arial" w:cs="Arial" w:eastAsia="Arial" w:hAnsi="Arial"/>
                <w:color w:val="333333"/>
                <w:sz w:val="18"/>
                <w:szCs w:val="18"/>
              </w:rPr>
              <w:t xml:space="preserve">HARD (trust + capability)</w:t>
            </w:r>
          </w:p>
        </w:tc>
        <w:tc>
          <w:tcPr>
            <w:tcW w:type="dxa" w:w="2260"/>
            <w:shd w:fill="FFFFFF" w:val="clear"/>
          </w:tcPr>
          <w:p>
            <w:pPr>
              <w:spacing w:after="0"/>
            </w:pPr>
            <w:r>
              <w:rPr>
                <w:rFonts w:ascii="Arial" w:cs="Arial" w:eastAsia="Arial" w:hAnsi="Arial"/>
                <w:color w:val="333333"/>
                <w:sz w:val="18"/>
                <w:szCs w:val="18"/>
              </w:rPr>
              <w:t xml:space="preserve">N/A</w:t>
            </w:r>
          </w:p>
        </w:tc>
      </w:tr>
      <w:tr>
        <w:tc>
          <w:tcPr>
            <w:tcW w:type="dxa" w:w="1800"/>
            <w:shd w:fill="F5F4F0" w:val="clear"/>
          </w:tcPr>
          <w:p>
            <w:pPr>
              <w:spacing w:after="0"/>
            </w:pPr>
            <w:r>
              <w:rPr>
                <w:rFonts w:ascii="Arial" w:cs="Arial" w:eastAsia="Arial" w:hAnsi="Arial"/>
                <w:color w:val="333333"/>
                <w:sz w:val="18"/>
                <w:szCs w:val="18"/>
              </w:rPr>
              <w:t xml:space="preserve">Recommended timing</w:t>
            </w:r>
          </w:p>
        </w:tc>
        <w:tc>
          <w:tcPr>
            <w:tcW w:type="dxa" w:w="1700"/>
            <w:shd w:fill="F5F4F0" w:val="clear"/>
          </w:tcPr>
          <w:p>
            <w:pPr>
              <w:spacing w:after="0"/>
            </w:pPr>
            <w:r>
              <w:rPr>
                <w:rFonts w:ascii="Arial" w:cs="Arial" w:eastAsia="Arial" w:hAnsi="Arial"/>
                <w:color w:val="333333"/>
                <w:sz w:val="18"/>
                <w:szCs w:val="18"/>
              </w:rPr>
              <w:t xml:space="preserve">V3 (if no co-founder)</w:t>
            </w:r>
          </w:p>
        </w:tc>
        <w:tc>
          <w:tcPr>
            <w:tcW w:type="dxa" w:w="1800"/>
            <w:shd w:fill="F5F4F0" w:val="clear"/>
          </w:tcPr>
          <w:p>
            <w:pPr>
              <w:spacing w:after="0"/>
            </w:pPr>
            <w:r>
              <w:rPr>
                <w:rFonts w:ascii="Arial" w:cs="Arial" w:eastAsia="Arial" w:hAnsi="Arial"/>
                <w:color w:val="333333"/>
                <w:sz w:val="18"/>
                <w:szCs w:val="18"/>
              </w:rPr>
              <w:t xml:space="preserve">V3 (if search succeeds)</w:t>
            </w:r>
          </w:p>
        </w:tc>
        <w:tc>
          <w:tcPr>
            <w:tcW w:type="dxa" w:w="1800"/>
            <w:shd w:fill="F5F4F0" w:val="clear"/>
          </w:tcPr>
          <w:p>
            <w:pPr>
              <w:spacing w:after="0"/>
            </w:pPr>
            <w:r>
              <w:rPr>
                <w:rFonts w:ascii="Arial" w:cs="Arial" w:eastAsia="Arial" w:hAnsi="Arial"/>
                <w:color w:val="333333"/>
                <w:sz w:val="18"/>
                <w:szCs w:val="18"/>
              </w:rPr>
              <w:t xml:space="preserve">NOT RECOMMENDED</w:t>
            </w:r>
          </w:p>
        </w:tc>
        <w:tc>
          <w:tcPr>
            <w:tcW w:type="dxa" w:w="2260"/>
            <w:shd w:fill="F5F4F0" w:val="clear"/>
          </w:tcPr>
          <w:p>
            <w:pPr>
              <w:spacing w:after="0"/>
            </w:pPr>
            <w:r>
              <w:rPr>
                <w:rFonts w:ascii="Arial" w:cs="Arial" w:eastAsia="Arial" w:hAnsi="Arial"/>
                <w:color w:val="333333"/>
                <w:sz w:val="18"/>
                <w:szCs w:val="18"/>
              </w:rPr>
              <w:t xml:space="preserve">V2 (Kenya), V3 (Nigeria)</w:t>
            </w:r>
          </w:p>
        </w:tc>
      </w:tr>
    </w:tbl>
    <w:p>
      <w:pPr>
        <w:pStyle w:val="Heading1"/>
        <w:spacing w:after="200" w:before="400"/>
      </w:pPr>
      <w:r>
        <w:rPr>
          <w:rFonts w:ascii="Arial" w:cs="Arial" w:eastAsia="Arial" w:hAnsi="Arial"/>
          <w:b/>
          <w:bCs/>
          <w:color w:val="022B1E"/>
          <w:sz w:val="28"/>
          <w:szCs w:val="28"/>
        </w:rPr>
        <w:t xml:space="preserve">4. Nigeria Company Registration (CAMA 2020)</w:t>
      </w:r>
    </w:p>
    <w:p>
      <w:pPr>
        <w:spacing w:after="140" w:line="276"/>
      </w:pPr>
      <w:r>
        <w:rPr>
          <w:rFonts w:ascii="Arial" w:cs="Arial" w:eastAsia="Arial" w:hAnsi="Arial"/>
          <w:color w:val="333333"/>
          <w:sz w:val="20"/>
          <w:szCs w:val="20"/>
        </w:rPr>
        <w:t xml:space="preserve">Regardless of which market entry option is chosen (A, B, or C), operating in Nigeria requires a locally incorporated entity. This section covers the registration process.</w:t>
      </w:r>
    </w:p>
    <w:p>
      <w:pPr>
        <w:spacing w:after="0"/>
      </w:pPr>
    </w:p>
    <w:p>
      <w:pPr>
        <w:pStyle w:val="Heading2"/>
        <w:spacing w:after="160" w:before="300"/>
      </w:pPr>
      <w:r>
        <w:rPr>
          <w:rFonts w:ascii="Arial" w:cs="Arial" w:eastAsia="Arial" w:hAnsi="Arial"/>
          <w:b/>
          <w:bCs/>
          <w:color w:val="0B6E4F"/>
          <w:sz w:val="24"/>
          <w:szCs w:val="24"/>
        </w:rPr>
        <w:t xml:space="preserve">4.1 Entity Type</w:t>
      </w:r>
    </w:p>
    <w:p>
      <w:pPr>
        <w:spacing w:after="140" w:line="276"/>
      </w:pPr>
      <w:r>
        <w:rPr>
          <w:rFonts w:ascii="Arial" w:cs="Arial" w:eastAsia="Arial" w:hAnsi="Arial"/>
          <w:b/>
          <w:bCs/>
          <w:color w:val="333333"/>
          <w:sz w:val="20"/>
          <w:szCs w:val="20"/>
        </w:rPr>
        <w:t xml:space="preserve">Recommended: </w:t>
      </w:r>
      <w:r>
        <w:rPr>
          <w:rFonts w:ascii="Arial" w:cs="Arial" w:eastAsia="Arial" w:hAnsi="Arial"/>
          <w:color w:val="333333"/>
          <w:sz w:val="20"/>
          <w:szCs w:val="20"/>
        </w:rPr>
        <w:t xml:space="preserve">Private company limited by shares (EyeOnSite Nigeria Ltd)</w:t>
      </w:r>
    </w:p>
    <w:p>
      <w:pPr>
        <w:spacing w:after="0"/>
      </w:pPr>
    </w:p>
    <w:p>
      <w:pPr>
        <w:spacing w:after="120" w:before="200"/>
      </w:pPr>
      <w:r>
        <w:rPr>
          <w:rFonts w:ascii="Arial" w:cs="Arial" w:eastAsia="Arial" w:hAnsi="Arial"/>
          <w:b/>
          <w:bCs/>
          <w:color w:val="4A4A47"/>
          <w:sz w:val="22"/>
          <w:szCs w:val="22"/>
        </w:rPr>
        <w:t xml:space="preserve">CAMA 2020 Requirements for Foreign-Owned Companies</w:t>
      </w:r>
    </w:p>
    <w:p>
      <w:pPr>
        <w:pStyle w:val="ListParagraph"/>
        <w:numPr>
          <w:ilvl w:val="0"/>
          <w:numId w:val="2"/>
        </w:numPr>
        <w:spacing w:after="80" w:line="276"/>
      </w:pPr>
      <w:r>
        <w:rPr>
          <w:rFonts w:ascii="Arial" w:cs="Arial" w:eastAsia="Arial" w:hAnsi="Arial"/>
          <w:color w:val="333333"/>
          <w:sz w:val="20"/>
          <w:szCs w:val="20"/>
        </w:rPr>
        <w:t xml:space="preserve">Minimum share capital: ₦100,000,000 (approximately $65,000 at current rates) for foreign-owned companies. This is a stated capital requirement — it does not need to be fully paid up at incorporation, but must be declared.</w:t>
      </w:r>
    </w:p>
    <w:p>
      <w:pPr>
        <w:pStyle w:val="ListParagraph"/>
        <w:numPr>
          <w:ilvl w:val="0"/>
          <w:numId w:val="2"/>
        </w:numPr>
        <w:spacing w:after="80" w:line="276"/>
      </w:pPr>
      <w:r>
        <w:rPr>
          <w:rFonts w:ascii="Arial" w:cs="Arial" w:eastAsia="Arial" w:hAnsi="Arial"/>
          <w:color w:val="333333"/>
          <w:sz w:val="20"/>
          <w:szCs w:val="20"/>
        </w:rPr>
        <w:t xml:space="preserve">Minimum 2 directors (foreign-owned companies do not qualify as 'small companies' under CAMA).</w:t>
      </w:r>
    </w:p>
    <w:p>
      <w:pPr>
        <w:pStyle w:val="ListParagraph"/>
        <w:numPr>
          <w:ilvl w:val="0"/>
          <w:numId w:val="2"/>
        </w:numPr>
        <w:spacing w:after="80" w:line="276"/>
      </w:pPr>
      <w:r>
        <w:rPr>
          <w:rFonts w:ascii="Arial" w:cs="Arial" w:eastAsia="Arial" w:hAnsi="Arial"/>
          <w:color w:val="333333"/>
          <w:sz w:val="20"/>
          <w:szCs w:val="20"/>
        </w:rPr>
        <w:t xml:space="preserve">At least one director must be ordinarily resident in Nigeria — this is the Country Representative or Nigerian co-founder.</w:t>
      </w:r>
    </w:p>
    <w:p>
      <w:pPr>
        <w:pStyle w:val="ListParagraph"/>
        <w:numPr>
          <w:ilvl w:val="0"/>
          <w:numId w:val="2"/>
        </w:numPr>
        <w:spacing w:after="80" w:line="276"/>
      </w:pPr>
      <w:r>
        <w:rPr>
          <w:rFonts w:ascii="Arial" w:cs="Arial" w:eastAsia="Arial" w:hAnsi="Arial"/>
          <w:color w:val="333333"/>
          <w:sz w:val="20"/>
          <w:szCs w:val="20"/>
        </w:rPr>
        <w:t xml:space="preserve">Company secretary required for non-small companies.</w:t>
      </w:r>
    </w:p>
    <w:p>
      <w:pPr>
        <w:pStyle w:val="ListParagraph"/>
        <w:numPr>
          <w:ilvl w:val="0"/>
          <w:numId w:val="2"/>
        </w:numPr>
        <w:spacing w:after="80" w:line="276"/>
      </w:pPr>
      <w:r>
        <w:rPr>
          <w:rFonts w:ascii="Arial" w:cs="Arial" w:eastAsia="Arial" w:hAnsi="Arial"/>
          <w:color w:val="333333"/>
          <w:sz w:val="20"/>
          <w:szCs w:val="20"/>
        </w:rPr>
        <w:t xml:space="preserve">Persons with Significant Control (PSC) must be declared to CAC's Open Ownership Register — Manti Labs LLC and Maku Mazakpe would be disclosed.</w:t>
      </w:r>
    </w:p>
    <w:p>
      <w:pPr>
        <w:pStyle w:val="ListParagraph"/>
        <w:numPr>
          <w:ilvl w:val="0"/>
          <w:numId w:val="2"/>
        </w:numPr>
        <w:spacing w:after="80" w:line="276"/>
      </w:pPr>
      <w:r>
        <w:rPr>
          <w:rFonts w:ascii="Arial" w:cs="Arial" w:eastAsia="Arial" w:hAnsi="Arial"/>
          <w:color w:val="333333"/>
          <w:sz w:val="20"/>
          <w:szCs w:val="20"/>
        </w:rPr>
        <w:t xml:space="preserve">Business Permit required from the Ministry of Interior (via the EAS portal, fully digital as of 2025). Authorizes the company to operate with foreign ownership.</w:t>
      </w:r>
    </w:p>
    <w:p>
      <w:pPr>
        <w:pStyle w:val="ListParagraph"/>
        <w:numPr>
          <w:ilvl w:val="0"/>
          <w:numId w:val="2"/>
        </w:numPr>
        <w:spacing w:after="80" w:line="276"/>
      </w:pPr>
      <w:r>
        <w:rPr>
          <w:rFonts w:ascii="Arial" w:cs="Arial" w:eastAsia="Arial" w:hAnsi="Arial"/>
          <w:color w:val="333333"/>
          <w:sz w:val="20"/>
          <w:szCs w:val="20"/>
        </w:rPr>
        <w:t xml:space="preserve">Expatriate Quota: if any non-Nigerian will work in Nigeria (e.g., the Founder visiting for extended periods), an expatriate quota position must be applied for.</w:t>
      </w:r>
    </w:p>
    <w:p>
      <w:pPr>
        <w:spacing w:after="0"/>
      </w:pPr>
    </w:p>
    <w:p>
      <w:pPr>
        <w:spacing w:after="120" w:before="200"/>
      </w:pPr>
      <w:r>
        <w:rPr>
          <w:rFonts w:ascii="Arial" w:cs="Arial" w:eastAsia="Arial" w:hAnsi="Arial"/>
          <w:b/>
          <w:bCs/>
          <w:color w:val="4A4A47"/>
          <w:sz w:val="22"/>
          <w:szCs w:val="22"/>
        </w:rPr>
        <w:t xml:space="preserve">Registration Process</w:t>
      </w:r>
    </w:p>
    <w:p>
      <w:pPr>
        <w:pStyle w:val="ListParagraph"/>
        <w:numPr>
          <w:ilvl w:val="0"/>
          <w:numId w:val="2"/>
        </w:numPr>
        <w:spacing w:after="80" w:line="276"/>
      </w:pPr>
      <w:r>
        <w:rPr>
          <w:rFonts w:ascii="Arial" w:cs="Arial" w:eastAsia="Arial" w:hAnsi="Arial"/>
          <w:color w:val="333333"/>
          <w:sz w:val="20"/>
          <w:szCs w:val="20"/>
        </w:rPr>
        <w:t xml:space="preserve">Step 1: Name reservation on CAC portal (e-cac.cac.gov.ng). Provide 2 proposed names. Fee: ₦500.</w:t>
      </w:r>
    </w:p>
    <w:p>
      <w:pPr>
        <w:pStyle w:val="ListParagraph"/>
        <w:numPr>
          <w:ilvl w:val="0"/>
          <w:numId w:val="2"/>
        </w:numPr>
        <w:spacing w:after="80" w:line="276"/>
      </w:pPr>
      <w:r>
        <w:rPr>
          <w:rFonts w:ascii="Arial" w:cs="Arial" w:eastAsia="Arial" w:hAnsi="Arial"/>
          <w:color w:val="333333"/>
          <w:sz w:val="20"/>
          <w:szCs w:val="20"/>
        </w:rPr>
        <w:t xml:space="preserve">Step 2: Prepare Memorandum and Articles of Association, Form CAC 1.1 (application), beneficial ownership declaration.</w:t>
      </w:r>
    </w:p>
    <w:p>
      <w:pPr>
        <w:pStyle w:val="ListParagraph"/>
        <w:numPr>
          <w:ilvl w:val="0"/>
          <w:numId w:val="2"/>
        </w:numPr>
        <w:spacing w:after="80" w:line="276"/>
      </w:pPr>
      <w:r>
        <w:rPr>
          <w:rFonts w:ascii="Arial" w:cs="Arial" w:eastAsia="Arial" w:hAnsi="Arial"/>
          <w:color w:val="333333"/>
          <w:sz w:val="20"/>
          <w:szCs w:val="20"/>
        </w:rPr>
        <w:t xml:space="preserve">Step 3: Submit all documents via CAC online portal with payment.</w:t>
      </w:r>
    </w:p>
    <w:p>
      <w:pPr>
        <w:pStyle w:val="ListParagraph"/>
        <w:numPr>
          <w:ilvl w:val="0"/>
          <w:numId w:val="2"/>
        </w:numPr>
        <w:spacing w:after="80" w:line="276"/>
      </w:pPr>
      <w:r>
        <w:rPr>
          <w:rFonts w:ascii="Arial" w:cs="Arial" w:eastAsia="Arial" w:hAnsi="Arial"/>
          <w:color w:val="333333"/>
          <w:sz w:val="20"/>
          <w:szCs w:val="20"/>
        </w:rPr>
        <w:t xml:space="preserve">Step 4: CAC reviews and issues Certificate of Incorporation.</w:t>
      </w:r>
    </w:p>
    <w:p>
      <w:pPr>
        <w:pStyle w:val="ListParagraph"/>
        <w:numPr>
          <w:ilvl w:val="0"/>
          <w:numId w:val="2"/>
        </w:numPr>
        <w:spacing w:after="80" w:line="276"/>
      </w:pPr>
      <w:r>
        <w:rPr>
          <w:rFonts w:ascii="Arial" w:cs="Arial" w:eastAsia="Arial" w:hAnsi="Arial"/>
          <w:color w:val="333333"/>
          <w:sz w:val="20"/>
          <w:szCs w:val="20"/>
        </w:rPr>
        <w:t xml:space="preserve">Step 5: Register with NIPC (Nigerian Investment Promotion Commission) for investment recognition and protection.</w:t>
      </w:r>
    </w:p>
    <w:p>
      <w:pPr>
        <w:pStyle w:val="ListParagraph"/>
        <w:numPr>
          <w:ilvl w:val="0"/>
          <w:numId w:val="2"/>
        </w:numPr>
        <w:spacing w:after="80" w:line="276"/>
      </w:pPr>
      <w:r>
        <w:rPr>
          <w:rFonts w:ascii="Arial" w:cs="Arial" w:eastAsia="Arial" w:hAnsi="Arial"/>
          <w:color w:val="333333"/>
          <w:sz w:val="20"/>
          <w:szCs w:val="20"/>
        </w:rPr>
        <w:t xml:space="preserve">Step 6: Obtain TIN from FIRS (Federal Inland Revenue Service).</w:t>
      </w:r>
    </w:p>
    <w:p>
      <w:pPr>
        <w:pStyle w:val="ListParagraph"/>
        <w:numPr>
          <w:ilvl w:val="0"/>
          <w:numId w:val="2"/>
        </w:numPr>
        <w:spacing w:after="80" w:line="276"/>
      </w:pPr>
      <w:r>
        <w:rPr>
          <w:rFonts w:ascii="Arial" w:cs="Arial" w:eastAsia="Arial" w:hAnsi="Arial"/>
          <w:color w:val="333333"/>
          <w:sz w:val="20"/>
          <w:szCs w:val="20"/>
        </w:rPr>
        <w:t xml:space="preserve">Step 7: Register for VAT with FIRS.</w:t>
      </w:r>
    </w:p>
    <w:p>
      <w:pPr>
        <w:pStyle w:val="ListParagraph"/>
        <w:numPr>
          <w:ilvl w:val="0"/>
          <w:numId w:val="2"/>
        </w:numPr>
        <w:spacing w:after="80" w:line="276"/>
      </w:pPr>
      <w:r>
        <w:rPr>
          <w:rFonts w:ascii="Arial" w:cs="Arial" w:eastAsia="Arial" w:hAnsi="Arial"/>
          <w:color w:val="333333"/>
          <w:sz w:val="20"/>
          <w:szCs w:val="20"/>
        </w:rPr>
        <w:t xml:space="preserve">Step 8: Apply for Business Permit and Expatriate Quota via EAS portal (eas.interior.gov.ng).</w:t>
      </w:r>
    </w:p>
    <w:p>
      <w:pPr>
        <w:pStyle w:val="ListParagraph"/>
        <w:numPr>
          <w:ilvl w:val="0"/>
          <w:numId w:val="2"/>
        </w:numPr>
        <w:spacing w:after="80" w:line="276"/>
      </w:pPr>
      <w:r>
        <w:rPr>
          <w:rFonts w:ascii="Arial" w:cs="Arial" w:eastAsia="Arial" w:hAnsi="Arial"/>
          <w:color w:val="333333"/>
          <w:sz w:val="20"/>
          <w:szCs w:val="20"/>
        </w:rPr>
        <w:t xml:space="preserve">Step 9: Open corporate bank account (Stanbic IBTC, Access Bank, GT Bank, or First Bank recommended for tech companies).</w:t>
      </w:r>
    </w:p>
    <w:p>
      <w:pPr>
        <w:spacing w:after="0"/>
      </w:pPr>
    </w:p>
    <w:p>
      <w:pPr>
        <w:spacing w:after="120" w:before="200"/>
      </w:pPr>
      <w:r>
        <w:rPr>
          <w:rFonts w:ascii="Arial" w:cs="Arial" w:eastAsia="Arial" w:hAnsi="Arial"/>
          <w:b/>
          <w:bCs/>
          <w:color w:val="4A4A47"/>
          <w:sz w:val="22"/>
          <w:szCs w:val="22"/>
        </w:rPr>
        <w:t xml:space="preserve">Estimated Registration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022B1E" w:val="clear"/>
          </w:tcPr>
          <w:p>
            <w:pPr>
              <w:spacing w:after="0"/>
            </w:pPr>
            <w:r>
              <w:rPr>
                <w:rFonts w:ascii="Arial" w:cs="Arial" w:eastAsia="Arial" w:hAnsi="Arial"/>
                <w:b/>
                <w:bCs/>
                <w:color w:val="FFFFFF"/>
                <w:sz w:val="18"/>
                <w:szCs w:val="18"/>
              </w:rPr>
              <w:t xml:space="preserve">Item</w:t>
            </w:r>
          </w:p>
        </w:tc>
        <w:tc>
          <w:tcPr>
            <w:tcW w:type="dxa" w:w="2680"/>
            <w:shd w:fill="022B1E" w:val="clear"/>
          </w:tcPr>
          <w:p>
            <w:pPr>
              <w:spacing w:after="0"/>
            </w:pPr>
            <w:r>
              <w:rPr>
                <w:rFonts w:ascii="Arial" w:cs="Arial" w:eastAsia="Arial" w:hAnsi="Arial"/>
                <w:b/>
                <w:bCs/>
                <w:color w:val="FFFFFF"/>
                <w:sz w:val="18"/>
                <w:szCs w:val="18"/>
              </w:rPr>
              <w:t xml:space="preserve">Cost (₦)</w:t>
            </w:r>
          </w:p>
        </w:tc>
        <w:tc>
          <w:tcPr>
            <w:tcW w:type="dxa" w:w="2680"/>
            <w:shd w:fill="022B1E" w:val="clear"/>
          </w:tcPr>
          <w:p>
            <w:pPr>
              <w:spacing w:after="0"/>
            </w:pPr>
            <w:r>
              <w:rPr>
                <w:rFonts w:ascii="Arial" w:cs="Arial" w:eastAsia="Arial" w:hAnsi="Arial"/>
                <w:b/>
                <w:bCs/>
                <w:color w:val="FFFFFF"/>
                <w:sz w:val="18"/>
                <w:szCs w:val="18"/>
              </w:rPr>
              <w:t xml:space="preserve">Cost (USD)</w:t>
            </w:r>
          </w:p>
        </w:tc>
      </w:tr>
      <w:tr>
        <w:tc>
          <w:tcPr>
            <w:tcW w:type="dxa" w:w="4000"/>
            <w:shd w:fill="F5F4F0" w:val="clear"/>
          </w:tcPr>
          <w:p>
            <w:pPr>
              <w:spacing w:after="0"/>
            </w:pPr>
            <w:r>
              <w:rPr>
                <w:rFonts w:ascii="Arial" w:cs="Arial" w:eastAsia="Arial" w:hAnsi="Arial"/>
                <w:color w:val="333333"/>
                <w:sz w:val="18"/>
                <w:szCs w:val="18"/>
              </w:rPr>
              <w:t xml:space="preserve">Name reservation</w:t>
            </w:r>
          </w:p>
        </w:tc>
        <w:tc>
          <w:tcPr>
            <w:tcW w:type="dxa" w:w="2680"/>
            <w:shd w:fill="F5F4F0" w:val="clear"/>
          </w:tcPr>
          <w:p>
            <w:pPr>
              <w:spacing w:after="0"/>
            </w:pPr>
            <w:r>
              <w:rPr>
                <w:rFonts w:ascii="Arial" w:cs="Arial" w:eastAsia="Arial" w:hAnsi="Arial"/>
                <w:color w:val="333333"/>
                <w:sz w:val="18"/>
                <w:szCs w:val="18"/>
              </w:rPr>
              <w:t xml:space="preserve">500</w:t>
            </w:r>
          </w:p>
        </w:tc>
        <w:tc>
          <w:tcPr>
            <w:tcW w:type="dxa" w:w="2680"/>
            <w:shd w:fill="F5F4F0" w:val="clear"/>
          </w:tcPr>
          <w:p>
            <w:pPr>
              <w:spacing w:after="0"/>
            </w:pPr>
            <w:r>
              <w:rPr>
                <w:rFonts w:ascii="Arial" w:cs="Arial" w:eastAsia="Arial" w:hAnsi="Arial"/>
                <w:color w:val="333333"/>
                <w:sz w:val="18"/>
                <w:szCs w:val="18"/>
              </w:rPr>
              <w:t xml:space="preserve">~$0.33</w:t>
            </w:r>
          </w:p>
        </w:tc>
      </w:tr>
      <w:tr>
        <w:tc>
          <w:tcPr>
            <w:tcW w:type="dxa" w:w="4000"/>
            <w:shd w:fill="FFFFFF" w:val="clear"/>
          </w:tcPr>
          <w:p>
            <w:pPr>
              <w:spacing w:after="0"/>
            </w:pPr>
            <w:r>
              <w:rPr>
                <w:rFonts w:ascii="Arial" w:cs="Arial" w:eastAsia="Arial" w:hAnsi="Arial"/>
                <w:color w:val="333333"/>
                <w:sz w:val="18"/>
                <w:szCs w:val="18"/>
              </w:rPr>
              <w:t xml:space="preserve">CAC registration fees (filing + stamp duty)</w:t>
            </w:r>
          </w:p>
        </w:tc>
        <w:tc>
          <w:tcPr>
            <w:tcW w:type="dxa" w:w="2680"/>
            <w:shd w:fill="FFFFFF" w:val="clear"/>
          </w:tcPr>
          <w:p>
            <w:pPr>
              <w:spacing w:after="0"/>
            </w:pPr>
            <w:r>
              <w:rPr>
                <w:rFonts w:ascii="Arial" w:cs="Arial" w:eastAsia="Arial" w:hAnsi="Arial"/>
                <w:color w:val="333333"/>
                <w:sz w:val="18"/>
                <w:szCs w:val="18"/>
              </w:rPr>
              <w:t xml:space="preserve">~150,000-300,000</w:t>
            </w:r>
          </w:p>
        </w:tc>
        <w:tc>
          <w:tcPr>
            <w:tcW w:type="dxa" w:w="2680"/>
            <w:shd w:fill="FFFFFF" w:val="clear"/>
          </w:tcPr>
          <w:p>
            <w:pPr>
              <w:spacing w:after="0"/>
            </w:pPr>
            <w:r>
              <w:rPr>
                <w:rFonts w:ascii="Arial" w:cs="Arial" w:eastAsia="Arial" w:hAnsi="Arial"/>
                <w:color w:val="333333"/>
                <w:sz w:val="18"/>
                <w:szCs w:val="18"/>
              </w:rPr>
              <w:t xml:space="preserve">~$100-200</w:t>
            </w:r>
          </w:p>
        </w:tc>
      </w:tr>
      <w:tr>
        <w:tc>
          <w:tcPr>
            <w:tcW w:type="dxa" w:w="4000"/>
            <w:shd w:fill="F5F4F0" w:val="clear"/>
          </w:tcPr>
          <w:p>
            <w:pPr>
              <w:spacing w:after="0"/>
            </w:pPr>
            <w:r>
              <w:rPr>
                <w:rFonts w:ascii="Arial" w:cs="Arial" w:eastAsia="Arial" w:hAnsi="Arial"/>
                <w:color w:val="333333"/>
                <w:sz w:val="18"/>
                <w:szCs w:val="18"/>
              </w:rPr>
              <w:t xml:space="preserve">Legal fees (lawyer preparation of documents)</w:t>
            </w:r>
          </w:p>
        </w:tc>
        <w:tc>
          <w:tcPr>
            <w:tcW w:type="dxa" w:w="2680"/>
            <w:shd w:fill="F5F4F0" w:val="clear"/>
          </w:tcPr>
          <w:p>
            <w:pPr>
              <w:spacing w:after="0"/>
            </w:pPr>
            <w:r>
              <w:rPr>
                <w:rFonts w:ascii="Arial" w:cs="Arial" w:eastAsia="Arial" w:hAnsi="Arial"/>
                <w:color w:val="333333"/>
                <w:sz w:val="18"/>
                <w:szCs w:val="18"/>
              </w:rPr>
              <w:t xml:space="preserve">~500,000-1,500,000</w:t>
            </w:r>
          </w:p>
        </w:tc>
        <w:tc>
          <w:tcPr>
            <w:tcW w:type="dxa" w:w="2680"/>
            <w:shd w:fill="F5F4F0" w:val="clear"/>
          </w:tcPr>
          <w:p>
            <w:pPr>
              <w:spacing w:after="0"/>
            </w:pPr>
            <w:r>
              <w:rPr>
                <w:rFonts w:ascii="Arial" w:cs="Arial" w:eastAsia="Arial" w:hAnsi="Arial"/>
                <w:color w:val="333333"/>
                <w:sz w:val="18"/>
                <w:szCs w:val="18"/>
              </w:rPr>
              <w:t xml:space="preserve">~$330-1,000</w:t>
            </w:r>
          </w:p>
        </w:tc>
      </w:tr>
      <w:tr>
        <w:tc>
          <w:tcPr>
            <w:tcW w:type="dxa" w:w="4000"/>
            <w:shd w:fill="FFFFFF" w:val="clear"/>
          </w:tcPr>
          <w:p>
            <w:pPr>
              <w:spacing w:after="0"/>
            </w:pPr>
            <w:r>
              <w:rPr>
                <w:rFonts w:ascii="Arial" w:cs="Arial" w:eastAsia="Arial" w:hAnsi="Arial"/>
                <w:color w:val="333333"/>
                <w:sz w:val="18"/>
                <w:szCs w:val="18"/>
              </w:rPr>
              <w:t xml:space="preserve">NIPC registration</w:t>
            </w:r>
          </w:p>
        </w:tc>
        <w:tc>
          <w:tcPr>
            <w:tcW w:type="dxa" w:w="2680"/>
            <w:shd w:fill="FFFFFF" w:val="clear"/>
          </w:tcPr>
          <w:p>
            <w:pPr>
              <w:spacing w:after="0"/>
            </w:pPr>
            <w:r>
              <w:rPr>
                <w:rFonts w:ascii="Arial" w:cs="Arial" w:eastAsia="Arial" w:hAnsi="Arial"/>
                <w:color w:val="333333"/>
                <w:sz w:val="18"/>
                <w:szCs w:val="18"/>
              </w:rPr>
              <w:t xml:space="preserve">~50,000</w:t>
            </w:r>
          </w:p>
        </w:tc>
        <w:tc>
          <w:tcPr>
            <w:tcW w:type="dxa" w:w="2680"/>
            <w:shd w:fill="FFFFFF" w:val="clear"/>
          </w:tcPr>
          <w:p>
            <w:pPr>
              <w:spacing w:after="0"/>
            </w:pPr>
            <w:r>
              <w:rPr>
                <w:rFonts w:ascii="Arial" w:cs="Arial" w:eastAsia="Arial" w:hAnsi="Arial"/>
                <w:color w:val="333333"/>
                <w:sz w:val="18"/>
                <w:szCs w:val="18"/>
              </w:rPr>
              <w:t xml:space="preserve">~$33</w:t>
            </w:r>
          </w:p>
        </w:tc>
      </w:tr>
      <w:tr>
        <w:tc>
          <w:tcPr>
            <w:tcW w:type="dxa" w:w="4000"/>
            <w:shd w:fill="F5F4F0" w:val="clear"/>
          </w:tcPr>
          <w:p>
            <w:pPr>
              <w:spacing w:after="0"/>
            </w:pPr>
            <w:r>
              <w:rPr>
                <w:rFonts w:ascii="Arial" w:cs="Arial" w:eastAsia="Arial" w:hAnsi="Arial"/>
                <w:color w:val="333333"/>
                <w:sz w:val="18"/>
                <w:szCs w:val="18"/>
              </w:rPr>
              <w:t xml:space="preserve">Business Permit (Ministry of Interior)</w:t>
            </w:r>
          </w:p>
        </w:tc>
        <w:tc>
          <w:tcPr>
            <w:tcW w:type="dxa" w:w="2680"/>
            <w:shd w:fill="F5F4F0" w:val="clear"/>
          </w:tcPr>
          <w:p>
            <w:pPr>
              <w:spacing w:after="0"/>
            </w:pPr>
            <w:r>
              <w:rPr>
                <w:rFonts w:ascii="Arial" w:cs="Arial" w:eastAsia="Arial" w:hAnsi="Arial"/>
                <w:color w:val="333333"/>
                <w:sz w:val="18"/>
                <w:szCs w:val="18"/>
              </w:rPr>
              <w:t xml:space="preserve">~200,000-500,000</w:t>
            </w:r>
          </w:p>
        </w:tc>
        <w:tc>
          <w:tcPr>
            <w:tcW w:type="dxa" w:w="2680"/>
            <w:shd w:fill="F5F4F0" w:val="clear"/>
          </w:tcPr>
          <w:p>
            <w:pPr>
              <w:spacing w:after="0"/>
            </w:pPr>
            <w:r>
              <w:rPr>
                <w:rFonts w:ascii="Arial" w:cs="Arial" w:eastAsia="Arial" w:hAnsi="Arial"/>
                <w:color w:val="333333"/>
                <w:sz w:val="18"/>
                <w:szCs w:val="18"/>
              </w:rPr>
              <w:t xml:space="preserve">~$130-330</w:t>
            </w:r>
          </w:p>
        </w:tc>
      </w:tr>
      <w:tr>
        <w:tc>
          <w:tcPr>
            <w:tcW w:type="dxa" w:w="4000"/>
            <w:shd w:fill="FFFFFF" w:val="clear"/>
          </w:tcPr>
          <w:p>
            <w:pPr>
              <w:spacing w:after="0"/>
            </w:pPr>
            <w:r>
              <w:rPr>
                <w:rFonts w:ascii="Arial" w:cs="Arial" w:eastAsia="Arial" w:hAnsi="Arial"/>
                <w:color w:val="333333"/>
                <w:sz w:val="18"/>
                <w:szCs w:val="18"/>
              </w:rPr>
              <w:t xml:space="preserve">Expatriate Quota (per position, if needed)</w:t>
            </w:r>
          </w:p>
        </w:tc>
        <w:tc>
          <w:tcPr>
            <w:tcW w:type="dxa" w:w="2680"/>
            <w:shd w:fill="FFFFFF" w:val="clear"/>
          </w:tcPr>
          <w:p>
            <w:pPr>
              <w:spacing w:after="0"/>
            </w:pPr>
            <w:r>
              <w:rPr>
                <w:rFonts w:ascii="Arial" w:cs="Arial" w:eastAsia="Arial" w:hAnsi="Arial"/>
                <w:color w:val="333333"/>
                <w:sz w:val="18"/>
                <w:szCs w:val="18"/>
              </w:rPr>
              <w:t xml:space="preserve">~150,000</w:t>
            </w:r>
          </w:p>
        </w:tc>
        <w:tc>
          <w:tcPr>
            <w:tcW w:type="dxa" w:w="2680"/>
            <w:shd w:fill="FFFFFF" w:val="clear"/>
          </w:tcPr>
          <w:p>
            <w:pPr>
              <w:spacing w:after="0"/>
            </w:pPr>
            <w:r>
              <w:rPr>
                <w:rFonts w:ascii="Arial" w:cs="Arial" w:eastAsia="Arial" w:hAnsi="Arial"/>
                <w:color w:val="333333"/>
                <w:sz w:val="18"/>
                <w:szCs w:val="18"/>
              </w:rPr>
              <w:t xml:space="preserve">~$100</w:t>
            </w:r>
          </w:p>
        </w:tc>
      </w:tr>
      <w:tr>
        <w:tc>
          <w:tcPr>
            <w:tcW w:type="dxa" w:w="4000"/>
            <w:shd w:fill="F5F4F0" w:val="clear"/>
          </w:tcPr>
          <w:p>
            <w:pPr>
              <w:spacing w:after="0"/>
            </w:pPr>
            <w:r>
              <w:rPr>
                <w:rFonts w:ascii="Arial" w:cs="Arial" w:eastAsia="Arial" w:hAnsi="Arial"/>
                <w:color w:val="333333"/>
                <w:sz w:val="18"/>
                <w:szCs w:val="18"/>
              </w:rPr>
              <w:t xml:space="preserve">Company seal (optional but banks require)</w:t>
            </w:r>
          </w:p>
        </w:tc>
        <w:tc>
          <w:tcPr>
            <w:tcW w:type="dxa" w:w="2680"/>
            <w:shd w:fill="F5F4F0" w:val="clear"/>
          </w:tcPr>
          <w:p>
            <w:pPr>
              <w:spacing w:after="0"/>
            </w:pPr>
            <w:r>
              <w:rPr>
                <w:rFonts w:ascii="Arial" w:cs="Arial" w:eastAsia="Arial" w:hAnsi="Arial"/>
                <w:color w:val="333333"/>
                <w:sz w:val="18"/>
                <w:szCs w:val="18"/>
              </w:rPr>
              <w:t xml:space="preserve">~20,000-50,000</w:t>
            </w:r>
          </w:p>
        </w:tc>
        <w:tc>
          <w:tcPr>
            <w:tcW w:type="dxa" w:w="2680"/>
            <w:shd w:fill="F5F4F0" w:val="clear"/>
          </w:tcPr>
          <w:p>
            <w:pPr>
              <w:spacing w:after="0"/>
            </w:pPr>
            <w:r>
              <w:rPr>
                <w:rFonts w:ascii="Arial" w:cs="Arial" w:eastAsia="Arial" w:hAnsi="Arial"/>
                <w:color w:val="333333"/>
                <w:sz w:val="18"/>
                <w:szCs w:val="18"/>
              </w:rPr>
              <w:t xml:space="preserve">~$13-33</w:t>
            </w:r>
          </w:p>
        </w:tc>
      </w:tr>
      <w:tr>
        <w:tc>
          <w:tcPr>
            <w:tcW w:type="dxa" w:w="4000"/>
            <w:shd w:fill="FFFFFF" w:val="clear"/>
          </w:tcPr>
          <w:p>
            <w:pPr>
              <w:spacing w:after="0"/>
            </w:pPr>
            <w:r>
              <w:rPr>
                <w:rFonts w:ascii="Arial" w:cs="Arial" w:eastAsia="Arial" w:hAnsi="Arial"/>
                <w:color w:val="333333"/>
                <w:sz w:val="18"/>
                <w:szCs w:val="18"/>
              </w:rPr>
              <w:t xml:space="preserve">Bank account opening (minimum deposit)</w:t>
            </w:r>
          </w:p>
        </w:tc>
        <w:tc>
          <w:tcPr>
            <w:tcW w:type="dxa" w:w="2680"/>
            <w:shd w:fill="FFFFFF" w:val="clear"/>
          </w:tcPr>
          <w:p>
            <w:pPr>
              <w:spacing w:after="0"/>
            </w:pPr>
            <w:r>
              <w:rPr>
                <w:rFonts w:ascii="Arial" w:cs="Arial" w:eastAsia="Arial" w:hAnsi="Arial"/>
                <w:color w:val="333333"/>
                <w:sz w:val="18"/>
                <w:szCs w:val="18"/>
              </w:rPr>
              <w:t xml:space="preserve">~100,000-500,000</w:t>
            </w:r>
          </w:p>
        </w:tc>
        <w:tc>
          <w:tcPr>
            <w:tcW w:type="dxa" w:w="2680"/>
            <w:shd w:fill="FFFFFF" w:val="clear"/>
          </w:tcPr>
          <w:p>
            <w:pPr>
              <w:spacing w:after="0"/>
            </w:pPr>
            <w:r>
              <w:rPr>
                <w:rFonts w:ascii="Arial" w:cs="Arial" w:eastAsia="Arial" w:hAnsi="Arial"/>
                <w:color w:val="333333"/>
                <w:sz w:val="18"/>
                <w:szCs w:val="18"/>
              </w:rPr>
              <w:t xml:space="preserve">~$65-330</w:t>
            </w:r>
          </w:p>
        </w:tc>
      </w:tr>
      <w:tr>
        <w:tc>
          <w:tcPr>
            <w:tcW w:type="dxa" w:w="4000"/>
            <w:shd w:fill="F5F4F0" w:val="clear"/>
          </w:tcPr>
          <w:p>
            <w:pPr>
              <w:spacing w:after="0"/>
            </w:pPr>
            <w:r>
              <w:rPr>
                <w:rFonts w:ascii="Arial" w:cs="Arial" w:eastAsia="Arial" w:hAnsi="Arial"/>
                <w:color w:val="333333"/>
                <w:sz w:val="18"/>
                <w:szCs w:val="18"/>
              </w:rPr>
              <w:t xml:space="preserve">TOTAL</w:t>
            </w:r>
          </w:p>
        </w:tc>
        <w:tc>
          <w:tcPr>
            <w:tcW w:type="dxa" w:w="2680"/>
            <w:shd w:fill="F5F4F0" w:val="clear"/>
          </w:tcPr>
          <w:p>
            <w:pPr>
              <w:spacing w:after="0"/>
            </w:pPr>
            <w:r>
              <w:rPr>
                <w:rFonts w:ascii="Arial" w:cs="Arial" w:eastAsia="Arial" w:hAnsi="Arial"/>
                <w:color w:val="333333"/>
                <w:sz w:val="18"/>
                <w:szCs w:val="18"/>
              </w:rPr>
              <w:t xml:space="preserve">~1,170,000-3,050,000</w:t>
            </w:r>
          </w:p>
        </w:tc>
        <w:tc>
          <w:tcPr>
            <w:tcW w:type="dxa" w:w="2680"/>
            <w:shd w:fill="F5F4F0" w:val="clear"/>
          </w:tcPr>
          <w:p>
            <w:pPr>
              <w:spacing w:after="0"/>
            </w:pPr>
            <w:r>
              <w:rPr>
                <w:rFonts w:ascii="Arial" w:cs="Arial" w:eastAsia="Arial" w:hAnsi="Arial"/>
                <w:color w:val="333333"/>
                <w:sz w:val="18"/>
                <w:szCs w:val="18"/>
              </w:rPr>
              <w:t xml:space="preserve">~$770-2,030</w:t>
            </w:r>
          </w:p>
        </w:tc>
      </w:tr>
    </w:tbl>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The ₦100 million stated capital requirement is the biggest barrier. While it doesn't need to be paid up immediately, it must be declared, and the Ministry of Interior has been enforcing this for Business Permits. If the actual paid-up capital is significantly lower than ₦100 million, the company may face challenges opening bank accounts or obtaining certain regulatory approvals. Budget at least $5,000-10,000 in actual paid-up capital for the Nigerian entity.</w:t>
      </w:r>
    </w:p>
    <w:p>
      <w:pPr>
        <w:pStyle w:val="Heading1"/>
        <w:spacing w:after="200" w:before="400"/>
      </w:pPr>
      <w:r>
        <w:rPr>
          <w:rFonts w:ascii="Arial" w:cs="Arial" w:eastAsia="Arial" w:hAnsi="Arial"/>
          <w:b/>
          <w:bCs/>
          <w:color w:val="022B1E"/>
          <w:sz w:val="28"/>
          <w:szCs w:val="28"/>
        </w:rPr>
        <w:t xml:space="preserve">5. Data Protection — Nigeria NDPA 2023</w:t>
      </w:r>
    </w:p>
    <w:p>
      <w:pPr>
        <w:spacing w:after="140" w:line="276"/>
      </w:pPr>
      <w:r>
        <w:rPr>
          <w:rFonts w:ascii="Arial" w:cs="Arial" w:eastAsia="Arial" w:hAnsi="Arial"/>
          <w:b/>
          <w:bCs/>
          <w:color w:val="333333"/>
          <w:sz w:val="20"/>
          <w:szCs w:val="20"/>
        </w:rPr>
        <w:t xml:space="preserve">Law: </w:t>
      </w:r>
      <w:r>
        <w:rPr>
          <w:rFonts w:ascii="Arial" w:cs="Arial" w:eastAsia="Arial" w:hAnsi="Arial"/>
          <w:color w:val="333333"/>
          <w:sz w:val="20"/>
          <w:szCs w:val="20"/>
        </w:rPr>
        <w:t xml:space="preserve">Nigeria Data Protection Act 2023 (NDPA)</w:t>
      </w:r>
    </w:p>
    <w:p>
      <w:pPr>
        <w:spacing w:after="140" w:line="276"/>
      </w:pPr>
      <w:r>
        <w:rPr>
          <w:rFonts w:ascii="Arial" w:cs="Arial" w:eastAsia="Arial" w:hAnsi="Arial"/>
          <w:b/>
          <w:bCs/>
          <w:color w:val="333333"/>
          <w:sz w:val="20"/>
          <w:szCs w:val="20"/>
        </w:rPr>
        <w:t xml:space="preserve">Regulations: </w:t>
      </w:r>
      <w:r>
        <w:rPr>
          <w:rFonts w:ascii="Arial" w:cs="Arial" w:eastAsia="Arial" w:hAnsi="Arial"/>
          <w:color w:val="333333"/>
          <w:sz w:val="20"/>
          <w:szCs w:val="20"/>
        </w:rPr>
        <w:t xml:space="preserve">General Application and Implementation Directive (GAID) 2025</w:t>
      </w:r>
    </w:p>
    <w:p>
      <w:pPr>
        <w:spacing w:after="140" w:line="276"/>
      </w:pPr>
      <w:r>
        <w:rPr>
          <w:rFonts w:ascii="Arial" w:cs="Arial" w:eastAsia="Arial" w:hAnsi="Arial"/>
          <w:b/>
          <w:bCs/>
          <w:color w:val="333333"/>
          <w:sz w:val="20"/>
          <w:szCs w:val="20"/>
        </w:rPr>
        <w:t xml:space="preserve">Authority: </w:t>
      </w:r>
      <w:r>
        <w:rPr>
          <w:rFonts w:ascii="Arial" w:cs="Arial" w:eastAsia="Arial" w:hAnsi="Arial"/>
          <w:color w:val="333333"/>
          <w:sz w:val="20"/>
          <w:szCs w:val="20"/>
        </w:rPr>
        <w:t xml:space="preserve">Nigeria Data Protection Commission (NDPC)</w:t>
      </w:r>
    </w:p>
    <w:p>
      <w:pPr>
        <w:spacing w:after="140" w:line="276"/>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Africa's strictest data protection regime. Active enforcement.</w:t>
      </w:r>
    </w:p>
    <w:p>
      <w:pPr>
        <w:spacing w:after="0"/>
      </w:pPr>
    </w:p>
    <w:p>
      <w:pPr>
        <w:pStyle w:val="Heading2"/>
        <w:spacing w:after="160" w:before="300"/>
      </w:pPr>
      <w:r>
        <w:rPr>
          <w:rFonts w:ascii="Arial" w:cs="Arial" w:eastAsia="Arial" w:hAnsi="Arial"/>
          <w:b/>
          <w:bCs/>
          <w:color w:val="0B6E4F"/>
          <w:sz w:val="24"/>
          <w:szCs w:val="24"/>
        </w:rPr>
        <w:t xml:space="preserve">5.1 Key Requirements</w:t>
      </w:r>
    </w:p>
    <w:p>
      <w:pPr>
        <w:pStyle w:val="ListParagraph"/>
        <w:numPr>
          <w:ilvl w:val="0"/>
          <w:numId w:val="2"/>
        </w:numPr>
        <w:spacing w:after="80" w:line="276"/>
      </w:pPr>
      <w:r>
        <w:rPr>
          <w:rFonts w:ascii="Arial" w:cs="Arial" w:eastAsia="Arial" w:hAnsi="Arial"/>
          <w:color w:val="333333"/>
          <w:sz w:val="20"/>
          <w:szCs w:val="20"/>
        </w:rPr>
        <w:t xml:space="preserve">Register with NDPC as a data controller/processor. Organizations processing data of 200+ data subjects within 6 months are classified as 'Data Controllers/Processors of Major Importance' (DCPMI) with enhanced obligations.</w:t>
      </w:r>
    </w:p>
    <w:p>
      <w:pPr>
        <w:pStyle w:val="ListParagraph"/>
        <w:numPr>
          <w:ilvl w:val="0"/>
          <w:numId w:val="2"/>
        </w:numPr>
        <w:spacing w:after="80" w:line="276"/>
      </w:pPr>
      <w:r>
        <w:rPr>
          <w:rFonts w:ascii="Arial" w:cs="Arial" w:eastAsia="Arial" w:hAnsi="Arial"/>
          <w:color w:val="333333"/>
          <w:sz w:val="20"/>
          <w:szCs w:val="20"/>
        </w:rPr>
        <w:t xml:space="preserve">Appoint a Data Protection Officer (DPO) — mandatory for DCPMIs.</w:t>
      </w:r>
    </w:p>
    <w:p>
      <w:pPr>
        <w:pStyle w:val="ListParagraph"/>
        <w:numPr>
          <w:ilvl w:val="0"/>
          <w:numId w:val="2"/>
        </w:numPr>
        <w:spacing w:after="80" w:line="276"/>
      </w:pPr>
      <w:r>
        <w:rPr>
          <w:rFonts w:ascii="Arial" w:cs="Arial" w:eastAsia="Arial" w:hAnsi="Arial"/>
          <w:color w:val="333333"/>
          <w:sz w:val="20"/>
          <w:szCs w:val="20"/>
        </w:rPr>
        <w:t xml:space="preserve">Conduct a Data Protection Impact Assessment (DPIA) before launching — GPS tracking, biometric processing, and systematic monitoring all qualify as high-risk.</w:t>
      </w:r>
    </w:p>
    <w:p>
      <w:pPr>
        <w:pStyle w:val="ListParagraph"/>
        <w:numPr>
          <w:ilvl w:val="0"/>
          <w:numId w:val="2"/>
        </w:numPr>
        <w:spacing w:after="80" w:line="276"/>
      </w:pPr>
      <w:r>
        <w:rPr>
          <w:rFonts w:ascii="Arial" w:cs="Arial" w:eastAsia="Arial" w:hAnsi="Arial"/>
          <w:color w:val="333333"/>
          <w:sz w:val="20"/>
          <w:szCs w:val="20"/>
        </w:rPr>
        <w:t xml:space="preserve">Obtain lawful basis for processing: consent, contract performance, legitimate interest, legal obligation, vital interest, or public interest.</w:t>
      </w:r>
    </w:p>
    <w:p>
      <w:pPr>
        <w:pStyle w:val="ListParagraph"/>
        <w:numPr>
          <w:ilvl w:val="0"/>
          <w:numId w:val="2"/>
        </w:numPr>
        <w:spacing w:after="80" w:line="276"/>
      </w:pPr>
      <w:r>
        <w:rPr>
          <w:rFonts w:ascii="Arial" w:cs="Arial" w:eastAsia="Arial" w:hAnsi="Arial"/>
          <w:color w:val="333333"/>
          <w:sz w:val="20"/>
          <w:szCs w:val="20"/>
        </w:rPr>
        <w:t xml:space="preserve">Maintain comprehensive records of all processing activities.</w:t>
      </w:r>
    </w:p>
    <w:p>
      <w:pPr>
        <w:pStyle w:val="ListParagraph"/>
        <w:numPr>
          <w:ilvl w:val="0"/>
          <w:numId w:val="2"/>
        </w:numPr>
        <w:spacing w:after="80" w:line="276"/>
      </w:pPr>
      <w:r>
        <w:rPr>
          <w:rFonts w:ascii="Arial" w:cs="Arial" w:eastAsia="Arial" w:hAnsi="Arial"/>
          <w:color w:val="333333"/>
          <w:sz w:val="20"/>
          <w:szCs w:val="20"/>
        </w:rPr>
        <w:t xml:space="preserve">Annual compliance audit and filing with NDPC — due by March 15 each year for entities processing 2,000+ data subjects in 12 months.</w:t>
      </w:r>
    </w:p>
    <w:p>
      <w:pPr>
        <w:pStyle w:val="ListParagraph"/>
        <w:numPr>
          <w:ilvl w:val="0"/>
          <w:numId w:val="2"/>
        </w:numPr>
        <w:spacing w:after="80" w:line="276"/>
      </w:pPr>
      <w:r>
        <w:rPr>
          <w:rFonts w:ascii="Arial" w:cs="Arial" w:eastAsia="Arial" w:hAnsi="Arial"/>
          <w:color w:val="333333"/>
          <w:sz w:val="20"/>
          <w:szCs w:val="20"/>
        </w:rPr>
        <w:t xml:space="preserve">Cross-border data transfers: only to countries with adequate protection, or with appropriate safeguards (SCCs, binding corporate rules), or with explicit consent.</w:t>
      </w:r>
    </w:p>
    <w:p>
      <w:pPr>
        <w:pStyle w:val="ListParagraph"/>
        <w:numPr>
          <w:ilvl w:val="0"/>
          <w:numId w:val="2"/>
        </w:numPr>
        <w:spacing w:after="80" w:line="276"/>
      </w:pPr>
      <w:r>
        <w:rPr>
          <w:rFonts w:ascii="Arial" w:cs="Arial" w:eastAsia="Arial" w:hAnsi="Arial"/>
          <w:color w:val="333333"/>
          <w:sz w:val="20"/>
          <w:szCs w:val="20"/>
        </w:rPr>
        <w:t xml:space="preserve">Data breach notification: notify the NDPC and affected data subjects without undue delay.</w:t>
      </w:r>
    </w:p>
    <w:p>
      <w:pPr>
        <w:spacing w:after="0"/>
      </w:pPr>
    </w:p>
    <w:p>
      <w:pPr>
        <w:pStyle w:val="Heading2"/>
        <w:spacing w:after="160" w:before="300"/>
      </w:pPr>
      <w:r>
        <w:rPr>
          <w:rFonts w:ascii="Arial" w:cs="Arial" w:eastAsia="Arial" w:hAnsi="Arial"/>
          <w:b/>
          <w:bCs/>
          <w:color w:val="0B6E4F"/>
          <w:sz w:val="24"/>
          <w:szCs w:val="24"/>
        </w:rPr>
        <w:t xml:space="preserve">5.2 NDPA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022B1E" w:val="clear"/>
          </w:tcPr>
          <w:p>
            <w:pPr>
              <w:spacing w:after="0"/>
            </w:pPr>
            <w:r>
              <w:rPr>
                <w:rFonts w:ascii="Arial" w:cs="Arial" w:eastAsia="Arial" w:hAnsi="Arial"/>
                <w:b/>
                <w:bCs/>
                <w:color w:val="FFFFFF"/>
                <w:sz w:val="18"/>
                <w:szCs w:val="18"/>
              </w:rPr>
              <w:t xml:space="preserve">Category</w:t>
            </w:r>
          </w:p>
        </w:tc>
        <w:tc>
          <w:tcPr>
            <w:tcW w:type="dxa" w:w="3200"/>
            <w:shd w:fill="022B1E" w:val="clear"/>
          </w:tcPr>
          <w:p>
            <w:pPr>
              <w:spacing w:after="0"/>
            </w:pPr>
            <w:r>
              <w:rPr>
                <w:rFonts w:ascii="Arial" w:cs="Arial" w:eastAsia="Arial" w:hAnsi="Arial"/>
                <w:b/>
                <w:bCs/>
                <w:color w:val="FFFFFF"/>
                <w:sz w:val="18"/>
                <w:szCs w:val="18"/>
              </w:rPr>
              <w:t xml:space="preserve">Maximum Fine</w:t>
            </w:r>
          </w:p>
        </w:tc>
        <w:tc>
          <w:tcPr>
            <w:tcW w:type="dxa" w:w="3360"/>
            <w:shd w:fill="022B1E" w:val="clear"/>
          </w:tcPr>
          <w:p>
            <w:pPr>
              <w:spacing w:after="0"/>
            </w:pPr>
            <w:r>
              <w:rPr>
                <w:rFonts w:ascii="Arial" w:cs="Arial" w:eastAsia="Arial" w:hAnsi="Arial"/>
                <w:b/>
                <w:bCs/>
                <w:color w:val="FFFFFF"/>
                <w:sz w:val="18"/>
                <w:szCs w:val="18"/>
              </w:rPr>
              <w:t xml:space="preserve">Additional</w:t>
            </w:r>
          </w:p>
        </w:tc>
      </w:tr>
      <w:tr>
        <w:tc>
          <w:tcPr>
            <w:tcW w:type="dxa" w:w="2800"/>
            <w:shd w:fill="F5F4F0" w:val="clear"/>
          </w:tcPr>
          <w:p>
            <w:pPr>
              <w:spacing w:after="0"/>
            </w:pPr>
            <w:r>
              <w:rPr>
                <w:rFonts w:ascii="Arial" w:cs="Arial" w:eastAsia="Arial" w:hAnsi="Arial"/>
                <w:color w:val="333333"/>
                <w:sz w:val="18"/>
                <w:szCs w:val="18"/>
              </w:rPr>
              <w:t xml:space="preserve">DCPMI (major importance)</w:t>
            </w:r>
          </w:p>
        </w:tc>
        <w:tc>
          <w:tcPr>
            <w:tcW w:type="dxa" w:w="3200"/>
            <w:shd w:fill="F5F4F0" w:val="clear"/>
          </w:tcPr>
          <w:p>
            <w:pPr>
              <w:spacing w:after="0"/>
            </w:pPr>
            <w:r>
              <w:rPr>
                <w:rFonts w:ascii="Arial" w:cs="Arial" w:eastAsia="Arial" w:hAnsi="Arial"/>
                <w:color w:val="333333"/>
                <w:sz w:val="18"/>
                <w:szCs w:val="18"/>
              </w:rPr>
              <w:t xml:space="preserve">NGN 10 million or 2% of annual gross revenue (whichever higher)</w:t>
            </w:r>
          </w:p>
        </w:tc>
        <w:tc>
          <w:tcPr>
            <w:tcW w:type="dxa" w:w="3360"/>
            <w:shd w:fill="F5F4F0" w:val="clear"/>
          </w:tcPr>
          <w:p>
            <w:pPr>
              <w:spacing w:after="0"/>
            </w:pPr>
            <w:r>
              <w:rPr>
                <w:rFonts w:ascii="Arial" w:cs="Arial" w:eastAsia="Arial" w:hAnsi="Arial"/>
                <w:color w:val="333333"/>
                <w:sz w:val="18"/>
                <w:szCs w:val="18"/>
              </w:rPr>
              <w:t xml:space="preserve">Compliance orders, remediation, profit disgorgement</w:t>
            </w:r>
          </w:p>
        </w:tc>
      </w:tr>
      <w:tr>
        <w:tc>
          <w:tcPr>
            <w:tcW w:type="dxa" w:w="2800"/>
            <w:shd w:fill="FFFFFF" w:val="clear"/>
          </w:tcPr>
          <w:p>
            <w:pPr>
              <w:spacing w:after="0"/>
            </w:pPr>
            <w:r>
              <w:rPr>
                <w:rFonts w:ascii="Arial" w:cs="Arial" w:eastAsia="Arial" w:hAnsi="Arial"/>
                <w:color w:val="333333"/>
                <w:sz w:val="18"/>
                <w:szCs w:val="18"/>
              </w:rPr>
              <w:t xml:space="preserve">Other organizations</w:t>
            </w:r>
          </w:p>
        </w:tc>
        <w:tc>
          <w:tcPr>
            <w:tcW w:type="dxa" w:w="3200"/>
            <w:shd w:fill="FFFFFF" w:val="clear"/>
          </w:tcPr>
          <w:p>
            <w:pPr>
              <w:spacing w:after="0"/>
            </w:pPr>
            <w:r>
              <w:rPr>
                <w:rFonts w:ascii="Arial" w:cs="Arial" w:eastAsia="Arial" w:hAnsi="Arial"/>
                <w:color w:val="333333"/>
                <w:sz w:val="18"/>
                <w:szCs w:val="18"/>
              </w:rPr>
              <w:t xml:space="preserve">NGN 2 million or 2% of annual gross revenue (whichever higher)</w:t>
            </w:r>
          </w:p>
        </w:tc>
        <w:tc>
          <w:tcPr>
            <w:tcW w:type="dxa" w:w="3360"/>
            <w:shd w:fill="FFFFFF" w:val="clear"/>
          </w:tcPr>
          <w:p>
            <w:pPr>
              <w:spacing w:after="0"/>
            </w:pPr>
            <w:r>
              <w:rPr>
                <w:rFonts w:ascii="Arial" w:cs="Arial" w:eastAsia="Arial" w:hAnsi="Arial"/>
                <w:color w:val="333333"/>
                <w:sz w:val="18"/>
                <w:szCs w:val="18"/>
              </w:rPr>
              <w:t xml:space="preserve">Compliance orders, remediation</w:t>
            </w:r>
          </w:p>
        </w:tc>
      </w:tr>
      <w:tr>
        <w:tc>
          <w:tcPr>
            <w:tcW w:type="dxa" w:w="2800"/>
            <w:shd w:fill="F5F4F0" w:val="clear"/>
          </w:tcPr>
          <w:p>
            <w:pPr>
              <w:spacing w:after="0"/>
            </w:pPr>
            <w:r>
              <w:rPr>
                <w:rFonts w:ascii="Arial" w:cs="Arial" w:eastAsia="Arial" w:hAnsi="Arial"/>
                <w:color w:val="333333"/>
                <w:sz w:val="18"/>
                <w:szCs w:val="18"/>
              </w:rPr>
              <w:t xml:space="preserve">Willful violations</w:t>
            </w:r>
          </w:p>
        </w:tc>
        <w:tc>
          <w:tcPr>
            <w:tcW w:type="dxa" w:w="3200"/>
            <w:shd w:fill="F5F4F0" w:val="clear"/>
          </w:tcPr>
          <w:p>
            <w:pPr>
              <w:spacing w:after="0"/>
            </w:pPr>
            <w:r>
              <w:rPr>
                <w:rFonts w:ascii="Arial" w:cs="Arial" w:eastAsia="Arial" w:hAnsi="Arial"/>
                <w:color w:val="333333"/>
                <w:sz w:val="18"/>
                <w:szCs w:val="18"/>
              </w:rPr>
              <w:t xml:space="preserve">Criminal prosecution</w:t>
            </w:r>
          </w:p>
        </w:tc>
        <w:tc>
          <w:tcPr>
            <w:tcW w:type="dxa" w:w="3360"/>
            <w:shd w:fill="F5F4F0" w:val="clear"/>
          </w:tcPr>
          <w:p>
            <w:pPr>
              <w:spacing w:after="0"/>
            </w:pPr>
            <w:r>
              <w:rPr>
                <w:rFonts w:ascii="Arial" w:cs="Arial" w:eastAsia="Arial" w:hAnsi="Arial"/>
                <w:color w:val="333333"/>
                <w:sz w:val="18"/>
                <w:szCs w:val="18"/>
              </w:rPr>
              <w:t xml:space="preserve">Imprisonment of up to 1 year for non-compliance with NDPC orders</w:t>
            </w:r>
          </w:p>
        </w:tc>
      </w:tr>
    </w:tbl>
    <w:p>
      <w:pPr>
        <w:spacing w:after="0"/>
      </w:pPr>
    </w:p>
    <w:p>
      <w:pPr>
        <w:pBdr>
          <w:left w:val="single" w:color="E8593C" w:sz="12" w:space="8"/>
        </w:pBdr>
        <w:shd w:fill="FEF2F2" w:val="clear"/>
        <w:spacing w:after="200" w:before="120"/>
      </w:pPr>
      <w:r>
        <w:rPr>
          <w:rFonts w:ascii="Arial" w:cs="Arial" w:eastAsia="Arial" w:hAnsi="Arial"/>
          <w:color w:val="333333"/>
          <w:sz w:val="20"/>
          <w:szCs w:val="20"/>
        </w:rPr>
        <w:t xml:space="preserve">The NDPC has demonstrated serious enforcement. Multichoice Nigeria was fined ₦766.2 million. Meta Platforms was fined $220 million. These are not theoretical penalties. NDPC registration and compliance must be completed before processing any Nigerian user data.</w:t>
      </w:r>
    </w:p>
    <w:p>
      <w:pPr>
        <w:pStyle w:val="Heading1"/>
        <w:spacing w:after="200" w:before="400"/>
      </w:pPr>
      <w:r>
        <w:rPr>
          <w:rFonts w:ascii="Arial" w:cs="Arial" w:eastAsia="Arial" w:hAnsi="Arial"/>
          <w:b/>
          <w:bCs/>
          <w:color w:val="022B1E"/>
          <w:sz w:val="28"/>
          <w:szCs w:val="28"/>
        </w:rPr>
        <w:t xml:space="preserve">6. Payment Regulation — Central Bank of Nigeria</w:t>
      </w:r>
    </w:p>
    <w:p>
      <w:pPr>
        <w:spacing w:after="140" w:line="276"/>
      </w:pPr>
      <w:r>
        <w:rPr>
          <w:rFonts w:ascii="Arial" w:cs="Arial" w:eastAsia="Arial" w:hAnsi="Arial"/>
          <w:b/>
          <w:bCs/>
          <w:color w:val="333333"/>
          <w:sz w:val="20"/>
          <w:szCs w:val="20"/>
        </w:rPr>
        <w:t xml:space="preserve">Law: </w:t>
      </w:r>
      <w:r>
        <w:rPr>
          <w:rFonts w:ascii="Arial" w:cs="Arial" w:eastAsia="Arial" w:hAnsi="Arial"/>
          <w:color w:val="333333"/>
          <w:sz w:val="20"/>
          <w:szCs w:val="20"/>
        </w:rPr>
        <w:t xml:space="preserve">Banks and Other Financial Institutions Act (BOFIA) 2020, CBN Payment System Guidelines 2021</w:t>
      </w:r>
    </w:p>
    <w:p>
      <w:pPr>
        <w:spacing w:after="140" w:line="276"/>
      </w:pPr>
      <w:r>
        <w:rPr>
          <w:rFonts w:ascii="Arial" w:cs="Arial" w:eastAsia="Arial" w:hAnsi="Arial"/>
          <w:b/>
          <w:bCs/>
          <w:color w:val="333333"/>
          <w:sz w:val="20"/>
          <w:szCs w:val="20"/>
        </w:rPr>
        <w:t xml:space="preserve">Authority: </w:t>
      </w:r>
      <w:r>
        <w:rPr>
          <w:rFonts w:ascii="Arial" w:cs="Arial" w:eastAsia="Arial" w:hAnsi="Arial"/>
          <w:color w:val="333333"/>
          <w:sz w:val="20"/>
          <w:szCs w:val="20"/>
        </w:rPr>
        <w:t xml:space="preserve">Central Bank of Nigeria (CBN)</w:t>
      </w:r>
    </w:p>
    <w:p>
      <w:pPr>
        <w:spacing w:after="0"/>
      </w:pPr>
    </w:p>
    <w:p>
      <w:pPr>
        <w:pStyle w:val="Heading2"/>
        <w:spacing w:after="160" w:before="300"/>
      </w:pPr>
      <w:r>
        <w:rPr>
          <w:rFonts w:ascii="Arial" w:cs="Arial" w:eastAsia="Arial" w:hAnsi="Arial"/>
          <w:b/>
          <w:bCs/>
          <w:color w:val="0B6E4F"/>
          <w:sz w:val="24"/>
          <w:szCs w:val="24"/>
        </w:rPr>
        <w:t xml:space="preserve">6.1 Why We Do NOT Need a CBN License</w:t>
      </w:r>
    </w:p>
    <w:p>
      <w:pPr>
        <w:pStyle w:val="ListParagraph"/>
        <w:numPr>
          <w:ilvl w:val="0"/>
          <w:numId w:val="2"/>
        </w:numPr>
        <w:spacing w:after="80" w:line="276"/>
      </w:pPr>
      <w:r>
        <w:rPr>
          <w:rFonts w:ascii="Arial" w:cs="Arial" w:eastAsia="Arial" w:hAnsi="Arial"/>
          <w:color w:val="333333"/>
          <w:sz w:val="20"/>
          <w:szCs w:val="20"/>
        </w:rPr>
        <w:t xml:space="preserve">EyeOnSite does not process payments. Stripe Connect (US-licensed) handles diaspora collections. Flutterwave and Paystack (both CBN-licensed PSPs) handle local Nigerian collections and mobile money payouts.</w:t>
      </w:r>
    </w:p>
    <w:p>
      <w:pPr>
        <w:pStyle w:val="ListParagraph"/>
        <w:numPr>
          <w:ilvl w:val="0"/>
          <w:numId w:val="2"/>
        </w:numPr>
        <w:spacing w:after="80" w:line="276"/>
      </w:pPr>
      <w:r>
        <w:rPr>
          <w:rFonts w:ascii="Arial" w:cs="Arial" w:eastAsia="Arial" w:hAnsi="Arial"/>
          <w:color w:val="333333"/>
          <w:sz w:val="20"/>
          <w:szCs w:val="20"/>
        </w:rPr>
        <w:t xml:space="preserve">We do not hold Nigerian customer funds in our bank account. Funds flow: client pays Stripe/Flutterwave → held by licensed PSP → payout instruction from EyeOnSite → inspector receives via Flutterwave/OPay/Palmpay.</w:t>
      </w:r>
    </w:p>
    <w:p>
      <w:pPr>
        <w:pStyle w:val="ListParagraph"/>
        <w:numPr>
          <w:ilvl w:val="0"/>
          <w:numId w:val="2"/>
        </w:numPr>
        <w:spacing w:after="80" w:line="276"/>
      </w:pPr>
      <w:r>
        <w:rPr>
          <w:rFonts w:ascii="Arial" w:cs="Arial" w:eastAsia="Arial" w:hAnsi="Arial"/>
          <w:color w:val="333333"/>
          <w:sz w:val="20"/>
          <w:szCs w:val="20"/>
        </w:rPr>
        <w:t xml:space="preserve">We are a technology marketplace, not a payment service provider. Same model as Uber and Bolt Nigeria.</w:t>
      </w:r>
    </w:p>
    <w:p>
      <w:pPr>
        <w:spacing w:after="0"/>
      </w:pPr>
    </w:p>
    <w:p>
      <w:pPr>
        <w:pStyle w:val="Heading2"/>
        <w:spacing w:after="160" w:before="300"/>
      </w:pPr>
      <w:r>
        <w:rPr>
          <w:rFonts w:ascii="Arial" w:cs="Arial" w:eastAsia="Arial" w:hAnsi="Arial"/>
          <w:b/>
          <w:bCs/>
          <w:color w:val="0B6E4F"/>
          <w:sz w:val="24"/>
          <w:szCs w:val="24"/>
        </w:rPr>
        <w:t xml:space="preserve">6.2 What We MUST NOT Do</w:t>
      </w:r>
    </w:p>
    <w:p>
      <w:pPr>
        <w:pStyle w:val="ListParagraph"/>
        <w:numPr>
          <w:ilvl w:val="0"/>
          <w:numId w:val="2"/>
        </w:numPr>
        <w:spacing w:after="80" w:line="276"/>
      </w:pPr>
      <w:r>
        <w:rPr>
          <w:rFonts w:ascii="Arial" w:cs="Arial" w:eastAsia="Arial" w:hAnsi="Arial"/>
          <w:color w:val="333333"/>
          <w:sz w:val="20"/>
          <w:szCs w:val="20"/>
        </w:rPr>
        <w:t xml:space="preserve">NEVER hold Nigerian client funds in the EyeOnSite Nigeria bank account, even temporarily.</w:t>
      </w:r>
    </w:p>
    <w:p>
      <w:pPr>
        <w:pStyle w:val="ListParagraph"/>
        <w:numPr>
          <w:ilvl w:val="0"/>
          <w:numId w:val="2"/>
        </w:numPr>
        <w:spacing w:after="80" w:line="276"/>
      </w:pPr>
      <w:r>
        <w:rPr>
          <w:rFonts w:ascii="Arial" w:cs="Arial" w:eastAsia="Arial" w:hAnsi="Arial"/>
          <w:color w:val="333333"/>
          <w:sz w:val="20"/>
          <w:szCs w:val="20"/>
        </w:rPr>
        <w:t xml:space="preserve">NEVER process payments outside of CBN-licensed providers.</w:t>
      </w:r>
    </w:p>
    <w:p>
      <w:pPr>
        <w:pStyle w:val="ListParagraph"/>
        <w:numPr>
          <w:ilvl w:val="0"/>
          <w:numId w:val="2"/>
        </w:numPr>
        <w:spacing w:after="80" w:line="276"/>
      </w:pPr>
      <w:r>
        <w:rPr>
          <w:rFonts w:ascii="Arial" w:cs="Arial" w:eastAsia="Arial" w:hAnsi="Arial"/>
          <w:color w:val="333333"/>
          <w:sz w:val="20"/>
          <w:szCs w:val="20"/>
        </w:rPr>
        <w:t xml:space="preserve">NEVER offer mobile money or e-wallet services directly.</w:t>
      </w:r>
    </w:p>
    <w:p>
      <w:pPr>
        <w:pStyle w:val="ListParagraph"/>
        <w:numPr>
          <w:ilvl w:val="0"/>
          <w:numId w:val="2"/>
        </w:numPr>
        <w:spacing w:after="80" w:line="276"/>
      </w:pPr>
      <w:r>
        <w:rPr>
          <w:rFonts w:ascii="Arial" w:cs="Arial" w:eastAsia="Arial" w:hAnsi="Arial"/>
          <w:color w:val="333333"/>
          <w:sz w:val="20"/>
          <w:szCs w:val="20"/>
        </w:rPr>
        <w:t xml:space="preserve">NEVER accept cash payments from inspectors or clients (cash creates AML risk and potential CBN scrutiny).</w:t>
      </w:r>
    </w:p>
    <w:p>
      <w:pPr>
        <w:spacing w:after="0"/>
      </w:pPr>
    </w:p>
    <w:p>
      <w:pPr>
        <w:pStyle w:val="Heading2"/>
        <w:spacing w:after="160" w:before="300"/>
      </w:pPr>
      <w:r>
        <w:rPr>
          <w:rFonts w:ascii="Arial" w:cs="Arial" w:eastAsia="Arial" w:hAnsi="Arial"/>
          <w:b/>
          <w:bCs/>
          <w:color w:val="0B6E4F"/>
          <w:sz w:val="24"/>
          <w:szCs w:val="24"/>
        </w:rPr>
        <w:t xml:space="preserve">6.3 Nigerian Payment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022B1E" w:val="clear"/>
          </w:tcPr>
          <w:p>
            <w:pPr>
              <w:spacing w:after="0"/>
            </w:pPr>
            <w:r>
              <w:rPr>
                <w:rFonts w:ascii="Arial" w:cs="Arial" w:eastAsia="Arial" w:hAnsi="Arial"/>
                <w:b/>
                <w:bCs/>
                <w:color w:val="FFFFFF"/>
                <w:sz w:val="18"/>
                <w:szCs w:val="18"/>
              </w:rPr>
              <w:t xml:space="preserve">Rail</w:t>
            </w:r>
          </w:p>
        </w:tc>
        <w:tc>
          <w:tcPr>
            <w:tcW w:type="dxa" w:w="1600"/>
            <w:shd w:fill="022B1E" w:val="clear"/>
          </w:tcPr>
          <w:p>
            <w:pPr>
              <w:spacing w:after="0"/>
            </w:pPr>
            <w:r>
              <w:rPr>
                <w:rFonts w:ascii="Arial" w:cs="Arial" w:eastAsia="Arial" w:hAnsi="Arial"/>
                <w:b/>
                <w:bCs/>
                <w:color w:val="FFFFFF"/>
                <w:sz w:val="18"/>
                <w:szCs w:val="18"/>
              </w:rPr>
              <w:t xml:space="preserve">Provider</w:t>
            </w:r>
          </w:p>
        </w:tc>
        <w:tc>
          <w:tcPr>
            <w:tcW w:type="dxa" w:w="2800"/>
            <w:shd w:fill="022B1E" w:val="clear"/>
          </w:tcPr>
          <w:p>
            <w:pPr>
              <w:spacing w:after="0"/>
            </w:pPr>
            <w:r>
              <w:rPr>
                <w:rFonts w:ascii="Arial" w:cs="Arial" w:eastAsia="Arial" w:hAnsi="Arial"/>
                <w:b/>
                <w:bCs/>
                <w:color w:val="FFFFFF"/>
                <w:sz w:val="18"/>
                <w:szCs w:val="18"/>
              </w:rPr>
              <w:t xml:space="preserve">Use Case</w:t>
            </w:r>
          </w:p>
        </w:tc>
        <w:tc>
          <w:tcPr>
            <w:tcW w:type="dxa" w:w="3160"/>
            <w:shd w:fill="022B1E" w:val="clear"/>
          </w:tcPr>
          <w:p>
            <w:pPr>
              <w:spacing w:after="0"/>
            </w:pPr>
            <w:r>
              <w:rPr>
                <w:rFonts w:ascii="Arial" w:cs="Arial" w:eastAsia="Arial" w:hAnsi="Arial"/>
                <w:b/>
                <w:bCs/>
                <w:color w:val="FFFFFF"/>
                <w:sz w:val="18"/>
                <w:szCs w:val="18"/>
              </w:rPr>
              <w:t xml:space="preserve">CBN License Status</w:t>
            </w:r>
          </w:p>
        </w:tc>
      </w:tr>
      <w:tr>
        <w:tc>
          <w:tcPr>
            <w:tcW w:type="dxa" w:w="1800"/>
            <w:shd w:fill="F5F4F0" w:val="clear"/>
          </w:tcPr>
          <w:p>
            <w:pPr>
              <w:spacing w:after="0"/>
            </w:pPr>
            <w:r>
              <w:rPr>
                <w:rFonts w:ascii="Arial" w:cs="Arial" w:eastAsia="Arial" w:hAnsi="Arial"/>
                <w:color w:val="333333"/>
                <w:sz w:val="18"/>
                <w:szCs w:val="18"/>
              </w:rPr>
              <w:t xml:space="preserve">Card payments (diaspora)</w:t>
            </w:r>
          </w:p>
        </w:tc>
        <w:tc>
          <w:tcPr>
            <w:tcW w:type="dxa" w:w="1600"/>
            <w:shd w:fill="F5F4F0" w:val="clear"/>
          </w:tcPr>
          <w:p>
            <w:pPr>
              <w:spacing w:after="0"/>
            </w:pPr>
            <w:r>
              <w:rPr>
                <w:rFonts w:ascii="Arial" w:cs="Arial" w:eastAsia="Arial" w:hAnsi="Arial"/>
                <w:color w:val="333333"/>
                <w:sz w:val="18"/>
                <w:szCs w:val="18"/>
              </w:rPr>
              <w:t xml:space="preserve">Stripe Connect</w:t>
            </w:r>
          </w:p>
        </w:tc>
        <w:tc>
          <w:tcPr>
            <w:tcW w:type="dxa" w:w="2800"/>
            <w:shd w:fill="F5F4F0" w:val="clear"/>
          </w:tcPr>
          <w:p>
            <w:pPr>
              <w:spacing w:after="0"/>
            </w:pPr>
            <w:r>
              <w:rPr>
                <w:rFonts w:ascii="Arial" w:cs="Arial" w:eastAsia="Arial" w:hAnsi="Arial"/>
                <w:color w:val="333333"/>
                <w:sz w:val="18"/>
                <w:szCs w:val="18"/>
              </w:rPr>
              <w:t xml:space="preserve">USD/GBP/EUR from UK/US diaspora</w:t>
            </w:r>
          </w:p>
        </w:tc>
        <w:tc>
          <w:tcPr>
            <w:tcW w:type="dxa" w:w="3160"/>
            <w:shd w:fill="F5F4F0" w:val="clear"/>
          </w:tcPr>
          <w:p>
            <w:pPr>
              <w:spacing w:after="0"/>
            </w:pPr>
            <w:r>
              <w:rPr>
                <w:rFonts w:ascii="Arial" w:cs="Arial" w:eastAsia="Arial" w:hAnsi="Arial"/>
                <w:color w:val="333333"/>
                <w:sz w:val="18"/>
                <w:szCs w:val="18"/>
              </w:rPr>
              <w:t xml:space="preserve">Stripe: US/EU licensed (not CBN)</w:t>
            </w:r>
          </w:p>
        </w:tc>
      </w:tr>
      <w:tr>
        <w:tc>
          <w:tcPr>
            <w:tcW w:type="dxa" w:w="1800"/>
            <w:shd w:fill="FFFFFF" w:val="clear"/>
          </w:tcPr>
          <w:p>
            <w:pPr>
              <w:spacing w:after="0"/>
            </w:pPr>
            <w:r>
              <w:rPr>
                <w:rFonts w:ascii="Arial" w:cs="Arial" w:eastAsia="Arial" w:hAnsi="Arial"/>
                <w:color w:val="333333"/>
                <w:sz w:val="18"/>
                <w:szCs w:val="18"/>
              </w:rPr>
              <w:t xml:space="preserve">Card payments (local)</w:t>
            </w:r>
          </w:p>
        </w:tc>
        <w:tc>
          <w:tcPr>
            <w:tcW w:type="dxa" w:w="1600"/>
            <w:shd w:fill="FFFFFF" w:val="clear"/>
          </w:tcPr>
          <w:p>
            <w:pPr>
              <w:spacing w:after="0"/>
            </w:pPr>
            <w:r>
              <w:rPr>
                <w:rFonts w:ascii="Arial" w:cs="Arial" w:eastAsia="Arial" w:hAnsi="Arial"/>
                <w:color w:val="333333"/>
                <w:sz w:val="18"/>
                <w:szCs w:val="18"/>
              </w:rPr>
              <w:t xml:space="preserve">Paystack</w:t>
            </w:r>
          </w:p>
        </w:tc>
        <w:tc>
          <w:tcPr>
            <w:tcW w:type="dxa" w:w="2800"/>
            <w:shd w:fill="FFFFFF" w:val="clear"/>
          </w:tcPr>
          <w:p>
            <w:pPr>
              <w:spacing w:after="0"/>
            </w:pPr>
            <w:r>
              <w:rPr>
                <w:rFonts w:ascii="Arial" w:cs="Arial" w:eastAsia="Arial" w:hAnsi="Arial"/>
                <w:color w:val="333333"/>
                <w:sz w:val="18"/>
                <w:szCs w:val="18"/>
              </w:rPr>
              <w:t xml:space="preserve">NGN debit/credit cards</w:t>
            </w:r>
          </w:p>
        </w:tc>
        <w:tc>
          <w:tcPr>
            <w:tcW w:type="dxa" w:w="3160"/>
            <w:shd w:fill="FFFFFF" w:val="clear"/>
          </w:tcPr>
          <w:p>
            <w:pPr>
              <w:spacing w:after="0"/>
            </w:pPr>
            <w:r>
              <w:rPr>
                <w:rFonts w:ascii="Arial" w:cs="Arial" w:eastAsia="Arial" w:hAnsi="Arial"/>
                <w:color w:val="333333"/>
                <w:sz w:val="18"/>
                <w:szCs w:val="18"/>
              </w:rPr>
              <w:t xml:space="preserve">CBN-licensed PSP</w:t>
            </w:r>
          </w:p>
        </w:tc>
      </w:tr>
      <w:tr>
        <w:tc>
          <w:tcPr>
            <w:tcW w:type="dxa" w:w="1800"/>
            <w:shd w:fill="F5F4F0" w:val="clear"/>
          </w:tcPr>
          <w:p>
            <w:pPr>
              <w:spacing w:after="0"/>
            </w:pPr>
            <w:r>
              <w:rPr>
                <w:rFonts w:ascii="Arial" w:cs="Arial" w:eastAsia="Arial" w:hAnsi="Arial"/>
                <w:color w:val="333333"/>
                <w:sz w:val="18"/>
                <w:szCs w:val="18"/>
              </w:rPr>
              <w:t xml:space="preserve">Bank transfer (local)</w:t>
            </w:r>
          </w:p>
        </w:tc>
        <w:tc>
          <w:tcPr>
            <w:tcW w:type="dxa" w:w="1600"/>
            <w:shd w:fill="F5F4F0" w:val="clear"/>
          </w:tcPr>
          <w:p>
            <w:pPr>
              <w:spacing w:after="0"/>
            </w:pPr>
            <w:r>
              <w:rPr>
                <w:rFonts w:ascii="Arial" w:cs="Arial" w:eastAsia="Arial" w:hAnsi="Arial"/>
                <w:color w:val="333333"/>
                <w:sz w:val="18"/>
                <w:szCs w:val="18"/>
              </w:rPr>
              <w:t xml:space="preserve">Flutterwave</w:t>
            </w:r>
          </w:p>
        </w:tc>
        <w:tc>
          <w:tcPr>
            <w:tcW w:type="dxa" w:w="2800"/>
            <w:shd w:fill="F5F4F0" w:val="clear"/>
          </w:tcPr>
          <w:p>
            <w:pPr>
              <w:spacing w:after="0"/>
            </w:pPr>
            <w:r>
              <w:rPr>
                <w:rFonts w:ascii="Arial" w:cs="Arial" w:eastAsia="Arial" w:hAnsi="Arial"/>
                <w:color w:val="333333"/>
                <w:sz w:val="18"/>
                <w:szCs w:val="18"/>
              </w:rPr>
              <w:t xml:space="preserve">NGN bank-to-bank</w:t>
            </w:r>
          </w:p>
        </w:tc>
        <w:tc>
          <w:tcPr>
            <w:tcW w:type="dxa" w:w="3160"/>
            <w:shd w:fill="F5F4F0" w:val="clear"/>
          </w:tcPr>
          <w:p>
            <w:pPr>
              <w:spacing w:after="0"/>
            </w:pPr>
            <w:r>
              <w:rPr>
                <w:rFonts w:ascii="Arial" w:cs="Arial" w:eastAsia="Arial" w:hAnsi="Arial"/>
                <w:color w:val="333333"/>
                <w:sz w:val="18"/>
                <w:szCs w:val="18"/>
              </w:rPr>
              <w:t xml:space="preserve">CBN-licensed (Switching &amp; Processing)</w:t>
            </w:r>
          </w:p>
        </w:tc>
      </w:tr>
      <w:tr>
        <w:tc>
          <w:tcPr>
            <w:tcW w:type="dxa" w:w="1800"/>
            <w:shd w:fill="FFFFFF" w:val="clear"/>
          </w:tcPr>
          <w:p>
            <w:pPr>
              <w:spacing w:after="0"/>
            </w:pPr>
            <w:r>
              <w:rPr>
                <w:rFonts w:ascii="Arial" w:cs="Arial" w:eastAsia="Arial" w:hAnsi="Arial"/>
                <w:color w:val="333333"/>
                <w:sz w:val="18"/>
                <w:szCs w:val="18"/>
              </w:rPr>
              <w:t xml:space="preserve">Mobile money</w:t>
            </w:r>
          </w:p>
        </w:tc>
        <w:tc>
          <w:tcPr>
            <w:tcW w:type="dxa" w:w="1600"/>
            <w:shd w:fill="FFFFFF" w:val="clear"/>
          </w:tcPr>
          <w:p>
            <w:pPr>
              <w:spacing w:after="0"/>
            </w:pPr>
            <w:r>
              <w:rPr>
                <w:rFonts w:ascii="Arial" w:cs="Arial" w:eastAsia="Arial" w:hAnsi="Arial"/>
                <w:color w:val="333333"/>
                <w:sz w:val="18"/>
                <w:szCs w:val="18"/>
              </w:rPr>
              <w:t xml:space="preserve">OPay / PalmPay</w:t>
            </w:r>
          </w:p>
        </w:tc>
        <w:tc>
          <w:tcPr>
            <w:tcW w:type="dxa" w:w="2800"/>
            <w:shd w:fill="FFFFFF" w:val="clear"/>
          </w:tcPr>
          <w:p>
            <w:pPr>
              <w:spacing w:after="0"/>
            </w:pPr>
            <w:r>
              <w:rPr>
                <w:rFonts w:ascii="Arial" w:cs="Arial" w:eastAsia="Arial" w:hAnsi="Arial"/>
                <w:color w:val="333333"/>
                <w:sz w:val="18"/>
                <w:szCs w:val="18"/>
              </w:rPr>
              <w:t xml:space="preserve">Inspector payouts, mass-market clients</w:t>
            </w:r>
          </w:p>
        </w:tc>
        <w:tc>
          <w:tcPr>
            <w:tcW w:type="dxa" w:w="3160"/>
            <w:shd w:fill="FFFFFF" w:val="clear"/>
          </w:tcPr>
          <w:p>
            <w:pPr>
              <w:spacing w:after="0"/>
            </w:pPr>
            <w:r>
              <w:rPr>
                <w:rFonts w:ascii="Arial" w:cs="Arial" w:eastAsia="Arial" w:hAnsi="Arial"/>
                <w:color w:val="333333"/>
                <w:sz w:val="18"/>
                <w:szCs w:val="18"/>
              </w:rPr>
              <w:t xml:space="preserve">CBN-licensed MMOs</w:t>
            </w:r>
          </w:p>
        </w:tc>
      </w:tr>
      <w:tr>
        <w:tc>
          <w:tcPr>
            <w:tcW w:type="dxa" w:w="1800"/>
            <w:shd w:fill="F5F4F0" w:val="clear"/>
          </w:tcPr>
          <w:p>
            <w:pPr>
              <w:spacing w:after="0"/>
            </w:pPr>
            <w:r>
              <w:rPr>
                <w:rFonts w:ascii="Arial" w:cs="Arial" w:eastAsia="Arial" w:hAnsi="Arial"/>
                <w:color w:val="333333"/>
                <w:sz w:val="18"/>
                <w:szCs w:val="18"/>
              </w:rPr>
              <w:t xml:space="preserve">USSD payments</w:t>
            </w:r>
          </w:p>
        </w:tc>
        <w:tc>
          <w:tcPr>
            <w:tcW w:type="dxa" w:w="1600"/>
            <w:shd w:fill="F5F4F0" w:val="clear"/>
          </w:tcPr>
          <w:p>
            <w:pPr>
              <w:spacing w:after="0"/>
            </w:pPr>
            <w:r>
              <w:rPr>
                <w:rFonts w:ascii="Arial" w:cs="Arial" w:eastAsia="Arial" w:hAnsi="Arial"/>
                <w:color w:val="333333"/>
                <w:sz w:val="18"/>
                <w:szCs w:val="18"/>
              </w:rPr>
              <w:t xml:space="preserve">Paystack / Flutterwave</w:t>
            </w:r>
          </w:p>
        </w:tc>
        <w:tc>
          <w:tcPr>
            <w:tcW w:type="dxa" w:w="2800"/>
            <w:shd w:fill="F5F4F0" w:val="clear"/>
          </w:tcPr>
          <w:p>
            <w:pPr>
              <w:spacing w:after="0"/>
            </w:pPr>
            <w:r>
              <w:rPr>
                <w:rFonts w:ascii="Arial" w:cs="Arial" w:eastAsia="Arial" w:hAnsi="Arial"/>
                <w:color w:val="333333"/>
                <w:sz w:val="18"/>
                <w:szCs w:val="18"/>
              </w:rPr>
              <w:t xml:space="preserve">Feature phone clients</w:t>
            </w:r>
          </w:p>
        </w:tc>
        <w:tc>
          <w:tcPr>
            <w:tcW w:type="dxa" w:w="3160"/>
            <w:shd w:fill="F5F4F0" w:val="clear"/>
          </w:tcPr>
          <w:p>
            <w:pPr>
              <w:spacing w:after="0"/>
            </w:pPr>
            <w:r>
              <w:rPr>
                <w:rFonts w:ascii="Arial" w:cs="Arial" w:eastAsia="Arial" w:hAnsi="Arial"/>
                <w:color w:val="333333"/>
                <w:sz w:val="18"/>
                <w:szCs w:val="18"/>
              </w:rPr>
              <w:t xml:space="preserve">Via CBN-licensed banks</w:t>
            </w:r>
          </w:p>
        </w:tc>
      </w:tr>
      <w:tr>
        <w:tc>
          <w:tcPr>
            <w:tcW w:type="dxa" w:w="1800"/>
            <w:shd w:fill="FFFFFF" w:val="clear"/>
          </w:tcPr>
          <w:p>
            <w:pPr>
              <w:spacing w:after="0"/>
            </w:pPr>
            <w:r>
              <w:rPr>
                <w:rFonts w:ascii="Arial" w:cs="Arial" w:eastAsia="Arial" w:hAnsi="Arial"/>
                <w:color w:val="333333"/>
                <w:sz w:val="18"/>
                <w:szCs w:val="18"/>
              </w:rPr>
              <w:t xml:space="preserve">Backup rail</w:t>
            </w:r>
          </w:p>
        </w:tc>
        <w:tc>
          <w:tcPr>
            <w:tcW w:type="dxa" w:w="1600"/>
            <w:shd w:fill="FFFFFF" w:val="clear"/>
          </w:tcPr>
          <w:p>
            <w:pPr>
              <w:spacing w:after="0"/>
            </w:pPr>
            <w:r>
              <w:rPr>
                <w:rFonts w:ascii="Arial" w:cs="Arial" w:eastAsia="Arial" w:hAnsi="Arial"/>
                <w:color w:val="333333"/>
                <w:sz w:val="18"/>
                <w:szCs w:val="18"/>
              </w:rPr>
              <w:t xml:space="preserve">Interswitch</w:t>
            </w:r>
          </w:p>
        </w:tc>
        <w:tc>
          <w:tcPr>
            <w:tcW w:type="dxa" w:w="2800"/>
            <w:shd w:fill="FFFFFF" w:val="clear"/>
          </w:tcPr>
          <w:p>
            <w:pPr>
              <w:spacing w:after="0"/>
            </w:pPr>
            <w:r>
              <w:rPr>
                <w:rFonts w:ascii="Arial" w:cs="Arial" w:eastAsia="Arial" w:hAnsi="Arial"/>
                <w:color w:val="333333"/>
                <w:sz w:val="18"/>
                <w:szCs w:val="18"/>
              </w:rPr>
              <w:t xml:space="preserve">Redundancy for Paystack/Flutterwave</w:t>
            </w:r>
          </w:p>
        </w:tc>
        <w:tc>
          <w:tcPr>
            <w:tcW w:type="dxa" w:w="3160"/>
            <w:shd w:fill="FFFFFF" w:val="clear"/>
          </w:tcPr>
          <w:p>
            <w:pPr>
              <w:spacing w:after="0"/>
            </w:pPr>
            <w:r>
              <w:rPr>
                <w:rFonts w:ascii="Arial" w:cs="Arial" w:eastAsia="Arial" w:hAnsi="Arial"/>
                <w:color w:val="333333"/>
                <w:sz w:val="18"/>
                <w:szCs w:val="18"/>
              </w:rPr>
              <w:t xml:space="preserve">CBN-licensed</w:t>
            </w:r>
          </w:p>
        </w:tc>
      </w:tr>
    </w:tbl>
    <w:p>
      <w:pPr>
        <w:spacing w:after="0"/>
      </w:pPr>
    </w:p>
    <w:p>
      <w:pPr>
        <w:pBdr>
          <w:left w:val="single" w:color="3B82F6" w:sz="12" w:space="8"/>
        </w:pBdr>
        <w:shd w:fill="EFF6FF" w:val="clear"/>
        <w:spacing w:after="200" w:before="120"/>
      </w:pPr>
      <w:r>
        <w:rPr>
          <w:rFonts w:ascii="Arial" w:cs="Arial" w:eastAsia="Arial" w:hAnsi="Arial"/>
          <w:color w:val="333333"/>
          <w:sz w:val="20"/>
          <w:szCs w:val="20"/>
        </w:rPr>
        <w:t xml:space="preserve">Nigeria's mobile money landscape differs from Ghana and Kenya. MTN MoMo launched in Nigeria in 2022 but adoption is lower than in Ghana/East Africa. OPay and PalmPay are the dominant mobile payment platforms. The Nigerian entity should integrate with OPay/PalmPay via Flutterwave or Paystack for inspector payouts.</w:t>
      </w:r>
    </w:p>
    <w:p>
      <w:pPr>
        <w:pStyle w:val="Heading1"/>
        <w:spacing w:after="200" w:before="400"/>
      </w:pPr>
      <w:r>
        <w:rPr>
          <w:rFonts w:ascii="Arial" w:cs="Arial" w:eastAsia="Arial" w:hAnsi="Arial"/>
          <w:b/>
          <w:bCs/>
          <w:color w:val="022B1E"/>
          <w:sz w:val="28"/>
          <w:szCs w:val="28"/>
        </w:rPr>
        <w:t xml:space="preserve">7. Labour Law and Worker Classification</w:t>
      </w:r>
    </w:p>
    <w:p>
      <w:pPr>
        <w:spacing w:after="140" w:line="276"/>
      </w:pPr>
      <w:r>
        <w:rPr>
          <w:rFonts w:ascii="Arial" w:cs="Arial" w:eastAsia="Arial" w:hAnsi="Arial"/>
          <w:b/>
          <w:bCs/>
          <w:color w:val="333333"/>
          <w:sz w:val="20"/>
          <w:szCs w:val="20"/>
        </w:rPr>
        <w:t xml:space="preserve">Law: </w:t>
      </w:r>
      <w:r>
        <w:rPr>
          <w:rFonts w:ascii="Arial" w:cs="Arial" w:eastAsia="Arial" w:hAnsi="Arial"/>
          <w:color w:val="333333"/>
          <w:sz w:val="20"/>
          <w:szCs w:val="20"/>
        </w:rPr>
        <w:t xml:space="preserve">Labour Act (Cap L1 LFN 2004), Employee's Compensation Act 2010</w:t>
      </w:r>
    </w:p>
    <w:p>
      <w:pPr>
        <w:spacing w:after="0"/>
      </w:pPr>
    </w:p>
    <w:p>
      <w:pPr>
        <w:pStyle w:val="Heading2"/>
        <w:spacing w:after="160" w:before="300"/>
      </w:pPr>
      <w:r>
        <w:rPr>
          <w:rFonts w:ascii="Arial" w:cs="Arial" w:eastAsia="Arial" w:hAnsi="Arial"/>
          <w:b/>
          <w:bCs/>
          <w:color w:val="0B6E4F"/>
          <w:sz w:val="24"/>
          <w:szCs w:val="24"/>
        </w:rPr>
        <w:t xml:space="preserve">7.1 Independent Contractor Status</w:t>
      </w:r>
    </w:p>
    <w:p>
      <w:pPr>
        <w:spacing w:after="140" w:line="276"/>
      </w:pPr>
      <w:r>
        <w:rPr>
          <w:rFonts w:ascii="Arial" w:cs="Arial" w:eastAsia="Arial" w:hAnsi="Arial"/>
          <w:color w:val="333333"/>
          <w:sz w:val="20"/>
          <w:szCs w:val="20"/>
        </w:rPr>
        <w:t xml:space="preserve">Nigeria's Labour Act does not specifically address gig/platform workers. Independent contractors fall outside the scope of employment protections. The Amalgamated Union of App-Based Transporters of Nigeria (AUTWON) has been actively pushing for reforms, including a 5% commission cap and employee benefits, but no legislation has passed.</w:t>
      </w:r>
    </w:p>
    <w:p>
      <w:pPr>
        <w:spacing w:after="0"/>
      </w:pPr>
    </w:p>
    <w:p>
      <w:pPr>
        <w:pStyle w:val="ListParagraph"/>
        <w:numPr>
          <w:ilvl w:val="0"/>
          <w:numId w:val="2"/>
        </w:numPr>
        <w:spacing w:after="80" w:line="276"/>
      </w:pPr>
      <w:r>
        <w:rPr>
          <w:rFonts w:ascii="Arial" w:cs="Arial" w:eastAsia="Arial" w:hAnsi="Arial"/>
          <w:color w:val="333333"/>
          <w:sz w:val="20"/>
          <w:szCs w:val="20"/>
        </w:rPr>
        <w:t xml:space="preserve">Uber and Bolt both classify Nigerian drivers as independent contractors.</w:t>
      </w:r>
    </w:p>
    <w:p>
      <w:pPr>
        <w:pStyle w:val="ListParagraph"/>
        <w:numPr>
          <w:ilvl w:val="0"/>
          <w:numId w:val="2"/>
        </w:numPr>
        <w:spacing w:after="80" w:line="276"/>
      </w:pPr>
      <w:r>
        <w:rPr>
          <w:rFonts w:ascii="Arial" w:cs="Arial" w:eastAsia="Arial" w:hAnsi="Arial"/>
          <w:color w:val="333333"/>
          <w:sz w:val="20"/>
          <w:szCs w:val="20"/>
        </w:rPr>
        <w:t xml:space="preserve">Bolt has faced strikes and protests in Lagos and Abuja since 2021 over commission rates (20-25%).</w:t>
      </w:r>
    </w:p>
    <w:p>
      <w:pPr>
        <w:pStyle w:val="ListParagraph"/>
        <w:numPr>
          <w:ilvl w:val="0"/>
          <w:numId w:val="2"/>
        </w:numPr>
        <w:spacing w:after="80" w:line="276"/>
      </w:pPr>
      <w:r>
        <w:rPr>
          <w:rFonts w:ascii="Arial" w:cs="Arial" w:eastAsia="Arial" w:hAnsi="Arial"/>
          <w:color w:val="333333"/>
          <w:sz w:val="20"/>
          <w:szCs w:val="20"/>
        </w:rPr>
        <w:t xml:space="preserve">EyeOnSite's 18% take rate is lower than both Uber (25-30%) and Bolt (20-25%) in Nigeria, which positions us as inspector-friendly.</w:t>
      </w:r>
    </w:p>
    <w:p>
      <w:pPr>
        <w:spacing w:after="0"/>
      </w:pPr>
    </w:p>
    <w:p>
      <w:pPr>
        <w:pStyle w:val="Heading2"/>
        <w:spacing w:after="160" w:before="300"/>
      </w:pPr>
      <w:r>
        <w:rPr>
          <w:rFonts w:ascii="Arial" w:cs="Arial" w:eastAsia="Arial" w:hAnsi="Arial"/>
          <w:b/>
          <w:bCs/>
          <w:color w:val="0B6E4F"/>
          <w:sz w:val="24"/>
          <w:szCs w:val="24"/>
        </w:rPr>
        <w:t xml:space="preserve">7.2 Withholding Tax on Inspector Payments</w:t>
      </w:r>
    </w:p>
    <w:p>
      <w:pPr>
        <w:pStyle w:val="ListParagraph"/>
        <w:numPr>
          <w:ilvl w:val="0"/>
          <w:numId w:val="2"/>
        </w:numPr>
        <w:spacing w:after="80" w:line="276"/>
      </w:pPr>
      <w:r>
        <w:rPr>
          <w:rFonts w:ascii="Arial" w:cs="Arial" w:eastAsia="Arial" w:hAnsi="Arial"/>
          <w:color w:val="333333"/>
          <w:sz w:val="20"/>
          <w:szCs w:val="20"/>
        </w:rPr>
        <w:t xml:space="preserve">10% withholding tax on payments to independent contractors (compared to 6% in Uganda and 5% in Ghana).</w:t>
      </w:r>
    </w:p>
    <w:p>
      <w:pPr>
        <w:pStyle w:val="ListParagraph"/>
        <w:numPr>
          <w:ilvl w:val="0"/>
          <w:numId w:val="2"/>
        </w:numPr>
        <w:spacing w:after="80" w:line="276"/>
      </w:pPr>
      <w:r>
        <w:rPr>
          <w:rFonts w:ascii="Arial" w:cs="Arial" w:eastAsia="Arial" w:hAnsi="Arial"/>
          <w:color w:val="333333"/>
          <w:sz w:val="20"/>
          <w:szCs w:val="20"/>
        </w:rPr>
        <w:t xml:space="preserve">EyeOnSite Nigeria Ltd must withhold 10% of inspector payouts and remit to FIRS.</w:t>
      </w:r>
    </w:p>
    <w:p>
      <w:pPr>
        <w:pStyle w:val="ListParagraph"/>
        <w:numPr>
          <w:ilvl w:val="0"/>
          <w:numId w:val="2"/>
        </w:numPr>
        <w:spacing w:after="80" w:line="276"/>
      </w:pPr>
      <w:r>
        <w:rPr>
          <w:rFonts w:ascii="Arial" w:cs="Arial" w:eastAsia="Arial" w:hAnsi="Arial"/>
          <w:color w:val="333333"/>
          <w:sz w:val="20"/>
          <w:szCs w:val="20"/>
        </w:rPr>
        <w:t xml:space="preserve">On a Standard task ($80, inspector payout $62.23): withholding = $6.22. Inspector receives $56.01.</w:t>
      </w:r>
    </w:p>
    <w:p>
      <w:pPr>
        <w:pStyle w:val="ListParagraph"/>
        <w:numPr>
          <w:ilvl w:val="0"/>
          <w:numId w:val="2"/>
        </w:numPr>
        <w:spacing w:after="80" w:line="276"/>
      </w:pPr>
      <w:r>
        <w:rPr>
          <w:rFonts w:ascii="Arial" w:cs="Arial" w:eastAsia="Arial" w:hAnsi="Arial"/>
          <w:color w:val="333333"/>
          <w:sz w:val="20"/>
          <w:szCs w:val="20"/>
        </w:rPr>
        <w:t xml:space="preserve">This is the highest inspector tax burden of any target market. Must be clearly communicated to Nigerian inspectors.</w:t>
      </w:r>
    </w:p>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The 10% withholding tax significantly reduces Nigerian inspector take-home pay compared to Ghana (5%) and Uganda (6%). Consider absorbing part of this burden or increasing Nigerian task prices to maintain inspector earnings parity across markets. A Nigerian Standard task at $90 instead of $80 would offset the higher withholding tax.</w:t>
      </w:r>
    </w:p>
    <w:p>
      <w:pPr>
        <w:pStyle w:val="Heading1"/>
        <w:spacing w:after="200" w:before="400"/>
      </w:pPr>
      <w:r>
        <w:rPr>
          <w:rFonts w:ascii="Arial" w:cs="Arial" w:eastAsia="Arial" w:hAnsi="Arial"/>
          <w:b/>
          <w:bCs/>
          <w:color w:val="022B1E"/>
          <w:sz w:val="28"/>
          <w:szCs w:val="28"/>
        </w:rPr>
        <w:t xml:space="preserve">8. Tax Obligations — Nigeria</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022B1E" w:val="clear"/>
          </w:tcPr>
          <w:p>
            <w:pPr>
              <w:spacing w:after="0"/>
            </w:pPr>
            <w:r>
              <w:rPr>
                <w:rFonts w:ascii="Arial" w:cs="Arial" w:eastAsia="Arial" w:hAnsi="Arial"/>
                <w:b/>
                <w:bCs/>
                <w:color w:val="FFFFFF"/>
                <w:sz w:val="18"/>
                <w:szCs w:val="18"/>
              </w:rPr>
              <w:t xml:space="preserve">Tax</w:t>
            </w:r>
          </w:p>
        </w:tc>
        <w:tc>
          <w:tcPr>
            <w:tcW w:type="dxa" w:w="900"/>
            <w:shd w:fill="022B1E" w:val="clear"/>
          </w:tcPr>
          <w:p>
            <w:pPr>
              <w:spacing w:after="0"/>
            </w:pPr>
            <w:r>
              <w:rPr>
                <w:rFonts w:ascii="Arial" w:cs="Arial" w:eastAsia="Arial" w:hAnsi="Arial"/>
                <w:b/>
                <w:bCs/>
                <w:color w:val="FFFFFF"/>
                <w:sz w:val="18"/>
                <w:szCs w:val="18"/>
              </w:rPr>
              <w:t xml:space="preserve">Rate</w:t>
            </w:r>
          </w:p>
        </w:tc>
        <w:tc>
          <w:tcPr>
            <w:tcW w:type="dxa" w:w="5260"/>
            <w:shd w:fill="022B1E" w:val="clear"/>
          </w:tcPr>
          <w:p>
            <w:pPr>
              <w:spacing w:after="0"/>
            </w:pPr>
            <w:r>
              <w:rPr>
                <w:rFonts w:ascii="Arial" w:cs="Arial" w:eastAsia="Arial" w:hAnsi="Arial"/>
                <w:b/>
                <w:bCs/>
                <w:color w:val="FFFFFF"/>
                <w:sz w:val="18"/>
                <w:szCs w:val="18"/>
              </w:rPr>
              <w:t xml:space="preserve">Notes</w:t>
            </w:r>
          </w:p>
        </w:tc>
      </w:tr>
      <w:tr>
        <w:tc>
          <w:tcPr>
            <w:tcW w:type="dxa" w:w="3200"/>
            <w:shd w:fill="F5F4F0" w:val="clear"/>
          </w:tcPr>
          <w:p>
            <w:pPr>
              <w:spacing w:after="0"/>
            </w:pPr>
            <w:r>
              <w:rPr>
                <w:rFonts w:ascii="Arial" w:cs="Arial" w:eastAsia="Arial" w:hAnsi="Arial"/>
                <w:color w:val="333333"/>
                <w:sz w:val="18"/>
                <w:szCs w:val="18"/>
              </w:rPr>
              <w:t xml:space="preserve">Companies Income Tax (CIT)</w:t>
            </w:r>
          </w:p>
        </w:tc>
        <w:tc>
          <w:tcPr>
            <w:tcW w:type="dxa" w:w="900"/>
            <w:shd w:fill="F5F4F0" w:val="clear"/>
          </w:tcPr>
          <w:p>
            <w:pPr>
              <w:spacing w:after="0"/>
            </w:pPr>
            <w:r>
              <w:rPr>
                <w:rFonts w:ascii="Arial" w:cs="Arial" w:eastAsia="Arial" w:hAnsi="Arial"/>
                <w:color w:val="333333"/>
                <w:sz w:val="18"/>
                <w:szCs w:val="18"/>
              </w:rPr>
              <w:t xml:space="preserve">30%</w:t>
            </w:r>
          </w:p>
        </w:tc>
        <w:tc>
          <w:tcPr>
            <w:tcW w:type="dxa" w:w="5260"/>
            <w:shd w:fill="F5F4F0" w:val="clear"/>
          </w:tcPr>
          <w:p>
            <w:pPr>
              <w:spacing w:after="0"/>
            </w:pPr>
            <w:r>
              <w:rPr>
                <w:rFonts w:ascii="Arial" w:cs="Arial" w:eastAsia="Arial" w:hAnsi="Arial"/>
                <w:color w:val="333333"/>
                <w:sz w:val="18"/>
                <w:szCs w:val="18"/>
              </w:rPr>
              <w:t xml:space="preserve">On taxable profits. Small companies (&lt;₦25M turnover): 0%. Medium (₦25M-100M): 20%.</w:t>
            </w:r>
          </w:p>
        </w:tc>
      </w:tr>
      <w:tr>
        <w:tc>
          <w:tcPr>
            <w:tcW w:type="dxa" w:w="3200"/>
            <w:shd w:fill="FFFFFF" w:val="clear"/>
          </w:tcPr>
          <w:p>
            <w:pPr>
              <w:spacing w:after="0"/>
            </w:pPr>
            <w:r>
              <w:rPr>
                <w:rFonts w:ascii="Arial" w:cs="Arial" w:eastAsia="Arial" w:hAnsi="Arial"/>
                <w:color w:val="333333"/>
                <w:sz w:val="18"/>
                <w:szCs w:val="18"/>
              </w:rPr>
              <w:t xml:space="preserve">Tertiary Education Tax</w:t>
            </w:r>
          </w:p>
        </w:tc>
        <w:tc>
          <w:tcPr>
            <w:tcW w:type="dxa" w:w="900"/>
            <w:shd w:fill="FFFFFF" w:val="clear"/>
          </w:tcPr>
          <w:p>
            <w:pPr>
              <w:spacing w:after="0"/>
            </w:pPr>
            <w:r>
              <w:rPr>
                <w:rFonts w:ascii="Arial" w:cs="Arial" w:eastAsia="Arial" w:hAnsi="Arial"/>
                <w:color w:val="333333"/>
                <w:sz w:val="18"/>
                <w:szCs w:val="18"/>
              </w:rPr>
              <w:t xml:space="preserve">3%</w:t>
            </w:r>
          </w:p>
        </w:tc>
        <w:tc>
          <w:tcPr>
            <w:tcW w:type="dxa" w:w="5260"/>
            <w:shd w:fill="FFFFFF" w:val="clear"/>
          </w:tcPr>
          <w:p>
            <w:pPr>
              <w:spacing w:after="0"/>
            </w:pPr>
            <w:r>
              <w:rPr>
                <w:rFonts w:ascii="Arial" w:cs="Arial" w:eastAsia="Arial" w:hAnsi="Arial"/>
                <w:color w:val="333333"/>
                <w:sz w:val="18"/>
                <w:szCs w:val="18"/>
              </w:rPr>
              <w:t xml:space="preserve">On assessable profits (in addition to CIT)</w:t>
            </w:r>
          </w:p>
        </w:tc>
      </w:tr>
      <w:tr>
        <w:tc>
          <w:tcPr>
            <w:tcW w:type="dxa" w:w="3200"/>
            <w:shd w:fill="F5F4F0" w:val="clear"/>
          </w:tcPr>
          <w:p>
            <w:pPr>
              <w:spacing w:after="0"/>
            </w:pPr>
            <w:r>
              <w:rPr>
                <w:rFonts w:ascii="Arial" w:cs="Arial" w:eastAsia="Arial" w:hAnsi="Arial"/>
                <w:color w:val="333333"/>
                <w:sz w:val="18"/>
                <w:szCs w:val="18"/>
              </w:rPr>
              <w:t xml:space="preserve">VAT</w:t>
            </w:r>
          </w:p>
        </w:tc>
        <w:tc>
          <w:tcPr>
            <w:tcW w:type="dxa" w:w="900"/>
            <w:shd w:fill="F5F4F0" w:val="clear"/>
          </w:tcPr>
          <w:p>
            <w:pPr>
              <w:spacing w:after="0"/>
            </w:pPr>
            <w:r>
              <w:rPr>
                <w:rFonts w:ascii="Arial" w:cs="Arial" w:eastAsia="Arial" w:hAnsi="Arial"/>
                <w:color w:val="333333"/>
                <w:sz w:val="18"/>
                <w:szCs w:val="18"/>
              </w:rPr>
              <w:t xml:space="preserve">7.5%</w:t>
            </w:r>
          </w:p>
        </w:tc>
        <w:tc>
          <w:tcPr>
            <w:tcW w:type="dxa" w:w="5260"/>
            <w:shd w:fill="F5F4F0" w:val="clear"/>
          </w:tcPr>
          <w:p>
            <w:pPr>
              <w:spacing w:after="0"/>
            </w:pPr>
            <w:r>
              <w:rPr>
                <w:rFonts w:ascii="Arial" w:cs="Arial" w:eastAsia="Arial" w:hAnsi="Arial"/>
                <w:color w:val="333333"/>
                <w:sz w:val="18"/>
                <w:szCs w:val="18"/>
              </w:rPr>
              <w:t xml:space="preserve">On platform fee. Registration mandatory for all companies.</w:t>
            </w:r>
          </w:p>
        </w:tc>
      </w:tr>
      <w:tr>
        <w:tc>
          <w:tcPr>
            <w:tcW w:type="dxa" w:w="3200"/>
            <w:shd w:fill="FFFFFF" w:val="clear"/>
          </w:tcPr>
          <w:p>
            <w:pPr>
              <w:spacing w:after="0"/>
            </w:pPr>
            <w:r>
              <w:rPr>
                <w:rFonts w:ascii="Arial" w:cs="Arial" w:eastAsia="Arial" w:hAnsi="Arial"/>
                <w:color w:val="333333"/>
                <w:sz w:val="18"/>
                <w:szCs w:val="18"/>
              </w:rPr>
              <w:t xml:space="preserve">Withholding Tax (contractors)</w:t>
            </w:r>
          </w:p>
        </w:tc>
        <w:tc>
          <w:tcPr>
            <w:tcW w:type="dxa" w:w="900"/>
            <w:shd w:fill="FFFFFF" w:val="clear"/>
          </w:tcPr>
          <w:p>
            <w:pPr>
              <w:spacing w:after="0"/>
            </w:pPr>
            <w:r>
              <w:rPr>
                <w:rFonts w:ascii="Arial" w:cs="Arial" w:eastAsia="Arial" w:hAnsi="Arial"/>
                <w:color w:val="333333"/>
                <w:sz w:val="18"/>
                <w:szCs w:val="18"/>
              </w:rPr>
              <w:t xml:space="preserve">10%</w:t>
            </w:r>
          </w:p>
        </w:tc>
        <w:tc>
          <w:tcPr>
            <w:tcW w:type="dxa" w:w="5260"/>
            <w:shd w:fill="FFFFFF" w:val="clear"/>
          </w:tcPr>
          <w:p>
            <w:pPr>
              <w:spacing w:after="0"/>
            </w:pPr>
            <w:r>
              <w:rPr>
                <w:rFonts w:ascii="Arial" w:cs="Arial" w:eastAsia="Arial" w:hAnsi="Arial"/>
                <w:color w:val="333333"/>
                <w:sz w:val="18"/>
                <w:szCs w:val="18"/>
              </w:rPr>
              <w:t xml:space="preserve">On payments to independent contractors (inspectors)</w:t>
            </w:r>
          </w:p>
        </w:tc>
      </w:tr>
      <w:tr>
        <w:tc>
          <w:tcPr>
            <w:tcW w:type="dxa" w:w="3200"/>
            <w:shd w:fill="F5F4F0" w:val="clear"/>
          </w:tcPr>
          <w:p>
            <w:pPr>
              <w:spacing w:after="0"/>
            </w:pPr>
            <w:r>
              <w:rPr>
                <w:rFonts w:ascii="Arial" w:cs="Arial" w:eastAsia="Arial" w:hAnsi="Arial"/>
                <w:color w:val="333333"/>
                <w:sz w:val="18"/>
                <w:szCs w:val="18"/>
              </w:rPr>
              <w:t xml:space="preserve">Withholding Tax (dividends)</w:t>
            </w:r>
          </w:p>
        </w:tc>
        <w:tc>
          <w:tcPr>
            <w:tcW w:type="dxa" w:w="900"/>
            <w:shd w:fill="F5F4F0" w:val="clear"/>
          </w:tcPr>
          <w:p>
            <w:pPr>
              <w:spacing w:after="0"/>
            </w:pPr>
            <w:r>
              <w:rPr>
                <w:rFonts w:ascii="Arial" w:cs="Arial" w:eastAsia="Arial" w:hAnsi="Arial"/>
                <w:color w:val="333333"/>
                <w:sz w:val="18"/>
                <w:szCs w:val="18"/>
              </w:rPr>
              <w:t xml:space="preserve">10%</w:t>
            </w:r>
          </w:p>
        </w:tc>
        <w:tc>
          <w:tcPr>
            <w:tcW w:type="dxa" w:w="5260"/>
            <w:shd w:fill="F5F4F0" w:val="clear"/>
          </w:tcPr>
          <w:p>
            <w:pPr>
              <w:spacing w:after="0"/>
            </w:pPr>
            <w:r>
              <w:rPr>
                <w:rFonts w:ascii="Arial" w:cs="Arial" w:eastAsia="Arial" w:hAnsi="Arial"/>
                <w:color w:val="333333"/>
                <w:sz w:val="18"/>
                <w:szCs w:val="18"/>
              </w:rPr>
              <w:t xml:space="preserve">On dividends paid to Manti Labs LLC (foreign parent)</w:t>
            </w:r>
          </w:p>
        </w:tc>
      </w:tr>
      <w:tr>
        <w:tc>
          <w:tcPr>
            <w:tcW w:type="dxa" w:w="3200"/>
            <w:shd w:fill="FFFFFF" w:val="clear"/>
          </w:tcPr>
          <w:p>
            <w:pPr>
              <w:spacing w:after="0"/>
            </w:pPr>
            <w:r>
              <w:rPr>
                <w:rFonts w:ascii="Arial" w:cs="Arial" w:eastAsia="Arial" w:hAnsi="Arial"/>
                <w:color w:val="333333"/>
                <w:sz w:val="18"/>
                <w:szCs w:val="18"/>
              </w:rPr>
              <w:t xml:space="preserve">Withholding Tax (royalties/IP fees)</w:t>
            </w:r>
          </w:p>
        </w:tc>
        <w:tc>
          <w:tcPr>
            <w:tcW w:type="dxa" w:w="900"/>
            <w:shd w:fill="FFFFFF" w:val="clear"/>
          </w:tcPr>
          <w:p>
            <w:pPr>
              <w:spacing w:after="0"/>
            </w:pPr>
            <w:r>
              <w:rPr>
                <w:rFonts w:ascii="Arial" w:cs="Arial" w:eastAsia="Arial" w:hAnsi="Arial"/>
                <w:color w:val="333333"/>
                <w:sz w:val="18"/>
                <w:szCs w:val="18"/>
              </w:rPr>
              <w:t xml:space="preserve">10%</w:t>
            </w:r>
          </w:p>
        </w:tc>
        <w:tc>
          <w:tcPr>
            <w:tcW w:type="dxa" w:w="5260"/>
            <w:shd w:fill="FFFFFF" w:val="clear"/>
          </w:tcPr>
          <w:p>
            <w:pPr>
              <w:spacing w:after="0"/>
            </w:pPr>
            <w:r>
              <w:rPr>
                <w:rFonts w:ascii="Arial" w:cs="Arial" w:eastAsia="Arial" w:hAnsi="Arial"/>
                <w:color w:val="333333"/>
                <w:sz w:val="18"/>
                <w:szCs w:val="18"/>
              </w:rPr>
              <w:t xml:space="preserve">On IP license fees paid to Manti Labs LLC</w:t>
            </w:r>
          </w:p>
        </w:tc>
      </w:tr>
      <w:tr>
        <w:tc>
          <w:tcPr>
            <w:tcW w:type="dxa" w:w="3200"/>
            <w:shd w:fill="F5F4F0" w:val="clear"/>
          </w:tcPr>
          <w:p>
            <w:pPr>
              <w:spacing w:after="0"/>
            </w:pPr>
            <w:r>
              <w:rPr>
                <w:rFonts w:ascii="Arial" w:cs="Arial" w:eastAsia="Arial" w:hAnsi="Arial"/>
                <w:color w:val="333333"/>
                <w:sz w:val="18"/>
                <w:szCs w:val="18"/>
              </w:rPr>
              <w:t xml:space="preserve">Withholding Tax (management fees)</w:t>
            </w:r>
          </w:p>
        </w:tc>
        <w:tc>
          <w:tcPr>
            <w:tcW w:type="dxa" w:w="900"/>
            <w:shd w:fill="F5F4F0" w:val="clear"/>
          </w:tcPr>
          <w:p>
            <w:pPr>
              <w:spacing w:after="0"/>
            </w:pPr>
            <w:r>
              <w:rPr>
                <w:rFonts w:ascii="Arial" w:cs="Arial" w:eastAsia="Arial" w:hAnsi="Arial"/>
                <w:color w:val="333333"/>
                <w:sz w:val="18"/>
                <w:szCs w:val="18"/>
              </w:rPr>
              <w:t xml:space="preserve">10%</w:t>
            </w:r>
          </w:p>
        </w:tc>
        <w:tc>
          <w:tcPr>
            <w:tcW w:type="dxa" w:w="5260"/>
            <w:shd w:fill="F5F4F0" w:val="clear"/>
          </w:tcPr>
          <w:p>
            <w:pPr>
              <w:spacing w:after="0"/>
            </w:pPr>
            <w:r>
              <w:rPr>
                <w:rFonts w:ascii="Arial" w:cs="Arial" w:eastAsia="Arial" w:hAnsi="Arial"/>
                <w:color w:val="333333"/>
                <w:sz w:val="18"/>
                <w:szCs w:val="18"/>
              </w:rPr>
              <w:t xml:space="preserve">On inter-company management fees</w:t>
            </w:r>
          </w:p>
        </w:tc>
      </w:tr>
      <w:tr>
        <w:tc>
          <w:tcPr>
            <w:tcW w:type="dxa" w:w="3200"/>
            <w:shd w:fill="FFFFFF" w:val="clear"/>
          </w:tcPr>
          <w:p>
            <w:pPr>
              <w:spacing w:after="0"/>
            </w:pPr>
            <w:r>
              <w:rPr>
                <w:rFonts w:ascii="Arial" w:cs="Arial" w:eastAsia="Arial" w:hAnsi="Arial"/>
                <w:color w:val="333333"/>
                <w:sz w:val="18"/>
                <w:szCs w:val="18"/>
              </w:rPr>
              <w:t xml:space="preserve">Information Technology Development Levy</w:t>
            </w:r>
          </w:p>
        </w:tc>
        <w:tc>
          <w:tcPr>
            <w:tcW w:type="dxa" w:w="900"/>
            <w:shd w:fill="FFFFFF" w:val="clear"/>
          </w:tcPr>
          <w:p>
            <w:pPr>
              <w:spacing w:after="0"/>
            </w:pPr>
            <w:r>
              <w:rPr>
                <w:rFonts w:ascii="Arial" w:cs="Arial" w:eastAsia="Arial" w:hAnsi="Arial"/>
                <w:color w:val="333333"/>
                <w:sz w:val="18"/>
                <w:szCs w:val="18"/>
              </w:rPr>
              <w:t xml:space="preserve">1%</w:t>
            </w:r>
          </w:p>
        </w:tc>
        <w:tc>
          <w:tcPr>
            <w:tcW w:type="dxa" w:w="5260"/>
            <w:shd w:fill="FFFFFF" w:val="clear"/>
          </w:tcPr>
          <w:p>
            <w:pPr>
              <w:spacing w:after="0"/>
            </w:pPr>
            <w:r>
              <w:rPr>
                <w:rFonts w:ascii="Arial" w:cs="Arial" w:eastAsia="Arial" w:hAnsi="Arial"/>
                <w:color w:val="333333"/>
                <w:sz w:val="18"/>
                <w:szCs w:val="18"/>
              </w:rPr>
              <w:t xml:space="preserve">On pre-tax profit for companies with turnover &gt;₦100M</w:t>
            </w:r>
          </w:p>
        </w:tc>
      </w:tr>
      <w:tr>
        <w:tc>
          <w:tcPr>
            <w:tcW w:type="dxa" w:w="3200"/>
            <w:shd w:fill="F5F4F0" w:val="clear"/>
          </w:tcPr>
          <w:p>
            <w:pPr>
              <w:spacing w:after="0"/>
            </w:pPr>
            <w:r>
              <w:rPr>
                <w:rFonts w:ascii="Arial" w:cs="Arial" w:eastAsia="Arial" w:hAnsi="Arial"/>
                <w:color w:val="333333"/>
                <w:sz w:val="18"/>
                <w:szCs w:val="18"/>
              </w:rPr>
              <w:t xml:space="preserve">NASENI Levy</w:t>
            </w:r>
          </w:p>
        </w:tc>
        <w:tc>
          <w:tcPr>
            <w:tcW w:type="dxa" w:w="900"/>
            <w:shd w:fill="F5F4F0" w:val="clear"/>
          </w:tcPr>
          <w:p>
            <w:pPr>
              <w:spacing w:after="0"/>
            </w:pPr>
            <w:r>
              <w:rPr>
                <w:rFonts w:ascii="Arial" w:cs="Arial" w:eastAsia="Arial" w:hAnsi="Arial"/>
                <w:color w:val="333333"/>
                <w:sz w:val="18"/>
                <w:szCs w:val="18"/>
              </w:rPr>
              <w:t xml:space="preserve">0.25%</w:t>
            </w:r>
          </w:p>
        </w:tc>
        <w:tc>
          <w:tcPr>
            <w:tcW w:type="dxa" w:w="5260"/>
            <w:shd w:fill="F5F4F0" w:val="clear"/>
          </w:tcPr>
          <w:p>
            <w:pPr>
              <w:spacing w:after="0"/>
            </w:pPr>
            <w:r>
              <w:rPr>
                <w:rFonts w:ascii="Arial" w:cs="Arial" w:eastAsia="Arial" w:hAnsi="Arial"/>
                <w:color w:val="333333"/>
                <w:sz w:val="18"/>
                <w:szCs w:val="18"/>
              </w:rPr>
              <w:t xml:space="preserve">On profit after tax for companies with turnover &gt;₦100M</w:t>
            </w:r>
          </w:p>
        </w:tc>
      </w:tr>
    </w:tbl>
    <w:p>
      <w:pPr>
        <w:spacing w:after="0"/>
      </w:pPr>
    </w:p>
    <w:p>
      <w:pPr>
        <w:spacing w:after="140" w:line="276"/>
      </w:pPr>
      <w:r>
        <w:rPr>
          <w:rFonts w:ascii="Arial" w:cs="Arial" w:eastAsia="Arial" w:hAnsi="Arial"/>
          <w:color w:val="333333"/>
          <w:sz w:val="20"/>
          <w:szCs w:val="20"/>
        </w:rPr>
        <w:t xml:space="preserve">Nigeria has the heaviest tax burden of any EyeOnSite target market. The effective corporate tax rate (CIT + Education Tax) is 33%. Combined with 10% withholding on inter-company payments (royalties, management fees, dividends), the total tax extraction on profits repatriated to Manti Labs LLC can reach 40%+.</w:t>
      </w:r>
    </w:p>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ACTION REQUIRED: Engage a Nigerian tax advisor (Big 4 firms have Lagos offices: KPMG Nigeria, PwC Nigeria, Deloitte Nigeria, EY Nigeria) to structure inter-company payments optimally. A US-Nigeria tax treaty may reduce withholding rates. Budget: $2,000-4,000 for initial structuring advice.</w:t>
      </w:r>
    </w:p>
    <w:p>
      <w:pPr>
        <w:pStyle w:val="Heading1"/>
        <w:spacing w:after="200" w:before="400"/>
      </w:pPr>
      <w:r>
        <w:rPr>
          <w:rFonts w:ascii="Arial" w:cs="Arial" w:eastAsia="Arial" w:hAnsi="Arial"/>
          <w:b/>
          <w:bCs/>
          <w:color w:val="022B1E"/>
          <w:sz w:val="28"/>
          <w:szCs w:val="28"/>
        </w:rPr>
        <w:t xml:space="preserve">9. Country Representative — Role Specification</w:t>
      </w:r>
    </w:p>
    <w:p>
      <w:pPr>
        <w:spacing w:after="140" w:line="276"/>
      </w:pPr>
      <w:r>
        <w:rPr>
          <w:rFonts w:ascii="Arial" w:cs="Arial" w:eastAsia="Arial" w:hAnsi="Arial"/>
          <w:color w:val="333333"/>
          <w:sz w:val="20"/>
          <w:szCs w:val="20"/>
        </w:rPr>
        <w:t xml:space="preserve">If Option A is selected, this section defines the Country Representative role in detail.</w:t>
      </w:r>
    </w:p>
    <w:p>
      <w:pPr>
        <w:spacing w:after="0"/>
      </w:pPr>
    </w:p>
    <w:p>
      <w:pPr>
        <w:pStyle w:val="Heading2"/>
        <w:spacing w:after="160" w:before="300"/>
      </w:pPr>
      <w:r>
        <w:rPr>
          <w:rFonts w:ascii="Arial" w:cs="Arial" w:eastAsia="Arial" w:hAnsi="Arial"/>
          <w:b/>
          <w:bCs/>
          <w:color w:val="0B6E4F"/>
          <w:sz w:val="24"/>
          <w:szCs w:val="24"/>
        </w:rPr>
        <w:t xml:space="preserve">9.1 Job Description</w:t>
      </w:r>
    </w:p>
    <w:p>
      <w:pPr>
        <w:spacing w:after="140" w:line="276"/>
      </w:pPr>
      <w:r>
        <w:rPr>
          <w:rFonts w:ascii="Arial" w:cs="Arial" w:eastAsia="Arial" w:hAnsi="Arial"/>
          <w:b/>
          <w:bCs/>
          <w:color w:val="333333"/>
          <w:sz w:val="20"/>
          <w:szCs w:val="20"/>
        </w:rPr>
        <w:t xml:space="preserve">Title: </w:t>
      </w:r>
      <w:r>
        <w:rPr>
          <w:rFonts w:ascii="Arial" w:cs="Arial" w:eastAsia="Arial" w:hAnsi="Arial"/>
          <w:color w:val="333333"/>
          <w:sz w:val="20"/>
          <w:szCs w:val="20"/>
        </w:rPr>
        <w:t xml:space="preserve">Country Representative — Nigeria (or Country Manager — Nigeria)</w:t>
      </w:r>
    </w:p>
    <w:p>
      <w:pPr>
        <w:spacing w:after="140" w:line="276"/>
      </w:pPr>
      <w:r>
        <w:rPr>
          <w:rFonts w:ascii="Arial" w:cs="Arial" w:eastAsia="Arial" w:hAnsi="Arial"/>
          <w:b/>
          <w:bCs/>
          <w:color w:val="333333"/>
          <w:sz w:val="20"/>
          <w:szCs w:val="20"/>
        </w:rPr>
        <w:t xml:space="preserve">Reports to: </w:t>
      </w:r>
      <w:r>
        <w:rPr>
          <w:rFonts w:ascii="Arial" w:cs="Arial" w:eastAsia="Arial" w:hAnsi="Arial"/>
          <w:color w:val="333333"/>
          <w:sz w:val="20"/>
          <w:szCs w:val="20"/>
        </w:rPr>
        <w:t xml:space="preserve">Founder &amp; CTO (Maku Mazakpe)</w:t>
      </w:r>
    </w:p>
    <w:p>
      <w:pPr>
        <w:spacing w:after="140" w:line="276"/>
      </w:pPr>
      <w:r>
        <w:rPr>
          <w:rFonts w:ascii="Arial" w:cs="Arial" w:eastAsia="Arial" w:hAnsi="Arial"/>
          <w:b/>
          <w:bCs/>
          <w:color w:val="333333"/>
          <w:sz w:val="20"/>
          <w:szCs w:val="20"/>
        </w:rPr>
        <w:t xml:space="preserve">Location: </w:t>
      </w:r>
      <w:r>
        <w:rPr>
          <w:rFonts w:ascii="Arial" w:cs="Arial" w:eastAsia="Arial" w:hAnsi="Arial"/>
          <w:color w:val="333333"/>
          <w:sz w:val="20"/>
          <w:szCs w:val="20"/>
        </w:rPr>
        <w:t xml:space="preserve">Lagos, Nigeria (Victoria Island / Ikeja / Lekki)</w:t>
      </w:r>
    </w:p>
    <w:p>
      <w:pPr>
        <w:spacing w:after="140" w:line="276"/>
      </w:pPr>
      <w:r>
        <w:rPr>
          <w:rFonts w:ascii="Arial" w:cs="Arial" w:eastAsia="Arial" w:hAnsi="Arial"/>
          <w:b/>
          <w:bCs/>
          <w:color w:val="333333"/>
          <w:sz w:val="20"/>
          <w:szCs w:val="20"/>
        </w:rPr>
        <w:t xml:space="preserve">Type: </w:t>
      </w:r>
      <w:r>
        <w:rPr>
          <w:rFonts w:ascii="Arial" w:cs="Arial" w:eastAsia="Arial" w:hAnsi="Arial"/>
          <w:color w:val="333333"/>
          <w:sz w:val="20"/>
          <w:szCs w:val="20"/>
        </w:rPr>
        <w:t xml:space="preserve">Independent contractor (initially), may transition to full-time employee at scale</w:t>
      </w:r>
    </w:p>
    <w:p>
      <w:pPr>
        <w:spacing w:after="140" w:line="276"/>
      </w:pPr>
      <w:r>
        <w:rPr>
          <w:rFonts w:ascii="Arial" w:cs="Arial" w:eastAsia="Arial" w:hAnsi="Arial"/>
          <w:b/>
          <w:bCs/>
          <w:color w:val="333333"/>
          <w:sz w:val="20"/>
          <w:szCs w:val="20"/>
        </w:rPr>
        <w:t xml:space="preserve">Compensation: </w:t>
      </w:r>
      <w:r>
        <w:rPr>
          <w:rFonts w:ascii="Arial" w:cs="Arial" w:eastAsia="Arial" w:hAnsi="Arial"/>
          <w:color w:val="333333"/>
          <w:sz w:val="20"/>
          <w:szCs w:val="20"/>
        </w:rPr>
        <w:t xml:space="preserve">$800-1,500/month retainer + performance bonus + optional 1-5% equity in EyeOnSite Nigeria Ltd</w:t>
      </w:r>
    </w:p>
    <w:p>
      <w:pPr>
        <w:spacing w:after="0"/>
      </w:pPr>
    </w:p>
    <w:p>
      <w:pPr>
        <w:spacing w:after="120" w:before="200"/>
      </w:pPr>
      <w:r>
        <w:rPr>
          <w:rFonts w:ascii="Arial" w:cs="Arial" w:eastAsia="Arial" w:hAnsi="Arial"/>
          <w:b/>
          <w:bCs/>
          <w:color w:val="4A4A47"/>
          <w:sz w:val="22"/>
          <w:szCs w:val="22"/>
        </w:rPr>
        <w:t xml:space="preserve">Responsibilities</w:t>
      </w:r>
    </w:p>
    <w:p>
      <w:pPr>
        <w:pStyle w:val="ListParagraph"/>
        <w:numPr>
          <w:ilvl w:val="0"/>
          <w:numId w:val="2"/>
        </w:numPr>
        <w:spacing w:after="80" w:line="276"/>
      </w:pPr>
      <w:r>
        <w:rPr>
          <w:rFonts w:ascii="Arial" w:cs="Arial" w:eastAsia="Arial" w:hAnsi="Arial"/>
          <w:color w:val="333333"/>
          <w:sz w:val="20"/>
          <w:szCs w:val="20"/>
        </w:rPr>
        <w:t xml:space="preserve">Regulatory: Lead CAC incorporation, NDPC registration, FIRS tax compliance, and all Nigerian regulatory interactions.</w:t>
      </w:r>
    </w:p>
    <w:p>
      <w:pPr>
        <w:pStyle w:val="ListParagraph"/>
        <w:numPr>
          <w:ilvl w:val="0"/>
          <w:numId w:val="2"/>
        </w:numPr>
        <w:spacing w:after="80" w:line="276"/>
      </w:pPr>
      <w:r>
        <w:rPr>
          <w:rFonts w:ascii="Arial" w:cs="Arial" w:eastAsia="Arial" w:hAnsi="Arial"/>
          <w:color w:val="333333"/>
          <w:sz w:val="20"/>
          <w:szCs w:val="20"/>
        </w:rPr>
        <w:t xml:space="preserve">Operations: Recruit and onboard the first 50 inspectors in Lagos. Establish quality standards and local training programs.</w:t>
      </w:r>
    </w:p>
    <w:p>
      <w:pPr>
        <w:pStyle w:val="ListParagraph"/>
        <w:numPr>
          <w:ilvl w:val="0"/>
          <w:numId w:val="2"/>
        </w:numPr>
        <w:spacing w:after="80" w:line="276"/>
      </w:pPr>
      <w:r>
        <w:rPr>
          <w:rFonts w:ascii="Arial" w:cs="Arial" w:eastAsia="Arial" w:hAnsi="Arial"/>
          <w:color w:val="333333"/>
          <w:sz w:val="20"/>
          <w:szCs w:val="20"/>
        </w:rPr>
        <w:t xml:space="preserve">Partnerships: Build relationships with Lagos real estate agents, construction companies, diaspora associations, and remittance platforms.</w:t>
      </w:r>
    </w:p>
    <w:p>
      <w:pPr>
        <w:pStyle w:val="ListParagraph"/>
        <w:numPr>
          <w:ilvl w:val="0"/>
          <w:numId w:val="2"/>
        </w:numPr>
        <w:spacing w:after="80" w:line="276"/>
      </w:pPr>
      <w:r>
        <w:rPr>
          <w:rFonts w:ascii="Arial" w:cs="Arial" w:eastAsia="Arial" w:hAnsi="Arial"/>
          <w:color w:val="333333"/>
          <w:sz w:val="20"/>
          <w:szCs w:val="20"/>
        </w:rPr>
        <w:t xml:space="preserve">Commercial: Generate the first 20-50 client inquiries from UK-Nigeria and US-Nigeria diaspora corridors.</w:t>
      </w:r>
    </w:p>
    <w:p>
      <w:pPr>
        <w:pStyle w:val="ListParagraph"/>
        <w:numPr>
          <w:ilvl w:val="0"/>
          <w:numId w:val="2"/>
        </w:numPr>
        <w:spacing w:after="80" w:line="276"/>
      </w:pPr>
      <w:r>
        <w:rPr>
          <w:rFonts w:ascii="Arial" w:cs="Arial" w:eastAsia="Arial" w:hAnsi="Arial"/>
          <w:color w:val="333333"/>
          <w:sz w:val="20"/>
          <w:szCs w:val="20"/>
        </w:rPr>
        <w:t xml:space="preserve">Finance: Open and manage the EyeOnSite Nigeria bank account. Handle monthly withholding tax remittances to FIRS.</w:t>
      </w:r>
    </w:p>
    <w:p>
      <w:pPr>
        <w:pStyle w:val="ListParagraph"/>
        <w:numPr>
          <w:ilvl w:val="0"/>
          <w:numId w:val="2"/>
        </w:numPr>
        <w:spacing w:after="80" w:line="276"/>
      </w:pPr>
      <w:r>
        <w:rPr>
          <w:rFonts w:ascii="Arial" w:cs="Arial" w:eastAsia="Arial" w:hAnsi="Arial"/>
          <w:color w:val="333333"/>
          <w:sz w:val="20"/>
          <w:szCs w:val="20"/>
        </w:rPr>
        <w:t xml:space="preserve">Legal: Serve as named director on the Nigerian entity. Attend CAC annual filings. Execute inspector contractor agreements.</w:t>
      </w:r>
    </w:p>
    <w:p>
      <w:pPr>
        <w:pStyle w:val="ListParagraph"/>
        <w:numPr>
          <w:ilvl w:val="0"/>
          <w:numId w:val="2"/>
        </w:numPr>
        <w:spacing w:after="80" w:line="276"/>
      </w:pPr>
      <w:r>
        <w:rPr>
          <w:rFonts w:ascii="Arial" w:cs="Arial" w:eastAsia="Arial" w:hAnsi="Arial"/>
          <w:color w:val="333333"/>
          <w:sz w:val="20"/>
          <w:szCs w:val="20"/>
        </w:rPr>
        <w:t xml:space="preserve">Reporting: Weekly written update to the Founder. Monthly financial report. Quarterly compliance status review.</w:t>
      </w:r>
    </w:p>
    <w:p>
      <w:pPr>
        <w:spacing w:after="0"/>
      </w:pPr>
    </w:p>
    <w:p>
      <w:pPr>
        <w:spacing w:after="120" w:before="200"/>
      </w:pPr>
      <w:r>
        <w:rPr>
          <w:rFonts w:ascii="Arial" w:cs="Arial" w:eastAsia="Arial" w:hAnsi="Arial"/>
          <w:b/>
          <w:bCs/>
          <w:color w:val="4A4A47"/>
          <w:sz w:val="22"/>
          <w:szCs w:val="22"/>
        </w:rPr>
        <w:t xml:space="preserve">Minimum Qualifications</w:t>
      </w:r>
    </w:p>
    <w:p>
      <w:pPr>
        <w:pStyle w:val="ListParagraph"/>
        <w:numPr>
          <w:ilvl w:val="0"/>
          <w:numId w:val="2"/>
        </w:numPr>
        <w:spacing w:after="80" w:line="276"/>
      </w:pPr>
      <w:r>
        <w:rPr>
          <w:rFonts w:ascii="Arial" w:cs="Arial" w:eastAsia="Arial" w:hAnsi="Arial"/>
          <w:color w:val="333333"/>
          <w:sz w:val="20"/>
          <w:szCs w:val="20"/>
        </w:rPr>
        <w:t xml:space="preserve">Nigerian citizen, based in Lagos. Physically present — not a remote role.</w:t>
      </w:r>
    </w:p>
    <w:p>
      <w:pPr>
        <w:pStyle w:val="ListParagraph"/>
        <w:numPr>
          <w:ilvl w:val="0"/>
          <w:numId w:val="2"/>
        </w:numPr>
        <w:spacing w:after="80" w:line="276"/>
      </w:pPr>
      <w:r>
        <w:rPr>
          <w:rFonts w:ascii="Arial" w:cs="Arial" w:eastAsia="Arial" w:hAnsi="Arial"/>
          <w:color w:val="333333"/>
          <w:sz w:val="20"/>
          <w:szCs w:val="20"/>
        </w:rPr>
        <w:t xml:space="preserve">3+ years experience in fintech operations, corporate law, or business development in Nigeria.</w:t>
      </w:r>
    </w:p>
    <w:p>
      <w:pPr>
        <w:pStyle w:val="ListParagraph"/>
        <w:numPr>
          <w:ilvl w:val="0"/>
          <w:numId w:val="2"/>
        </w:numPr>
        <w:spacing w:after="80" w:line="276"/>
      </w:pPr>
      <w:r>
        <w:rPr>
          <w:rFonts w:ascii="Arial" w:cs="Arial" w:eastAsia="Arial" w:hAnsi="Arial"/>
          <w:color w:val="333333"/>
          <w:sz w:val="20"/>
          <w:szCs w:val="20"/>
        </w:rPr>
        <w:t xml:space="preserve">Understanding of CBN regulations, CAMA compliance, and FIRS tax obligations.</w:t>
      </w:r>
    </w:p>
    <w:p>
      <w:pPr>
        <w:pStyle w:val="ListParagraph"/>
        <w:numPr>
          <w:ilvl w:val="0"/>
          <w:numId w:val="2"/>
        </w:numPr>
        <w:spacing w:after="80" w:line="276"/>
      </w:pPr>
      <w:r>
        <w:rPr>
          <w:rFonts w:ascii="Arial" w:cs="Arial" w:eastAsia="Arial" w:hAnsi="Arial"/>
          <w:color w:val="333333"/>
          <w:sz w:val="20"/>
          <w:szCs w:val="20"/>
        </w:rPr>
        <w:t xml:space="preserve">Existing professional network in the Lagos tech/fintech/real estate ecosystem.</w:t>
      </w:r>
    </w:p>
    <w:p>
      <w:pPr>
        <w:pStyle w:val="ListParagraph"/>
        <w:numPr>
          <w:ilvl w:val="0"/>
          <w:numId w:val="2"/>
        </w:numPr>
        <w:spacing w:after="80" w:line="276"/>
      </w:pPr>
      <w:r>
        <w:rPr>
          <w:rFonts w:ascii="Arial" w:cs="Arial" w:eastAsia="Arial" w:hAnsi="Arial"/>
          <w:color w:val="333333"/>
          <w:sz w:val="20"/>
          <w:szCs w:val="20"/>
        </w:rPr>
        <w:t xml:space="preserve">Background check passed (criminal, credit, professional references).</w:t>
      </w:r>
    </w:p>
    <w:p>
      <w:pPr>
        <w:pStyle w:val="ListParagraph"/>
        <w:numPr>
          <w:ilvl w:val="0"/>
          <w:numId w:val="2"/>
        </w:numPr>
        <w:spacing w:after="80" w:line="276"/>
      </w:pPr>
      <w:r>
        <w:rPr>
          <w:rFonts w:ascii="Arial" w:cs="Arial" w:eastAsia="Arial" w:hAnsi="Arial"/>
          <w:color w:val="333333"/>
          <w:sz w:val="20"/>
          <w:szCs w:val="20"/>
        </w:rPr>
        <w:t xml:space="preserve">Strong written and verbal communication in English. Yoruba fluency is a meaningful bonus for Lagos operations.</w:t>
      </w:r>
    </w:p>
    <w:p>
      <w:pPr>
        <w:spacing w:after="0"/>
      </w:pPr>
    </w:p>
    <w:p>
      <w:pPr>
        <w:spacing w:after="120" w:before="200"/>
      </w:pPr>
      <w:r>
        <w:rPr>
          <w:rFonts w:ascii="Arial" w:cs="Arial" w:eastAsia="Arial" w:hAnsi="Arial"/>
          <w:b/>
          <w:bCs/>
          <w:color w:val="4A4A47"/>
          <w:sz w:val="22"/>
          <w:szCs w:val="22"/>
        </w:rPr>
        <w:t xml:space="preserve">Vetting Process</w:t>
      </w:r>
    </w:p>
    <w:p>
      <w:pPr>
        <w:pStyle w:val="ListParagraph"/>
        <w:numPr>
          <w:ilvl w:val="0"/>
          <w:numId w:val="2"/>
        </w:numPr>
        <w:spacing w:after="80" w:line="276"/>
      </w:pPr>
      <w:r>
        <w:rPr>
          <w:rFonts w:ascii="Arial" w:cs="Arial" w:eastAsia="Arial" w:hAnsi="Arial"/>
          <w:color w:val="333333"/>
          <w:sz w:val="20"/>
          <w:szCs w:val="20"/>
        </w:rPr>
        <w:t xml:space="preserve">Phase 1 (Weeks 1-2): 3+ structured interviews covering background, regulatory knowledge, and network.</w:t>
      </w:r>
    </w:p>
    <w:p>
      <w:pPr>
        <w:pStyle w:val="ListParagraph"/>
        <w:numPr>
          <w:ilvl w:val="0"/>
          <w:numId w:val="2"/>
        </w:numPr>
        <w:spacing w:after="80" w:line="276"/>
      </w:pPr>
      <w:r>
        <w:rPr>
          <w:rFonts w:ascii="Arial" w:cs="Arial" w:eastAsia="Arial" w:hAnsi="Arial"/>
          <w:color w:val="333333"/>
          <w:sz w:val="20"/>
          <w:szCs w:val="20"/>
        </w:rPr>
        <w:t xml:space="preserve">Phase 2 (Weeks 3-4): Reference checks — speak with 5+ people who have worked with the candidate, including at least 2 unprompted by the candidate.</w:t>
      </w:r>
    </w:p>
    <w:p>
      <w:pPr>
        <w:pStyle w:val="ListParagraph"/>
        <w:numPr>
          <w:ilvl w:val="0"/>
          <w:numId w:val="2"/>
        </w:numPr>
        <w:spacing w:after="80" w:line="276"/>
      </w:pPr>
      <w:r>
        <w:rPr>
          <w:rFonts w:ascii="Arial" w:cs="Arial" w:eastAsia="Arial" w:hAnsi="Arial"/>
          <w:color w:val="333333"/>
          <w:sz w:val="20"/>
          <w:szCs w:val="20"/>
        </w:rPr>
        <w:t xml:space="preserve">Phase 3 (Weeks 4-8): Paid trial project — the candidate leads the CAC name reservation and incorporation process. Deliverable: Certificate of Incorporation.</w:t>
      </w:r>
    </w:p>
    <w:p>
      <w:pPr>
        <w:pStyle w:val="ListParagraph"/>
        <w:numPr>
          <w:ilvl w:val="0"/>
          <w:numId w:val="2"/>
        </w:numPr>
        <w:spacing w:after="80" w:line="276"/>
      </w:pPr>
      <w:r>
        <w:rPr>
          <w:rFonts w:ascii="Arial" w:cs="Arial" w:eastAsia="Arial" w:hAnsi="Arial"/>
          <w:color w:val="333333"/>
          <w:sz w:val="20"/>
          <w:szCs w:val="20"/>
        </w:rPr>
        <w:t xml:space="preserve">Phase 4 (Week 8+): If the trial succeeds, sign the formal engagement agreement with retainer and equity terms.</w:t>
      </w:r>
    </w:p>
    <w:p>
      <w:pPr>
        <w:spacing w:after="0"/>
      </w:pPr>
    </w:p>
    <w:p>
      <w:pPr>
        <w:pBdr>
          <w:left w:val="single" w:color="E8593C" w:sz="12" w:space="8"/>
        </w:pBdr>
        <w:shd w:fill="FEF2F2" w:val="clear"/>
        <w:spacing w:after="200" w:before="120"/>
      </w:pPr>
      <w:r>
        <w:rPr>
          <w:rFonts w:ascii="Arial" w:cs="Arial" w:eastAsia="Arial" w:hAnsi="Arial"/>
          <w:color w:val="333333"/>
          <w:sz w:val="20"/>
          <w:szCs w:val="20"/>
        </w:rPr>
        <w:t xml:space="preserve">TRUST IS THE CRITICAL FACTOR. The Country Representative will have signatory authority on the Nigerian bank account, will file tax returns on your behalf, and will represent EyeOnSite to Nigerian regulators. A bad hire here is not just expensive — it can result in regulatory penalties, financial fraud, or reputational damage. Vet rigorously. Pay well. Align incentives with equity.</w:t>
      </w:r>
    </w:p>
    <w:p>
      <w:pPr>
        <w:pStyle w:val="Heading1"/>
        <w:spacing w:after="200" w:before="400"/>
      </w:pPr>
      <w:r>
        <w:rPr>
          <w:rFonts w:ascii="Arial" w:cs="Arial" w:eastAsia="Arial" w:hAnsi="Arial"/>
          <w:b/>
          <w:bCs/>
          <w:color w:val="022B1E"/>
          <w:sz w:val="28"/>
          <w:szCs w:val="28"/>
        </w:rPr>
        <w:t xml:space="preserve">10. Nigeria Compliance Action Plan</w:t>
      </w:r>
    </w:p>
    <w:p>
      <w:pPr>
        <w:spacing w:after="0"/>
      </w:pPr>
    </w:p>
    <w:p>
      <w:pPr>
        <w:pStyle w:val="Heading2"/>
        <w:spacing w:after="160" w:before="300"/>
      </w:pPr>
      <w:r>
        <w:rPr>
          <w:rFonts w:ascii="Arial" w:cs="Arial" w:eastAsia="Arial" w:hAnsi="Arial"/>
          <w:b/>
          <w:bCs/>
          <w:color w:val="0B6E4F"/>
          <w:sz w:val="24"/>
          <w:szCs w:val="24"/>
        </w:rPr>
        <w:t xml:space="preserve">10.1 Phase 1 — Pre-Market Entry (V3, Months 15-18)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shd w:fill="022B1E" w:val="clear"/>
          </w:tcPr>
          <w:p>
            <w:pPr>
              <w:spacing w:after="0"/>
            </w:pPr>
            <w:r>
              <w:rPr>
                <w:rFonts w:ascii="Arial" w:cs="Arial" w:eastAsia="Arial" w:hAnsi="Arial"/>
                <w:b/>
                <w:bCs/>
                <w:color w:val="FFFFFF"/>
                <w:sz w:val="18"/>
                <w:szCs w:val="18"/>
              </w:rPr>
              <w:t xml:space="preserve">Action</w:t>
            </w:r>
          </w:p>
        </w:tc>
        <w:tc>
          <w:tcPr>
            <w:tcW w:type="dxa" w:w="1800"/>
            <w:shd w:fill="022B1E" w:val="clear"/>
          </w:tcPr>
          <w:p>
            <w:pPr>
              <w:spacing w:after="0"/>
            </w:pPr>
            <w:r>
              <w:rPr>
                <w:rFonts w:ascii="Arial" w:cs="Arial" w:eastAsia="Arial" w:hAnsi="Arial"/>
                <w:b/>
                <w:bCs/>
                <w:color w:val="FFFFFF"/>
                <w:sz w:val="18"/>
                <w:szCs w:val="18"/>
              </w:rPr>
              <w:t xml:space="preserve">Authority</w:t>
            </w:r>
          </w:p>
        </w:tc>
        <w:tc>
          <w:tcPr>
            <w:tcW w:type="dxa" w:w="1500"/>
            <w:shd w:fill="022B1E" w:val="clear"/>
          </w:tcPr>
          <w:p>
            <w:pPr>
              <w:spacing w:after="0"/>
            </w:pPr>
            <w:r>
              <w:rPr>
                <w:rFonts w:ascii="Arial" w:cs="Arial" w:eastAsia="Arial" w:hAnsi="Arial"/>
                <w:b/>
                <w:bCs/>
                <w:color w:val="FFFFFF"/>
                <w:sz w:val="18"/>
                <w:szCs w:val="18"/>
              </w:rPr>
              <w:t xml:space="preserve">Est. Cost</w:t>
            </w:r>
          </w:p>
        </w:tc>
        <w:tc>
          <w:tcPr>
            <w:tcW w:type="dxa" w:w="1200"/>
            <w:shd w:fill="022B1E" w:val="clear"/>
          </w:tcPr>
          <w:p>
            <w:pPr>
              <w:spacing w:after="0"/>
            </w:pPr>
            <w:r>
              <w:rPr>
                <w:rFonts w:ascii="Arial" w:cs="Arial" w:eastAsia="Arial" w:hAnsi="Arial"/>
                <w:b/>
                <w:bCs/>
                <w:color w:val="FFFFFF"/>
                <w:sz w:val="18"/>
                <w:szCs w:val="18"/>
              </w:rPr>
              <w:t xml:space="preserve">Timeline</w:t>
            </w:r>
          </w:p>
        </w:tc>
        <w:tc>
          <w:tcPr>
            <w:tcW w:type="dxa" w:w="2260"/>
            <w:shd w:fill="022B1E" w:val="clear"/>
          </w:tcPr>
          <w:p>
            <w:pPr>
              <w:spacing w:after="0"/>
            </w:pPr>
            <w:r>
              <w:rPr>
                <w:rFonts w:ascii="Arial" w:cs="Arial" w:eastAsia="Arial" w:hAnsi="Arial"/>
                <w:b/>
                <w:bCs/>
                <w:color w:val="FFFFFF"/>
                <w:sz w:val="18"/>
                <w:szCs w:val="18"/>
              </w:rPr>
              <w:t xml:space="preserve">Priority</w:t>
            </w:r>
          </w:p>
        </w:tc>
      </w:tr>
      <w:tr>
        <w:tc>
          <w:tcPr>
            <w:tcW w:type="dxa" w:w="2600"/>
            <w:shd w:fill="F5F4F0" w:val="clear"/>
          </w:tcPr>
          <w:p>
            <w:pPr>
              <w:spacing w:after="0"/>
            </w:pPr>
            <w:r>
              <w:rPr>
                <w:rFonts w:ascii="Arial" w:cs="Arial" w:eastAsia="Arial" w:hAnsi="Arial"/>
                <w:color w:val="333333"/>
                <w:sz w:val="18"/>
                <w:szCs w:val="18"/>
              </w:rPr>
              <w:t xml:space="preserve">Identify and vet Country Representative</w:t>
            </w:r>
          </w:p>
        </w:tc>
        <w:tc>
          <w:tcPr>
            <w:tcW w:type="dxa" w:w="1800"/>
            <w:shd w:fill="F5F4F0" w:val="clear"/>
          </w:tcPr>
          <w:p>
            <w:pPr>
              <w:spacing w:after="0"/>
            </w:pPr>
            <w:r>
              <w:rPr>
                <w:rFonts w:ascii="Arial" w:cs="Arial" w:eastAsia="Arial" w:hAnsi="Arial"/>
                <w:color w:val="333333"/>
                <w:sz w:val="18"/>
                <w:szCs w:val="18"/>
              </w:rPr>
              <w:t xml:space="preserve">Search + interviews</w:t>
            </w:r>
          </w:p>
        </w:tc>
        <w:tc>
          <w:tcPr>
            <w:tcW w:type="dxa" w:w="1500"/>
            <w:shd w:fill="F5F4F0" w:val="clear"/>
          </w:tcPr>
          <w:p>
            <w:pPr>
              <w:spacing w:after="0"/>
            </w:pPr>
            <w:r>
              <w:rPr>
                <w:rFonts w:ascii="Arial" w:cs="Arial" w:eastAsia="Arial" w:hAnsi="Arial"/>
                <w:color w:val="333333"/>
                <w:sz w:val="18"/>
                <w:szCs w:val="18"/>
              </w:rPr>
              <w:t xml:space="preserve">$0 (time investment)</w:t>
            </w:r>
          </w:p>
        </w:tc>
        <w:tc>
          <w:tcPr>
            <w:tcW w:type="dxa" w:w="1200"/>
            <w:shd w:fill="F5F4F0" w:val="clear"/>
          </w:tcPr>
          <w:p>
            <w:pPr>
              <w:spacing w:after="0"/>
            </w:pPr>
            <w:r>
              <w:rPr>
                <w:rFonts w:ascii="Arial" w:cs="Arial" w:eastAsia="Arial" w:hAnsi="Arial"/>
                <w:color w:val="333333"/>
                <w:sz w:val="18"/>
                <w:szCs w:val="18"/>
              </w:rPr>
              <w:t xml:space="preserve">8-12 weeks</w:t>
            </w:r>
          </w:p>
        </w:tc>
        <w:tc>
          <w:tcPr>
            <w:tcW w:type="dxa" w:w="2260"/>
            <w:shd w:fill="F5F4F0" w:val="clear"/>
          </w:tcPr>
          <w:p>
            <w:pPr>
              <w:spacing w:after="0"/>
            </w:pPr>
            <w:r>
              <w:rPr>
                <w:rFonts w:ascii="Arial" w:cs="Arial" w:eastAsia="Arial" w:hAnsi="Arial"/>
                <w:color w:val="333333"/>
                <w:sz w:val="18"/>
                <w:szCs w:val="18"/>
              </w:rPr>
              <w:t xml:space="preserve">CRITICAL</w:t>
            </w:r>
          </w:p>
        </w:tc>
      </w:tr>
      <w:tr>
        <w:tc>
          <w:tcPr>
            <w:tcW w:type="dxa" w:w="2600"/>
            <w:shd w:fill="FFFFFF" w:val="clear"/>
          </w:tcPr>
          <w:p>
            <w:pPr>
              <w:spacing w:after="0"/>
            </w:pPr>
            <w:r>
              <w:rPr>
                <w:rFonts w:ascii="Arial" w:cs="Arial" w:eastAsia="Arial" w:hAnsi="Arial"/>
                <w:color w:val="333333"/>
                <w:sz w:val="18"/>
                <w:szCs w:val="18"/>
              </w:rPr>
              <w:t xml:space="preserve">Reserve company name (2 options)</w:t>
            </w:r>
          </w:p>
        </w:tc>
        <w:tc>
          <w:tcPr>
            <w:tcW w:type="dxa" w:w="1800"/>
            <w:shd w:fill="FFFFFF" w:val="clear"/>
          </w:tcPr>
          <w:p>
            <w:pPr>
              <w:spacing w:after="0"/>
            </w:pPr>
            <w:r>
              <w:rPr>
                <w:rFonts w:ascii="Arial" w:cs="Arial" w:eastAsia="Arial" w:hAnsi="Arial"/>
                <w:color w:val="333333"/>
                <w:sz w:val="18"/>
                <w:szCs w:val="18"/>
              </w:rPr>
              <w:t xml:space="preserve">CAC</w:t>
            </w:r>
          </w:p>
        </w:tc>
        <w:tc>
          <w:tcPr>
            <w:tcW w:type="dxa" w:w="1500"/>
            <w:shd w:fill="FFFFFF" w:val="clear"/>
          </w:tcPr>
          <w:p>
            <w:pPr>
              <w:spacing w:after="0"/>
            </w:pPr>
            <w:r>
              <w:rPr>
                <w:rFonts w:ascii="Arial" w:cs="Arial" w:eastAsia="Arial" w:hAnsi="Arial"/>
                <w:color w:val="333333"/>
                <w:sz w:val="18"/>
                <w:szCs w:val="18"/>
              </w:rPr>
              <w:t xml:space="preserve">NGN 500 (~$0.33)</w:t>
            </w:r>
          </w:p>
        </w:tc>
        <w:tc>
          <w:tcPr>
            <w:tcW w:type="dxa" w:w="1200"/>
            <w:shd w:fill="FFFFFF" w:val="clear"/>
          </w:tcPr>
          <w:p>
            <w:pPr>
              <w:spacing w:after="0"/>
            </w:pPr>
            <w:r>
              <w:rPr>
                <w:rFonts w:ascii="Arial" w:cs="Arial" w:eastAsia="Arial" w:hAnsi="Arial"/>
                <w:color w:val="333333"/>
                <w:sz w:val="18"/>
                <w:szCs w:val="18"/>
              </w:rPr>
              <w:t xml:space="preserve">1-3 days</w:t>
            </w:r>
          </w:p>
        </w:tc>
        <w:tc>
          <w:tcPr>
            <w:tcW w:type="dxa" w:w="2260"/>
            <w:shd w:fill="FFFFFF" w:val="clear"/>
          </w:tcPr>
          <w:p>
            <w:pPr>
              <w:spacing w:after="0"/>
            </w:pPr>
            <w:r>
              <w:rPr>
                <w:rFonts w:ascii="Arial" w:cs="Arial" w:eastAsia="Arial" w:hAnsi="Arial"/>
                <w:color w:val="333333"/>
                <w:sz w:val="18"/>
                <w:szCs w:val="18"/>
              </w:rPr>
              <w:t xml:space="preserve">CRITICAL</w:t>
            </w:r>
          </w:p>
        </w:tc>
      </w:tr>
      <w:tr>
        <w:tc>
          <w:tcPr>
            <w:tcW w:type="dxa" w:w="2600"/>
            <w:shd w:fill="F5F4F0" w:val="clear"/>
          </w:tcPr>
          <w:p>
            <w:pPr>
              <w:spacing w:after="0"/>
            </w:pPr>
            <w:r>
              <w:rPr>
                <w:rFonts w:ascii="Arial" w:cs="Arial" w:eastAsia="Arial" w:hAnsi="Arial"/>
                <w:color w:val="333333"/>
                <w:sz w:val="18"/>
                <w:szCs w:val="18"/>
              </w:rPr>
              <w:t xml:space="preserve">Incorporate EyeOnSite Nigeria Ltd</w:t>
            </w:r>
          </w:p>
        </w:tc>
        <w:tc>
          <w:tcPr>
            <w:tcW w:type="dxa" w:w="1800"/>
            <w:shd w:fill="F5F4F0" w:val="clear"/>
          </w:tcPr>
          <w:p>
            <w:pPr>
              <w:spacing w:after="0"/>
            </w:pPr>
            <w:r>
              <w:rPr>
                <w:rFonts w:ascii="Arial" w:cs="Arial" w:eastAsia="Arial" w:hAnsi="Arial"/>
                <w:color w:val="333333"/>
                <w:sz w:val="18"/>
                <w:szCs w:val="18"/>
              </w:rPr>
              <w:t xml:space="preserve">CAC</w:t>
            </w:r>
          </w:p>
        </w:tc>
        <w:tc>
          <w:tcPr>
            <w:tcW w:type="dxa" w:w="1500"/>
            <w:shd w:fill="F5F4F0" w:val="clear"/>
          </w:tcPr>
          <w:p>
            <w:pPr>
              <w:spacing w:after="0"/>
            </w:pPr>
            <w:r>
              <w:rPr>
                <w:rFonts w:ascii="Arial" w:cs="Arial" w:eastAsia="Arial" w:hAnsi="Arial"/>
                <w:color w:val="333333"/>
                <w:sz w:val="18"/>
                <w:szCs w:val="18"/>
              </w:rPr>
              <w:t xml:space="preserve">$770-2,030 total</w:t>
            </w:r>
          </w:p>
        </w:tc>
        <w:tc>
          <w:tcPr>
            <w:tcW w:type="dxa" w:w="1200"/>
            <w:shd w:fill="F5F4F0" w:val="clear"/>
          </w:tcPr>
          <w:p>
            <w:pPr>
              <w:spacing w:after="0"/>
            </w:pPr>
            <w:r>
              <w:rPr>
                <w:rFonts w:ascii="Arial" w:cs="Arial" w:eastAsia="Arial" w:hAnsi="Arial"/>
                <w:color w:val="333333"/>
                <w:sz w:val="18"/>
                <w:szCs w:val="18"/>
              </w:rPr>
              <w:t xml:space="preserve">4-8 weeks</w:t>
            </w:r>
          </w:p>
        </w:tc>
        <w:tc>
          <w:tcPr>
            <w:tcW w:type="dxa" w:w="2260"/>
            <w:shd w:fill="F5F4F0" w:val="clear"/>
          </w:tcPr>
          <w:p>
            <w:pPr>
              <w:spacing w:after="0"/>
            </w:pPr>
            <w:r>
              <w:rPr>
                <w:rFonts w:ascii="Arial" w:cs="Arial" w:eastAsia="Arial" w:hAnsi="Arial"/>
                <w:color w:val="333333"/>
                <w:sz w:val="18"/>
                <w:szCs w:val="18"/>
              </w:rPr>
              <w:t xml:space="preserve">CRITICAL</w:t>
            </w:r>
          </w:p>
        </w:tc>
      </w:tr>
      <w:tr>
        <w:tc>
          <w:tcPr>
            <w:tcW w:type="dxa" w:w="2600"/>
            <w:shd w:fill="FFFFFF" w:val="clear"/>
          </w:tcPr>
          <w:p>
            <w:pPr>
              <w:spacing w:after="0"/>
            </w:pPr>
            <w:r>
              <w:rPr>
                <w:rFonts w:ascii="Arial" w:cs="Arial" w:eastAsia="Arial" w:hAnsi="Arial"/>
                <w:color w:val="333333"/>
                <w:sz w:val="18"/>
                <w:szCs w:val="18"/>
              </w:rPr>
              <w:t xml:space="preserve">Obtain Business Permit</w:t>
            </w:r>
          </w:p>
        </w:tc>
        <w:tc>
          <w:tcPr>
            <w:tcW w:type="dxa" w:w="1800"/>
            <w:shd w:fill="FFFFFF" w:val="clear"/>
          </w:tcPr>
          <w:p>
            <w:pPr>
              <w:spacing w:after="0"/>
            </w:pPr>
            <w:r>
              <w:rPr>
                <w:rFonts w:ascii="Arial" w:cs="Arial" w:eastAsia="Arial" w:hAnsi="Arial"/>
                <w:color w:val="333333"/>
                <w:sz w:val="18"/>
                <w:szCs w:val="18"/>
              </w:rPr>
              <w:t xml:space="preserve">Ministry of Interior (EAS)</w:t>
            </w:r>
          </w:p>
        </w:tc>
        <w:tc>
          <w:tcPr>
            <w:tcW w:type="dxa" w:w="1500"/>
            <w:shd w:fill="FFFFFF" w:val="clear"/>
          </w:tcPr>
          <w:p>
            <w:pPr>
              <w:spacing w:after="0"/>
            </w:pPr>
            <w:r>
              <w:rPr>
                <w:rFonts w:ascii="Arial" w:cs="Arial" w:eastAsia="Arial" w:hAnsi="Arial"/>
                <w:color w:val="333333"/>
                <w:sz w:val="18"/>
                <w:szCs w:val="18"/>
              </w:rPr>
              <w:t xml:space="preserve">$130-330</w:t>
            </w:r>
          </w:p>
        </w:tc>
        <w:tc>
          <w:tcPr>
            <w:tcW w:type="dxa" w:w="1200"/>
            <w:shd w:fill="FFFFFF" w:val="clear"/>
          </w:tcPr>
          <w:p>
            <w:pPr>
              <w:spacing w:after="0"/>
            </w:pPr>
            <w:r>
              <w:rPr>
                <w:rFonts w:ascii="Arial" w:cs="Arial" w:eastAsia="Arial" w:hAnsi="Arial"/>
                <w:color w:val="333333"/>
                <w:sz w:val="18"/>
                <w:szCs w:val="18"/>
              </w:rPr>
              <w:t xml:space="preserve">4-8 weeks (parallel)</w:t>
            </w:r>
          </w:p>
        </w:tc>
        <w:tc>
          <w:tcPr>
            <w:tcW w:type="dxa" w:w="2260"/>
            <w:shd w:fill="FFFFFF" w:val="clear"/>
          </w:tcPr>
          <w:p>
            <w:pPr>
              <w:spacing w:after="0"/>
            </w:pPr>
            <w:r>
              <w:rPr>
                <w:rFonts w:ascii="Arial" w:cs="Arial" w:eastAsia="Arial" w:hAnsi="Arial"/>
                <w:color w:val="333333"/>
                <w:sz w:val="18"/>
                <w:szCs w:val="18"/>
              </w:rPr>
              <w:t xml:space="preserve">CRITICAL</w:t>
            </w:r>
          </w:p>
        </w:tc>
      </w:tr>
      <w:tr>
        <w:tc>
          <w:tcPr>
            <w:tcW w:type="dxa" w:w="2600"/>
            <w:shd w:fill="F5F4F0" w:val="clear"/>
          </w:tcPr>
          <w:p>
            <w:pPr>
              <w:spacing w:after="0"/>
            </w:pPr>
            <w:r>
              <w:rPr>
                <w:rFonts w:ascii="Arial" w:cs="Arial" w:eastAsia="Arial" w:hAnsi="Arial"/>
                <w:color w:val="333333"/>
                <w:sz w:val="18"/>
                <w:szCs w:val="18"/>
              </w:rPr>
              <w:t xml:space="preserve">Register with NIPC</w:t>
            </w:r>
          </w:p>
        </w:tc>
        <w:tc>
          <w:tcPr>
            <w:tcW w:type="dxa" w:w="1800"/>
            <w:shd w:fill="F5F4F0" w:val="clear"/>
          </w:tcPr>
          <w:p>
            <w:pPr>
              <w:spacing w:after="0"/>
            </w:pPr>
            <w:r>
              <w:rPr>
                <w:rFonts w:ascii="Arial" w:cs="Arial" w:eastAsia="Arial" w:hAnsi="Arial"/>
                <w:color w:val="333333"/>
                <w:sz w:val="18"/>
                <w:szCs w:val="18"/>
              </w:rPr>
              <w:t xml:space="preserve">NIPC</w:t>
            </w:r>
          </w:p>
        </w:tc>
        <w:tc>
          <w:tcPr>
            <w:tcW w:type="dxa" w:w="1500"/>
            <w:shd w:fill="F5F4F0" w:val="clear"/>
          </w:tcPr>
          <w:p>
            <w:pPr>
              <w:spacing w:after="0"/>
            </w:pPr>
            <w:r>
              <w:rPr>
                <w:rFonts w:ascii="Arial" w:cs="Arial" w:eastAsia="Arial" w:hAnsi="Arial"/>
                <w:color w:val="333333"/>
                <w:sz w:val="18"/>
                <w:szCs w:val="18"/>
              </w:rPr>
              <w:t xml:space="preserve">$33</w:t>
            </w:r>
          </w:p>
        </w:tc>
        <w:tc>
          <w:tcPr>
            <w:tcW w:type="dxa" w:w="1200"/>
            <w:shd w:fill="F5F4F0" w:val="clear"/>
          </w:tcPr>
          <w:p>
            <w:pPr>
              <w:spacing w:after="0"/>
            </w:pPr>
            <w:r>
              <w:rPr>
                <w:rFonts w:ascii="Arial" w:cs="Arial" w:eastAsia="Arial" w:hAnsi="Arial"/>
                <w:color w:val="333333"/>
                <w:sz w:val="18"/>
                <w:szCs w:val="18"/>
              </w:rPr>
              <w:t xml:space="preserve">2 weeks</w:t>
            </w:r>
          </w:p>
        </w:tc>
        <w:tc>
          <w:tcPr>
            <w:tcW w:type="dxa" w:w="22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Register with NDPC (data protection)</w:t>
            </w:r>
          </w:p>
        </w:tc>
        <w:tc>
          <w:tcPr>
            <w:tcW w:type="dxa" w:w="1800"/>
            <w:shd w:fill="FFFFFF" w:val="clear"/>
          </w:tcPr>
          <w:p>
            <w:pPr>
              <w:spacing w:after="0"/>
            </w:pPr>
            <w:r>
              <w:rPr>
                <w:rFonts w:ascii="Arial" w:cs="Arial" w:eastAsia="Arial" w:hAnsi="Arial"/>
                <w:color w:val="333333"/>
                <w:sz w:val="18"/>
                <w:szCs w:val="18"/>
              </w:rPr>
              <w:t xml:space="preserve">NDPC</w:t>
            </w:r>
          </w:p>
        </w:tc>
        <w:tc>
          <w:tcPr>
            <w:tcW w:type="dxa" w:w="1500"/>
            <w:shd w:fill="FFFFFF" w:val="clear"/>
          </w:tcPr>
          <w:p>
            <w:pPr>
              <w:spacing w:after="0"/>
            </w:pPr>
            <w:r>
              <w:rPr>
                <w:rFonts w:ascii="Arial" w:cs="Arial" w:eastAsia="Arial" w:hAnsi="Arial"/>
                <w:color w:val="333333"/>
                <w:sz w:val="18"/>
                <w:szCs w:val="18"/>
              </w:rPr>
              <w:t xml:space="preserve">TBD (fee schedule varies)</w:t>
            </w:r>
          </w:p>
        </w:tc>
        <w:tc>
          <w:tcPr>
            <w:tcW w:type="dxa" w:w="1200"/>
            <w:shd w:fill="FFFFFF" w:val="clear"/>
          </w:tcPr>
          <w:p>
            <w:pPr>
              <w:spacing w:after="0"/>
            </w:pPr>
            <w:r>
              <w:rPr>
                <w:rFonts w:ascii="Arial" w:cs="Arial" w:eastAsia="Arial" w:hAnsi="Arial"/>
                <w:color w:val="333333"/>
                <w:sz w:val="18"/>
                <w:szCs w:val="18"/>
              </w:rPr>
              <w:t xml:space="preserve">4-6 weeks</w:t>
            </w:r>
          </w:p>
        </w:tc>
        <w:tc>
          <w:tcPr>
            <w:tcW w:type="dxa" w:w="2260"/>
            <w:shd w:fill="FFFFFF" w:val="clear"/>
          </w:tcPr>
          <w:p>
            <w:pPr>
              <w:spacing w:after="0"/>
            </w:pPr>
            <w:r>
              <w:rPr>
                <w:rFonts w:ascii="Arial" w:cs="Arial" w:eastAsia="Arial" w:hAnsi="Arial"/>
                <w:color w:val="333333"/>
                <w:sz w:val="18"/>
                <w:szCs w:val="18"/>
              </w:rPr>
              <w:t xml:space="preserve">CRITICAL</w:t>
            </w:r>
          </w:p>
        </w:tc>
      </w:tr>
      <w:tr>
        <w:tc>
          <w:tcPr>
            <w:tcW w:type="dxa" w:w="2600"/>
            <w:shd w:fill="F5F4F0" w:val="clear"/>
          </w:tcPr>
          <w:p>
            <w:pPr>
              <w:spacing w:after="0"/>
            </w:pPr>
            <w:r>
              <w:rPr>
                <w:rFonts w:ascii="Arial" w:cs="Arial" w:eastAsia="Arial" w:hAnsi="Arial"/>
                <w:color w:val="333333"/>
                <w:sz w:val="18"/>
                <w:szCs w:val="18"/>
              </w:rPr>
              <w:t xml:space="preserve">Appoint DPO</w:t>
            </w:r>
          </w:p>
        </w:tc>
        <w:tc>
          <w:tcPr>
            <w:tcW w:type="dxa" w:w="1800"/>
            <w:shd w:fill="F5F4F0" w:val="clear"/>
          </w:tcPr>
          <w:p>
            <w:pPr>
              <w:spacing w:after="0"/>
            </w:pPr>
            <w:r>
              <w:rPr>
                <w:rFonts w:ascii="Arial" w:cs="Arial" w:eastAsia="Arial" w:hAnsi="Arial"/>
                <w:color w:val="333333"/>
                <w:sz w:val="18"/>
                <w:szCs w:val="18"/>
              </w:rPr>
              <w:t xml:space="preserve">Internal</w:t>
            </w:r>
          </w:p>
        </w:tc>
        <w:tc>
          <w:tcPr>
            <w:tcW w:type="dxa" w:w="1500"/>
            <w:shd w:fill="F5F4F0" w:val="clear"/>
          </w:tcPr>
          <w:p>
            <w:pPr>
              <w:spacing w:after="0"/>
            </w:pPr>
            <w:r>
              <w:rPr>
                <w:rFonts w:ascii="Arial" w:cs="Arial" w:eastAsia="Arial" w:hAnsi="Arial"/>
                <w:color w:val="333333"/>
                <w:sz w:val="18"/>
                <w:szCs w:val="18"/>
              </w:rPr>
              <w:t xml:space="preserve">$0</w:t>
            </w:r>
          </w:p>
        </w:tc>
        <w:tc>
          <w:tcPr>
            <w:tcW w:type="dxa" w:w="1200"/>
            <w:shd w:fill="F5F4F0" w:val="clear"/>
          </w:tcPr>
          <w:p>
            <w:pPr>
              <w:spacing w:after="0"/>
            </w:pPr>
            <w:r>
              <w:rPr>
                <w:rFonts w:ascii="Arial" w:cs="Arial" w:eastAsia="Arial" w:hAnsi="Arial"/>
                <w:color w:val="333333"/>
                <w:sz w:val="18"/>
                <w:szCs w:val="18"/>
              </w:rPr>
              <w:t xml:space="preserve">Immediate</w:t>
            </w:r>
          </w:p>
        </w:tc>
        <w:tc>
          <w:tcPr>
            <w:tcW w:type="dxa" w:w="2260"/>
            <w:shd w:fill="F5F4F0" w:val="clear"/>
          </w:tcPr>
          <w:p>
            <w:pPr>
              <w:spacing w:after="0"/>
            </w:pPr>
            <w:r>
              <w:rPr>
                <w:rFonts w:ascii="Arial" w:cs="Arial" w:eastAsia="Arial" w:hAnsi="Arial"/>
                <w:color w:val="333333"/>
                <w:sz w:val="18"/>
                <w:szCs w:val="18"/>
              </w:rPr>
              <w:t xml:space="preserve">CRITICAL</w:t>
            </w:r>
          </w:p>
        </w:tc>
      </w:tr>
      <w:tr>
        <w:tc>
          <w:tcPr>
            <w:tcW w:type="dxa" w:w="2600"/>
            <w:shd w:fill="FFFFFF" w:val="clear"/>
          </w:tcPr>
          <w:p>
            <w:pPr>
              <w:spacing w:after="0"/>
            </w:pPr>
            <w:r>
              <w:rPr>
                <w:rFonts w:ascii="Arial" w:cs="Arial" w:eastAsia="Arial" w:hAnsi="Arial"/>
                <w:color w:val="333333"/>
                <w:sz w:val="18"/>
                <w:szCs w:val="18"/>
              </w:rPr>
              <w:t xml:space="preserve">Conduct DPIA</w:t>
            </w:r>
          </w:p>
        </w:tc>
        <w:tc>
          <w:tcPr>
            <w:tcW w:type="dxa" w:w="1800"/>
            <w:shd w:fill="FFFFFF" w:val="clear"/>
          </w:tcPr>
          <w:p>
            <w:pPr>
              <w:spacing w:after="0"/>
            </w:pPr>
            <w:r>
              <w:rPr>
                <w:rFonts w:ascii="Arial" w:cs="Arial" w:eastAsia="Arial" w:hAnsi="Arial"/>
                <w:color w:val="333333"/>
                <w:sz w:val="18"/>
                <w:szCs w:val="18"/>
              </w:rPr>
              <w:t xml:space="preserve">Internal + legal</w:t>
            </w:r>
          </w:p>
        </w:tc>
        <w:tc>
          <w:tcPr>
            <w:tcW w:type="dxa" w:w="1500"/>
            <w:shd w:fill="FFFFFF" w:val="clear"/>
          </w:tcPr>
          <w:p>
            <w:pPr>
              <w:spacing w:after="0"/>
            </w:pPr>
            <w:r>
              <w:rPr>
                <w:rFonts w:ascii="Arial" w:cs="Arial" w:eastAsia="Arial" w:hAnsi="Arial"/>
                <w:color w:val="333333"/>
                <w:sz w:val="18"/>
                <w:szCs w:val="18"/>
              </w:rPr>
              <w:t xml:space="preserve">$1,500-2,500</w:t>
            </w:r>
          </w:p>
        </w:tc>
        <w:tc>
          <w:tcPr>
            <w:tcW w:type="dxa" w:w="1200"/>
            <w:shd w:fill="FFFFFF" w:val="clear"/>
          </w:tcPr>
          <w:p>
            <w:pPr>
              <w:spacing w:after="0"/>
            </w:pPr>
            <w:r>
              <w:rPr>
                <w:rFonts w:ascii="Arial" w:cs="Arial" w:eastAsia="Arial" w:hAnsi="Arial"/>
                <w:color w:val="333333"/>
                <w:sz w:val="18"/>
                <w:szCs w:val="18"/>
              </w:rPr>
              <w:t xml:space="preserve">4-6 weeks</w:t>
            </w:r>
          </w:p>
        </w:tc>
        <w:tc>
          <w:tcPr>
            <w:tcW w:type="dxa" w:w="22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Obtain TIN and register for VAT</w:t>
            </w:r>
          </w:p>
        </w:tc>
        <w:tc>
          <w:tcPr>
            <w:tcW w:type="dxa" w:w="1800"/>
            <w:shd w:fill="F5F4F0" w:val="clear"/>
          </w:tcPr>
          <w:p>
            <w:pPr>
              <w:spacing w:after="0"/>
            </w:pPr>
            <w:r>
              <w:rPr>
                <w:rFonts w:ascii="Arial" w:cs="Arial" w:eastAsia="Arial" w:hAnsi="Arial"/>
                <w:color w:val="333333"/>
                <w:sz w:val="18"/>
                <w:szCs w:val="18"/>
              </w:rPr>
              <w:t xml:space="preserve">FIRS</w:t>
            </w:r>
          </w:p>
        </w:tc>
        <w:tc>
          <w:tcPr>
            <w:tcW w:type="dxa" w:w="1500"/>
            <w:shd w:fill="F5F4F0" w:val="clear"/>
          </w:tcPr>
          <w:p>
            <w:pPr>
              <w:spacing w:after="0"/>
            </w:pPr>
            <w:r>
              <w:rPr>
                <w:rFonts w:ascii="Arial" w:cs="Arial" w:eastAsia="Arial" w:hAnsi="Arial"/>
                <w:color w:val="333333"/>
                <w:sz w:val="18"/>
                <w:szCs w:val="18"/>
              </w:rPr>
              <w:t xml:space="preserve">Free</w:t>
            </w:r>
          </w:p>
        </w:tc>
        <w:tc>
          <w:tcPr>
            <w:tcW w:type="dxa" w:w="1200"/>
            <w:shd w:fill="F5F4F0" w:val="clear"/>
          </w:tcPr>
          <w:p>
            <w:pPr>
              <w:spacing w:after="0"/>
            </w:pPr>
            <w:r>
              <w:rPr>
                <w:rFonts w:ascii="Arial" w:cs="Arial" w:eastAsia="Arial" w:hAnsi="Arial"/>
                <w:color w:val="333333"/>
                <w:sz w:val="18"/>
                <w:szCs w:val="18"/>
              </w:rPr>
              <w:t xml:space="preserve">2-4 weeks</w:t>
            </w:r>
          </w:p>
        </w:tc>
        <w:tc>
          <w:tcPr>
            <w:tcW w:type="dxa" w:w="22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Tax structuring advice (inter-company)</w:t>
            </w:r>
          </w:p>
        </w:tc>
        <w:tc>
          <w:tcPr>
            <w:tcW w:type="dxa" w:w="1800"/>
            <w:shd w:fill="FFFFFF" w:val="clear"/>
          </w:tcPr>
          <w:p>
            <w:pPr>
              <w:spacing w:after="0"/>
            </w:pPr>
            <w:r>
              <w:rPr>
                <w:rFonts w:ascii="Arial" w:cs="Arial" w:eastAsia="Arial" w:hAnsi="Arial"/>
                <w:color w:val="333333"/>
                <w:sz w:val="18"/>
                <w:szCs w:val="18"/>
              </w:rPr>
              <w:t xml:space="preserve">Nigerian tax advisor</w:t>
            </w:r>
          </w:p>
        </w:tc>
        <w:tc>
          <w:tcPr>
            <w:tcW w:type="dxa" w:w="1500"/>
            <w:shd w:fill="FFFFFF" w:val="clear"/>
          </w:tcPr>
          <w:p>
            <w:pPr>
              <w:spacing w:after="0"/>
            </w:pPr>
            <w:r>
              <w:rPr>
                <w:rFonts w:ascii="Arial" w:cs="Arial" w:eastAsia="Arial" w:hAnsi="Arial"/>
                <w:color w:val="333333"/>
                <w:sz w:val="18"/>
                <w:szCs w:val="18"/>
              </w:rPr>
              <w:t xml:space="preserve">$2,000-4,000</w:t>
            </w:r>
          </w:p>
        </w:tc>
        <w:tc>
          <w:tcPr>
            <w:tcW w:type="dxa" w:w="1200"/>
            <w:shd w:fill="FFFFFF" w:val="clear"/>
          </w:tcPr>
          <w:p>
            <w:pPr>
              <w:spacing w:after="0"/>
            </w:pPr>
            <w:r>
              <w:rPr>
                <w:rFonts w:ascii="Arial" w:cs="Arial" w:eastAsia="Arial" w:hAnsi="Arial"/>
                <w:color w:val="333333"/>
                <w:sz w:val="18"/>
                <w:szCs w:val="18"/>
              </w:rPr>
              <w:t xml:space="preserve">4-6 weeks</w:t>
            </w:r>
          </w:p>
        </w:tc>
        <w:tc>
          <w:tcPr>
            <w:tcW w:type="dxa" w:w="22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Open corporate bank account</w:t>
            </w:r>
          </w:p>
        </w:tc>
        <w:tc>
          <w:tcPr>
            <w:tcW w:type="dxa" w:w="1800"/>
            <w:shd w:fill="F5F4F0" w:val="clear"/>
          </w:tcPr>
          <w:p>
            <w:pPr>
              <w:spacing w:after="0"/>
            </w:pPr>
            <w:r>
              <w:rPr>
                <w:rFonts w:ascii="Arial" w:cs="Arial" w:eastAsia="Arial" w:hAnsi="Arial"/>
                <w:color w:val="333333"/>
                <w:sz w:val="18"/>
                <w:szCs w:val="18"/>
              </w:rPr>
              <w:t xml:space="preserve">Commercial bank</w:t>
            </w:r>
          </w:p>
        </w:tc>
        <w:tc>
          <w:tcPr>
            <w:tcW w:type="dxa" w:w="1500"/>
            <w:shd w:fill="F5F4F0" w:val="clear"/>
          </w:tcPr>
          <w:p>
            <w:pPr>
              <w:spacing w:after="0"/>
            </w:pPr>
            <w:r>
              <w:rPr>
                <w:rFonts w:ascii="Arial" w:cs="Arial" w:eastAsia="Arial" w:hAnsi="Arial"/>
                <w:color w:val="333333"/>
                <w:sz w:val="18"/>
                <w:szCs w:val="18"/>
              </w:rPr>
              <w:t xml:space="preserve">$65-330 (min deposit)</w:t>
            </w:r>
          </w:p>
        </w:tc>
        <w:tc>
          <w:tcPr>
            <w:tcW w:type="dxa" w:w="1200"/>
            <w:shd w:fill="F5F4F0" w:val="clear"/>
          </w:tcPr>
          <w:p>
            <w:pPr>
              <w:spacing w:after="0"/>
            </w:pPr>
            <w:r>
              <w:rPr>
                <w:rFonts w:ascii="Arial" w:cs="Arial" w:eastAsia="Arial" w:hAnsi="Arial"/>
                <w:color w:val="333333"/>
                <w:sz w:val="18"/>
                <w:szCs w:val="18"/>
              </w:rPr>
              <w:t xml:space="preserve">2-4 weeks</w:t>
            </w:r>
          </w:p>
        </w:tc>
        <w:tc>
          <w:tcPr>
            <w:tcW w:type="dxa" w:w="22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Privacy Policy review for NDPA</w:t>
            </w:r>
          </w:p>
        </w:tc>
        <w:tc>
          <w:tcPr>
            <w:tcW w:type="dxa" w:w="1800"/>
            <w:shd w:fill="FFFFFF" w:val="clear"/>
          </w:tcPr>
          <w:p>
            <w:pPr>
              <w:spacing w:after="0"/>
            </w:pPr>
            <w:r>
              <w:rPr>
                <w:rFonts w:ascii="Arial" w:cs="Arial" w:eastAsia="Arial" w:hAnsi="Arial"/>
                <w:color w:val="333333"/>
                <w:sz w:val="18"/>
                <w:szCs w:val="18"/>
              </w:rPr>
              <w:t xml:space="preserve">Nigerian data protection lawyer</w:t>
            </w:r>
          </w:p>
        </w:tc>
        <w:tc>
          <w:tcPr>
            <w:tcW w:type="dxa" w:w="1500"/>
            <w:shd w:fill="FFFFFF" w:val="clear"/>
          </w:tcPr>
          <w:p>
            <w:pPr>
              <w:spacing w:after="0"/>
            </w:pPr>
            <w:r>
              <w:rPr>
                <w:rFonts w:ascii="Arial" w:cs="Arial" w:eastAsia="Arial" w:hAnsi="Arial"/>
                <w:color w:val="333333"/>
                <w:sz w:val="18"/>
                <w:szCs w:val="18"/>
              </w:rPr>
              <w:t xml:space="preserve">$1,000-2,000</w:t>
            </w:r>
          </w:p>
        </w:tc>
        <w:tc>
          <w:tcPr>
            <w:tcW w:type="dxa" w:w="1200"/>
            <w:shd w:fill="FFFFFF" w:val="clear"/>
          </w:tcPr>
          <w:p>
            <w:pPr>
              <w:spacing w:after="0"/>
            </w:pPr>
            <w:r>
              <w:rPr>
                <w:rFonts w:ascii="Arial" w:cs="Arial" w:eastAsia="Arial" w:hAnsi="Arial"/>
                <w:color w:val="333333"/>
                <w:sz w:val="18"/>
                <w:szCs w:val="18"/>
              </w:rPr>
              <w:t xml:space="preserve">2-3 weeks</w:t>
            </w:r>
          </w:p>
        </w:tc>
        <w:tc>
          <w:tcPr>
            <w:tcW w:type="dxa" w:w="22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Inspector contractor agreement (Nigeria)</w:t>
            </w:r>
          </w:p>
        </w:tc>
        <w:tc>
          <w:tcPr>
            <w:tcW w:type="dxa" w:w="1800"/>
            <w:shd w:fill="F5F4F0" w:val="clear"/>
          </w:tcPr>
          <w:p>
            <w:pPr>
              <w:spacing w:after="0"/>
            </w:pPr>
            <w:r>
              <w:rPr>
                <w:rFonts w:ascii="Arial" w:cs="Arial" w:eastAsia="Arial" w:hAnsi="Arial"/>
                <w:color w:val="333333"/>
                <w:sz w:val="18"/>
                <w:szCs w:val="18"/>
              </w:rPr>
              <w:t xml:space="preserve">Nigerian employment lawyer</w:t>
            </w:r>
          </w:p>
        </w:tc>
        <w:tc>
          <w:tcPr>
            <w:tcW w:type="dxa" w:w="1500"/>
            <w:shd w:fill="F5F4F0" w:val="clear"/>
          </w:tcPr>
          <w:p>
            <w:pPr>
              <w:spacing w:after="0"/>
            </w:pPr>
            <w:r>
              <w:rPr>
                <w:rFonts w:ascii="Arial" w:cs="Arial" w:eastAsia="Arial" w:hAnsi="Arial"/>
                <w:color w:val="333333"/>
                <w:sz w:val="18"/>
                <w:szCs w:val="18"/>
              </w:rPr>
              <w:t xml:space="preserve">$500-1,000</w:t>
            </w:r>
          </w:p>
        </w:tc>
        <w:tc>
          <w:tcPr>
            <w:tcW w:type="dxa" w:w="1200"/>
            <w:shd w:fill="F5F4F0" w:val="clear"/>
          </w:tcPr>
          <w:p>
            <w:pPr>
              <w:spacing w:after="0"/>
            </w:pPr>
            <w:r>
              <w:rPr>
                <w:rFonts w:ascii="Arial" w:cs="Arial" w:eastAsia="Arial" w:hAnsi="Arial"/>
                <w:color w:val="333333"/>
                <w:sz w:val="18"/>
                <w:szCs w:val="18"/>
              </w:rPr>
              <w:t xml:space="preserve">2-3 weeks</w:t>
            </w:r>
          </w:p>
        </w:tc>
        <w:tc>
          <w:tcPr>
            <w:tcW w:type="dxa" w:w="2260"/>
            <w:shd w:fill="F5F4F0" w:val="clear"/>
          </w:tcPr>
          <w:p>
            <w:pPr>
              <w:spacing w:after="0"/>
            </w:pPr>
            <w:r>
              <w:rPr>
                <w:rFonts w:ascii="Arial" w:cs="Arial" w:eastAsia="Arial" w:hAnsi="Arial"/>
                <w:color w:val="333333"/>
                <w:sz w:val="18"/>
                <w:szCs w:val="18"/>
              </w:rPr>
              <w:t xml:space="preserve">HIGH</w:t>
            </w:r>
          </w:p>
        </w:tc>
      </w:tr>
    </w:tbl>
    <w:p>
      <w:pPr>
        <w:spacing w:after="0"/>
      </w:pPr>
    </w:p>
    <w:p>
      <w:pPr>
        <w:spacing w:after="140" w:line="276"/>
      </w:pPr>
      <w:r>
        <w:rPr>
          <w:rFonts w:ascii="Arial" w:cs="Arial" w:eastAsia="Arial" w:hAnsi="Arial"/>
          <w:b/>
          <w:bCs/>
          <w:color w:val="333333"/>
          <w:sz w:val="20"/>
          <w:szCs w:val="20"/>
        </w:rPr>
        <w:t xml:space="preserve">Total Phase 1 budget: </w:t>
      </w:r>
      <w:r>
        <w:rPr>
          <w:rFonts w:ascii="Arial" w:cs="Arial" w:eastAsia="Arial" w:hAnsi="Arial"/>
          <w:color w:val="333333"/>
          <w:sz w:val="20"/>
          <w:szCs w:val="20"/>
        </w:rPr>
        <w:t xml:space="preserve">$8,000-16,000 (excluding Country Representative retainer and share capital)</w:t>
      </w:r>
    </w:p>
    <w:p>
      <w:pPr>
        <w:spacing w:after="140" w:line="276"/>
      </w:pPr>
      <w:r>
        <w:rPr>
          <w:rFonts w:ascii="Arial" w:cs="Arial" w:eastAsia="Arial" w:hAnsi="Arial"/>
          <w:b/>
          <w:bCs/>
          <w:color w:val="333333"/>
          <w:sz w:val="20"/>
          <w:szCs w:val="20"/>
        </w:rPr>
        <w:t xml:space="preserve">With first 6 months Country Rep retainer: </w:t>
      </w:r>
      <w:r>
        <w:rPr>
          <w:rFonts w:ascii="Arial" w:cs="Arial" w:eastAsia="Arial" w:hAnsi="Arial"/>
          <w:color w:val="333333"/>
          <w:sz w:val="20"/>
          <w:szCs w:val="20"/>
        </w:rPr>
        <w:t xml:space="preserve">$13,000-25,000</w:t>
      </w:r>
    </w:p>
    <w:p>
      <w:pPr>
        <w:spacing w:after="140" w:line="276"/>
      </w:pPr>
      <w:r>
        <w:rPr>
          <w:rFonts w:ascii="Arial" w:cs="Arial" w:eastAsia="Arial" w:hAnsi="Arial"/>
          <w:b/>
          <w:bCs/>
          <w:color w:val="333333"/>
          <w:sz w:val="20"/>
          <w:szCs w:val="20"/>
        </w:rPr>
        <w:t xml:space="preserve">With ₦100M stated capital (min paid-up): </w:t>
      </w:r>
      <w:r>
        <w:rPr>
          <w:rFonts w:ascii="Arial" w:cs="Arial" w:eastAsia="Arial" w:hAnsi="Arial"/>
          <w:color w:val="333333"/>
          <w:sz w:val="20"/>
          <w:szCs w:val="20"/>
        </w:rPr>
        <w:t xml:space="preserve">$18,000-35,000</w:t>
      </w:r>
    </w:p>
    <w:p>
      <w:pPr>
        <w:spacing w:after="0"/>
      </w:pPr>
    </w:p>
    <w:p>
      <w:pPr>
        <w:pStyle w:val="Heading2"/>
        <w:spacing w:after="160" w:before="300"/>
      </w:pPr>
      <w:r>
        <w:rPr>
          <w:rFonts w:ascii="Arial" w:cs="Arial" w:eastAsia="Arial" w:hAnsi="Arial"/>
          <w:b/>
          <w:bCs/>
          <w:color w:val="0B6E4F"/>
          <w:sz w:val="24"/>
          <w:szCs w:val="24"/>
        </w:rPr>
        <w:t xml:space="preserve">10.2 Phase 2 — Active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shd w:fill="022B1E" w:val="clear"/>
          </w:tcPr>
          <w:p>
            <w:pPr>
              <w:spacing w:after="0"/>
            </w:pPr>
            <w:r>
              <w:rPr>
                <w:rFonts w:ascii="Arial" w:cs="Arial" w:eastAsia="Arial" w:hAnsi="Arial"/>
                <w:b/>
                <w:bCs/>
                <w:color w:val="FFFFFF"/>
                <w:sz w:val="18"/>
                <w:szCs w:val="18"/>
              </w:rPr>
              <w:t xml:space="preserve">Action</w:t>
            </w:r>
          </w:p>
        </w:tc>
        <w:tc>
          <w:tcPr>
            <w:tcW w:type="dxa" w:w="1800"/>
            <w:shd w:fill="022B1E" w:val="clear"/>
          </w:tcPr>
          <w:p>
            <w:pPr>
              <w:spacing w:after="0"/>
            </w:pPr>
            <w:r>
              <w:rPr>
                <w:rFonts w:ascii="Arial" w:cs="Arial" w:eastAsia="Arial" w:hAnsi="Arial"/>
                <w:b/>
                <w:bCs/>
                <w:color w:val="FFFFFF"/>
                <w:sz w:val="18"/>
                <w:szCs w:val="18"/>
              </w:rPr>
              <w:t xml:space="preserve">Authority</w:t>
            </w:r>
          </w:p>
        </w:tc>
        <w:tc>
          <w:tcPr>
            <w:tcW w:type="dxa" w:w="1800"/>
            <w:shd w:fill="022B1E" w:val="clear"/>
          </w:tcPr>
          <w:p>
            <w:pPr>
              <w:spacing w:after="0"/>
            </w:pPr>
            <w:r>
              <w:rPr>
                <w:rFonts w:ascii="Arial" w:cs="Arial" w:eastAsia="Arial" w:hAnsi="Arial"/>
                <w:b/>
                <w:bCs/>
                <w:color w:val="FFFFFF"/>
                <w:sz w:val="18"/>
                <w:szCs w:val="18"/>
              </w:rPr>
              <w:t xml:space="preserve">Est. Cost</w:t>
            </w:r>
          </w:p>
        </w:tc>
        <w:tc>
          <w:tcPr>
            <w:tcW w:type="dxa" w:w="2960"/>
            <w:shd w:fill="022B1E" w:val="clear"/>
          </w:tcPr>
          <w:p>
            <w:pPr>
              <w:spacing w:after="0"/>
            </w:pPr>
            <w:r>
              <w:rPr>
                <w:rFonts w:ascii="Arial" w:cs="Arial" w:eastAsia="Arial" w:hAnsi="Arial"/>
                <w:b/>
                <w:bCs/>
                <w:color w:val="FFFFFF"/>
                <w:sz w:val="18"/>
                <w:szCs w:val="18"/>
              </w:rPr>
              <w:t xml:space="preserve">Timeline</w:t>
            </w:r>
          </w:p>
        </w:tc>
      </w:tr>
      <w:tr>
        <w:tc>
          <w:tcPr>
            <w:tcW w:type="dxa" w:w="2800"/>
            <w:shd w:fill="F5F4F0" w:val="clear"/>
          </w:tcPr>
          <w:p>
            <w:pPr>
              <w:spacing w:after="0"/>
            </w:pPr>
            <w:r>
              <w:rPr>
                <w:rFonts w:ascii="Arial" w:cs="Arial" w:eastAsia="Arial" w:hAnsi="Arial"/>
                <w:color w:val="333333"/>
                <w:sz w:val="18"/>
                <w:szCs w:val="18"/>
              </w:rPr>
              <w:t xml:space="preserve">Country Representative monthly retainer</w:t>
            </w:r>
          </w:p>
        </w:tc>
        <w:tc>
          <w:tcPr>
            <w:tcW w:type="dxa" w:w="1800"/>
            <w:shd w:fill="F5F4F0" w:val="clear"/>
          </w:tcPr>
          <w:p>
            <w:pPr>
              <w:spacing w:after="0"/>
            </w:pPr>
            <w:r>
              <w:rPr>
                <w:rFonts w:ascii="Arial" w:cs="Arial" w:eastAsia="Arial" w:hAnsi="Arial"/>
                <w:color w:val="333333"/>
                <w:sz w:val="18"/>
                <w:szCs w:val="18"/>
              </w:rPr>
              <w:t xml:space="preserve">N/A</w:t>
            </w:r>
          </w:p>
        </w:tc>
        <w:tc>
          <w:tcPr>
            <w:tcW w:type="dxa" w:w="1800"/>
            <w:shd w:fill="F5F4F0" w:val="clear"/>
          </w:tcPr>
          <w:p>
            <w:pPr>
              <w:spacing w:after="0"/>
            </w:pPr>
            <w:r>
              <w:rPr>
                <w:rFonts w:ascii="Arial" w:cs="Arial" w:eastAsia="Arial" w:hAnsi="Arial"/>
                <w:color w:val="333333"/>
                <w:sz w:val="18"/>
                <w:szCs w:val="18"/>
              </w:rPr>
              <w:t xml:space="preserve">$800-1,500/month</w:t>
            </w:r>
          </w:p>
        </w:tc>
        <w:tc>
          <w:tcPr>
            <w:tcW w:type="dxa" w:w="2960"/>
            <w:shd w:fill="F5F4F0" w:val="clear"/>
          </w:tcPr>
          <w:p>
            <w:pPr>
              <w:spacing w:after="0"/>
            </w:pPr>
            <w:r>
              <w:rPr>
                <w:rFonts w:ascii="Arial" w:cs="Arial" w:eastAsia="Arial" w:hAnsi="Arial"/>
                <w:color w:val="333333"/>
                <w:sz w:val="18"/>
                <w:szCs w:val="18"/>
              </w:rPr>
              <w:t xml:space="preserve">Ongoing</w:t>
            </w:r>
          </w:p>
        </w:tc>
      </w:tr>
      <w:tr>
        <w:tc>
          <w:tcPr>
            <w:tcW w:type="dxa" w:w="2800"/>
            <w:shd w:fill="FFFFFF" w:val="clear"/>
          </w:tcPr>
          <w:p>
            <w:pPr>
              <w:spacing w:after="0"/>
            </w:pPr>
            <w:r>
              <w:rPr>
                <w:rFonts w:ascii="Arial" w:cs="Arial" w:eastAsia="Arial" w:hAnsi="Arial"/>
                <w:color w:val="333333"/>
                <w:sz w:val="18"/>
                <w:szCs w:val="18"/>
              </w:rPr>
              <w:t xml:space="preserve">Monthly WHT remittance (inspectors)</w:t>
            </w:r>
          </w:p>
        </w:tc>
        <w:tc>
          <w:tcPr>
            <w:tcW w:type="dxa" w:w="1800"/>
            <w:shd w:fill="FFFFFF" w:val="clear"/>
          </w:tcPr>
          <w:p>
            <w:pPr>
              <w:spacing w:after="0"/>
            </w:pPr>
            <w:r>
              <w:rPr>
                <w:rFonts w:ascii="Arial" w:cs="Arial" w:eastAsia="Arial" w:hAnsi="Arial"/>
                <w:color w:val="333333"/>
                <w:sz w:val="18"/>
                <w:szCs w:val="18"/>
              </w:rPr>
              <w:t xml:space="preserve">FIRS</w:t>
            </w:r>
          </w:p>
        </w:tc>
        <w:tc>
          <w:tcPr>
            <w:tcW w:type="dxa" w:w="1800"/>
            <w:shd w:fill="FFFFFF" w:val="clear"/>
          </w:tcPr>
          <w:p>
            <w:pPr>
              <w:spacing w:after="0"/>
            </w:pPr>
            <w:r>
              <w:rPr>
                <w:rFonts w:ascii="Arial" w:cs="Arial" w:eastAsia="Arial" w:hAnsi="Arial"/>
                <w:color w:val="333333"/>
                <w:sz w:val="18"/>
                <w:szCs w:val="18"/>
              </w:rPr>
              <w:t xml:space="preserve">Administrative</w:t>
            </w:r>
          </w:p>
        </w:tc>
        <w:tc>
          <w:tcPr>
            <w:tcW w:type="dxa" w:w="2960"/>
            <w:shd w:fill="FFFFFF" w:val="clear"/>
          </w:tcPr>
          <w:p>
            <w:pPr>
              <w:spacing w:after="0"/>
            </w:pPr>
            <w:r>
              <w:rPr>
                <w:rFonts w:ascii="Arial" w:cs="Arial" w:eastAsia="Arial" w:hAnsi="Arial"/>
                <w:color w:val="333333"/>
                <w:sz w:val="18"/>
                <w:szCs w:val="18"/>
              </w:rPr>
              <w:t xml:space="preserve">Monthly</w:t>
            </w:r>
          </w:p>
        </w:tc>
      </w:tr>
      <w:tr>
        <w:tc>
          <w:tcPr>
            <w:tcW w:type="dxa" w:w="2800"/>
            <w:shd w:fill="F5F4F0" w:val="clear"/>
          </w:tcPr>
          <w:p>
            <w:pPr>
              <w:spacing w:after="0"/>
            </w:pPr>
            <w:r>
              <w:rPr>
                <w:rFonts w:ascii="Arial" w:cs="Arial" w:eastAsia="Arial" w:hAnsi="Arial"/>
                <w:color w:val="333333"/>
                <w:sz w:val="18"/>
                <w:szCs w:val="18"/>
              </w:rPr>
              <w:t xml:space="preserve">Monthly VAT remittance</w:t>
            </w:r>
          </w:p>
        </w:tc>
        <w:tc>
          <w:tcPr>
            <w:tcW w:type="dxa" w:w="1800"/>
            <w:shd w:fill="F5F4F0" w:val="clear"/>
          </w:tcPr>
          <w:p>
            <w:pPr>
              <w:spacing w:after="0"/>
            </w:pPr>
            <w:r>
              <w:rPr>
                <w:rFonts w:ascii="Arial" w:cs="Arial" w:eastAsia="Arial" w:hAnsi="Arial"/>
                <w:color w:val="333333"/>
                <w:sz w:val="18"/>
                <w:szCs w:val="18"/>
              </w:rPr>
              <w:t xml:space="preserve">FIRS</w:t>
            </w:r>
          </w:p>
        </w:tc>
        <w:tc>
          <w:tcPr>
            <w:tcW w:type="dxa" w:w="1800"/>
            <w:shd w:fill="F5F4F0" w:val="clear"/>
          </w:tcPr>
          <w:p>
            <w:pPr>
              <w:spacing w:after="0"/>
            </w:pPr>
            <w:r>
              <w:rPr>
                <w:rFonts w:ascii="Arial" w:cs="Arial" w:eastAsia="Arial" w:hAnsi="Arial"/>
                <w:color w:val="333333"/>
                <w:sz w:val="18"/>
                <w:szCs w:val="18"/>
              </w:rPr>
              <w:t xml:space="preserve">Administrative</w:t>
            </w:r>
          </w:p>
        </w:tc>
        <w:tc>
          <w:tcPr>
            <w:tcW w:type="dxa" w:w="2960"/>
            <w:shd w:fill="F5F4F0" w:val="clear"/>
          </w:tcPr>
          <w:p>
            <w:pPr>
              <w:spacing w:after="0"/>
            </w:pPr>
            <w:r>
              <w:rPr>
                <w:rFonts w:ascii="Arial" w:cs="Arial" w:eastAsia="Arial" w:hAnsi="Arial"/>
                <w:color w:val="333333"/>
                <w:sz w:val="18"/>
                <w:szCs w:val="18"/>
              </w:rPr>
              <w:t xml:space="preserve">Monthly</w:t>
            </w:r>
          </w:p>
        </w:tc>
      </w:tr>
      <w:tr>
        <w:tc>
          <w:tcPr>
            <w:tcW w:type="dxa" w:w="2800"/>
            <w:shd w:fill="FFFFFF" w:val="clear"/>
          </w:tcPr>
          <w:p>
            <w:pPr>
              <w:spacing w:after="0"/>
            </w:pPr>
            <w:r>
              <w:rPr>
                <w:rFonts w:ascii="Arial" w:cs="Arial" w:eastAsia="Arial" w:hAnsi="Arial"/>
                <w:color w:val="333333"/>
                <w:sz w:val="18"/>
                <w:szCs w:val="18"/>
              </w:rPr>
              <w:t xml:space="preserve">Annual compliance audit + NDPC filing</w:t>
            </w:r>
          </w:p>
        </w:tc>
        <w:tc>
          <w:tcPr>
            <w:tcW w:type="dxa" w:w="1800"/>
            <w:shd w:fill="FFFFFF" w:val="clear"/>
          </w:tcPr>
          <w:p>
            <w:pPr>
              <w:spacing w:after="0"/>
            </w:pPr>
            <w:r>
              <w:rPr>
                <w:rFonts w:ascii="Arial" w:cs="Arial" w:eastAsia="Arial" w:hAnsi="Arial"/>
                <w:color w:val="333333"/>
                <w:sz w:val="18"/>
                <w:szCs w:val="18"/>
              </w:rPr>
              <w:t xml:space="preserve">NDPC</w:t>
            </w:r>
          </w:p>
        </w:tc>
        <w:tc>
          <w:tcPr>
            <w:tcW w:type="dxa" w:w="1800"/>
            <w:shd w:fill="FFFFFF" w:val="clear"/>
          </w:tcPr>
          <w:p>
            <w:pPr>
              <w:spacing w:after="0"/>
            </w:pPr>
            <w:r>
              <w:rPr>
                <w:rFonts w:ascii="Arial" w:cs="Arial" w:eastAsia="Arial" w:hAnsi="Arial"/>
                <w:color w:val="333333"/>
                <w:sz w:val="18"/>
                <w:szCs w:val="18"/>
              </w:rPr>
              <w:t xml:space="preserve">$1,000-2,000</w:t>
            </w:r>
          </w:p>
        </w:tc>
        <w:tc>
          <w:tcPr>
            <w:tcW w:type="dxa" w:w="2960"/>
            <w:shd w:fill="FFFFFF" w:val="clear"/>
          </w:tcPr>
          <w:p>
            <w:pPr>
              <w:spacing w:after="0"/>
            </w:pPr>
            <w:r>
              <w:rPr>
                <w:rFonts w:ascii="Arial" w:cs="Arial" w:eastAsia="Arial" w:hAnsi="Arial"/>
                <w:color w:val="333333"/>
                <w:sz w:val="18"/>
                <w:szCs w:val="18"/>
              </w:rPr>
              <w:t xml:space="preserve">Annual (by March 15)</w:t>
            </w:r>
          </w:p>
        </w:tc>
      </w:tr>
      <w:tr>
        <w:tc>
          <w:tcPr>
            <w:tcW w:type="dxa" w:w="2800"/>
            <w:shd w:fill="F5F4F0" w:val="clear"/>
          </w:tcPr>
          <w:p>
            <w:pPr>
              <w:spacing w:after="0"/>
            </w:pPr>
            <w:r>
              <w:rPr>
                <w:rFonts w:ascii="Arial" w:cs="Arial" w:eastAsia="Arial" w:hAnsi="Arial"/>
                <w:color w:val="333333"/>
                <w:sz w:val="18"/>
                <w:szCs w:val="18"/>
              </w:rPr>
              <w:t xml:space="preserve">Annual returns filing</w:t>
            </w:r>
          </w:p>
        </w:tc>
        <w:tc>
          <w:tcPr>
            <w:tcW w:type="dxa" w:w="1800"/>
            <w:shd w:fill="F5F4F0" w:val="clear"/>
          </w:tcPr>
          <w:p>
            <w:pPr>
              <w:spacing w:after="0"/>
            </w:pPr>
            <w:r>
              <w:rPr>
                <w:rFonts w:ascii="Arial" w:cs="Arial" w:eastAsia="Arial" w:hAnsi="Arial"/>
                <w:color w:val="333333"/>
                <w:sz w:val="18"/>
                <w:szCs w:val="18"/>
              </w:rPr>
              <w:t xml:space="preserve">CAC</w:t>
            </w:r>
          </w:p>
        </w:tc>
        <w:tc>
          <w:tcPr>
            <w:tcW w:type="dxa" w:w="1800"/>
            <w:shd w:fill="F5F4F0" w:val="clear"/>
          </w:tcPr>
          <w:p>
            <w:pPr>
              <w:spacing w:after="0"/>
            </w:pPr>
            <w:r>
              <w:rPr>
                <w:rFonts w:ascii="Arial" w:cs="Arial" w:eastAsia="Arial" w:hAnsi="Arial"/>
                <w:color w:val="333333"/>
                <w:sz w:val="18"/>
                <w:szCs w:val="18"/>
              </w:rPr>
              <w:t xml:space="preserve">NGN ~50,000</w:t>
            </w:r>
          </w:p>
        </w:tc>
        <w:tc>
          <w:tcPr>
            <w:tcW w:type="dxa" w:w="2960"/>
            <w:shd w:fill="F5F4F0" w:val="clear"/>
          </w:tcPr>
          <w:p>
            <w:pPr>
              <w:spacing w:after="0"/>
            </w:pPr>
            <w:r>
              <w:rPr>
                <w:rFonts w:ascii="Arial" w:cs="Arial" w:eastAsia="Arial" w:hAnsi="Arial"/>
                <w:color w:val="333333"/>
                <w:sz w:val="18"/>
                <w:szCs w:val="18"/>
              </w:rPr>
              <w:t xml:space="preserve">Annual</w:t>
            </w:r>
          </w:p>
        </w:tc>
      </w:tr>
      <w:tr>
        <w:tc>
          <w:tcPr>
            <w:tcW w:type="dxa" w:w="2800"/>
            <w:shd w:fill="FFFFFF" w:val="clear"/>
          </w:tcPr>
          <w:p>
            <w:pPr>
              <w:spacing w:after="0"/>
            </w:pPr>
            <w:r>
              <w:rPr>
                <w:rFonts w:ascii="Arial" w:cs="Arial" w:eastAsia="Arial" w:hAnsi="Arial"/>
                <w:color w:val="333333"/>
                <w:sz w:val="18"/>
                <w:szCs w:val="18"/>
              </w:rPr>
              <w:t xml:space="preserve">Annual tax filing (CIT + Education Tax)</w:t>
            </w:r>
          </w:p>
        </w:tc>
        <w:tc>
          <w:tcPr>
            <w:tcW w:type="dxa" w:w="1800"/>
            <w:shd w:fill="FFFFFF" w:val="clear"/>
          </w:tcPr>
          <w:p>
            <w:pPr>
              <w:spacing w:after="0"/>
            </w:pPr>
            <w:r>
              <w:rPr>
                <w:rFonts w:ascii="Arial" w:cs="Arial" w:eastAsia="Arial" w:hAnsi="Arial"/>
                <w:color w:val="333333"/>
                <w:sz w:val="18"/>
                <w:szCs w:val="18"/>
              </w:rPr>
              <w:t xml:space="preserve">FIRS</w:t>
            </w:r>
          </w:p>
        </w:tc>
        <w:tc>
          <w:tcPr>
            <w:tcW w:type="dxa" w:w="1800"/>
            <w:shd w:fill="FFFFFF" w:val="clear"/>
          </w:tcPr>
          <w:p>
            <w:pPr>
              <w:spacing w:after="0"/>
            </w:pPr>
            <w:r>
              <w:rPr>
                <w:rFonts w:ascii="Arial" w:cs="Arial" w:eastAsia="Arial" w:hAnsi="Arial"/>
                <w:color w:val="333333"/>
                <w:sz w:val="18"/>
                <w:szCs w:val="18"/>
              </w:rPr>
              <w:t xml:space="preserve">$1,000-2,000 (accountant)</w:t>
            </w:r>
          </w:p>
        </w:tc>
        <w:tc>
          <w:tcPr>
            <w:tcW w:type="dxa" w:w="2960"/>
            <w:shd w:fill="FFFFFF" w:val="clear"/>
          </w:tcPr>
          <w:p>
            <w:pPr>
              <w:spacing w:after="0"/>
            </w:pPr>
            <w:r>
              <w:rPr>
                <w:rFonts w:ascii="Arial" w:cs="Arial" w:eastAsia="Arial" w:hAnsi="Arial"/>
                <w:color w:val="333333"/>
                <w:sz w:val="18"/>
                <w:szCs w:val="18"/>
              </w:rPr>
              <w:t xml:space="preserve">Annual</w:t>
            </w:r>
          </w:p>
        </w:tc>
      </w:tr>
      <w:tr>
        <w:tc>
          <w:tcPr>
            <w:tcW w:type="dxa" w:w="2800"/>
            <w:shd w:fill="F5F4F0" w:val="clear"/>
          </w:tcPr>
          <w:p>
            <w:pPr>
              <w:spacing w:after="0"/>
            </w:pPr>
            <w:r>
              <w:rPr>
                <w:rFonts w:ascii="Arial" w:cs="Arial" w:eastAsia="Arial" w:hAnsi="Arial"/>
                <w:color w:val="333333"/>
                <w:sz w:val="18"/>
                <w:szCs w:val="18"/>
              </w:rPr>
              <w:t xml:space="preserve">NDPC registration renewal</w:t>
            </w:r>
          </w:p>
        </w:tc>
        <w:tc>
          <w:tcPr>
            <w:tcW w:type="dxa" w:w="1800"/>
            <w:shd w:fill="F5F4F0" w:val="clear"/>
          </w:tcPr>
          <w:p>
            <w:pPr>
              <w:spacing w:after="0"/>
            </w:pPr>
            <w:r>
              <w:rPr>
                <w:rFonts w:ascii="Arial" w:cs="Arial" w:eastAsia="Arial" w:hAnsi="Arial"/>
                <w:color w:val="333333"/>
                <w:sz w:val="18"/>
                <w:szCs w:val="18"/>
              </w:rPr>
              <w:t xml:space="preserve">NDPC</w:t>
            </w:r>
          </w:p>
        </w:tc>
        <w:tc>
          <w:tcPr>
            <w:tcW w:type="dxa" w:w="1800"/>
            <w:shd w:fill="F5F4F0" w:val="clear"/>
          </w:tcPr>
          <w:p>
            <w:pPr>
              <w:spacing w:after="0"/>
            </w:pPr>
            <w:r>
              <w:rPr>
                <w:rFonts w:ascii="Arial" w:cs="Arial" w:eastAsia="Arial" w:hAnsi="Arial"/>
                <w:color w:val="333333"/>
                <w:sz w:val="18"/>
                <w:szCs w:val="18"/>
              </w:rPr>
              <w:t xml:space="preserve">TBD</w:t>
            </w:r>
          </w:p>
        </w:tc>
        <w:tc>
          <w:tcPr>
            <w:tcW w:type="dxa" w:w="2960"/>
            <w:shd w:fill="F5F4F0" w:val="clear"/>
          </w:tcPr>
          <w:p>
            <w:pPr>
              <w:spacing w:after="0"/>
            </w:pPr>
            <w:r>
              <w:rPr>
                <w:rFonts w:ascii="Arial" w:cs="Arial" w:eastAsia="Arial" w:hAnsi="Arial"/>
                <w:color w:val="333333"/>
                <w:sz w:val="18"/>
                <w:szCs w:val="18"/>
              </w:rPr>
              <w:t xml:space="preserve">Annual</w:t>
            </w:r>
          </w:p>
        </w:tc>
      </w:tr>
      <w:tr>
        <w:tc>
          <w:tcPr>
            <w:tcW w:type="dxa" w:w="2800"/>
            <w:shd w:fill="FFFFFF" w:val="clear"/>
          </w:tcPr>
          <w:p>
            <w:pPr>
              <w:spacing w:after="0"/>
            </w:pPr>
            <w:r>
              <w:rPr>
                <w:rFonts w:ascii="Arial" w:cs="Arial" w:eastAsia="Arial" w:hAnsi="Arial"/>
                <w:color w:val="333333"/>
                <w:sz w:val="18"/>
                <w:szCs w:val="18"/>
              </w:rPr>
              <w:t xml:space="preserve">Monitor CBN regulatory changes</w:t>
            </w:r>
          </w:p>
        </w:tc>
        <w:tc>
          <w:tcPr>
            <w:tcW w:type="dxa" w:w="1800"/>
            <w:shd w:fill="FFFFFF" w:val="clear"/>
          </w:tcPr>
          <w:p>
            <w:pPr>
              <w:spacing w:after="0"/>
            </w:pPr>
            <w:r>
              <w:rPr>
                <w:rFonts w:ascii="Arial" w:cs="Arial" w:eastAsia="Arial" w:hAnsi="Arial"/>
                <w:color w:val="333333"/>
                <w:sz w:val="18"/>
                <w:szCs w:val="18"/>
              </w:rPr>
              <w:t xml:space="preserve">Legal monitoring</w:t>
            </w:r>
          </w:p>
        </w:tc>
        <w:tc>
          <w:tcPr>
            <w:tcW w:type="dxa" w:w="1800"/>
            <w:shd w:fill="FFFFFF" w:val="clear"/>
          </w:tcPr>
          <w:p>
            <w:pPr>
              <w:spacing w:after="0"/>
            </w:pPr>
            <w:r>
              <w:rPr>
                <w:rFonts w:ascii="Arial" w:cs="Arial" w:eastAsia="Arial" w:hAnsi="Arial"/>
                <w:color w:val="333333"/>
                <w:sz w:val="18"/>
                <w:szCs w:val="18"/>
              </w:rPr>
              <w:t xml:space="preserve">Ongoing</w:t>
            </w:r>
          </w:p>
        </w:tc>
        <w:tc>
          <w:tcPr>
            <w:tcW w:type="dxa" w:w="2960"/>
            <w:shd w:fill="FFFFFF" w:val="clear"/>
          </w:tcPr>
          <w:p>
            <w:pPr>
              <w:spacing w:after="0"/>
            </w:pPr>
            <w:r>
              <w:rPr>
                <w:rFonts w:ascii="Arial" w:cs="Arial" w:eastAsia="Arial" w:hAnsi="Arial"/>
                <w:color w:val="333333"/>
                <w:sz w:val="18"/>
                <w:szCs w:val="18"/>
              </w:rPr>
              <w:t xml:space="preserve">Ongoing</w:t>
            </w:r>
          </w:p>
        </w:tc>
      </w:tr>
    </w:tbl>
    <w:p>
      <w:pPr>
        <w:spacing w:after="0"/>
      </w:pPr>
    </w:p>
    <w:p>
      <w:pPr>
        <w:spacing w:after="140" w:line="276"/>
      </w:pPr>
      <w:r>
        <w:rPr>
          <w:rFonts w:ascii="Arial" w:cs="Arial" w:eastAsia="Arial" w:hAnsi="Arial"/>
          <w:b/>
          <w:bCs/>
          <w:color w:val="333333"/>
          <w:sz w:val="20"/>
          <w:szCs w:val="20"/>
        </w:rPr>
        <w:t xml:space="preserve">Total ongoing annual cost (operations + compliance): </w:t>
      </w:r>
      <w:r>
        <w:rPr>
          <w:rFonts w:ascii="Arial" w:cs="Arial" w:eastAsia="Arial" w:hAnsi="Arial"/>
          <w:color w:val="333333"/>
          <w:sz w:val="20"/>
          <w:szCs w:val="20"/>
        </w:rPr>
        <w:t xml:space="preserve">$15,000-25,000/year</w:t>
      </w:r>
    </w:p>
    <w:p>
      <w:pPr>
        <w:pStyle w:val="Heading1"/>
        <w:spacing w:after="200" w:before="400"/>
      </w:pPr>
      <w:r>
        <w:rPr>
          <w:rFonts w:ascii="Arial" w:cs="Arial" w:eastAsia="Arial" w:hAnsi="Arial"/>
          <w:b/>
          <w:bCs/>
          <w:color w:val="022B1E"/>
          <w:sz w:val="28"/>
          <w:szCs w:val="28"/>
        </w:rPr>
        <w:t xml:space="preserve">11. Nigeria-Specific Risk Register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22B1E" w:val="clear"/>
          </w:tcPr>
          <w:p>
            <w:pPr>
              <w:spacing w:after="0"/>
            </w:pPr>
            <w:r>
              <w:rPr>
                <w:rFonts w:ascii="Arial" w:cs="Arial" w:eastAsia="Arial" w:hAnsi="Arial"/>
                <w:b/>
                <w:bCs/>
                <w:color w:val="FFFFFF"/>
                <w:sz w:val="18"/>
                <w:szCs w:val="18"/>
              </w:rPr>
              <w:t xml:space="preserve">Risk</w:t>
            </w:r>
          </w:p>
        </w:tc>
        <w:tc>
          <w:tcPr>
            <w:tcW w:type="dxa" w:w="1000"/>
            <w:shd w:fill="022B1E" w:val="clear"/>
          </w:tcPr>
          <w:p>
            <w:pPr>
              <w:spacing w:after="0"/>
            </w:pPr>
            <w:r>
              <w:rPr>
                <w:rFonts w:ascii="Arial" w:cs="Arial" w:eastAsia="Arial" w:hAnsi="Arial"/>
                <w:b/>
                <w:bCs/>
                <w:color w:val="FFFFFF"/>
                <w:sz w:val="18"/>
                <w:szCs w:val="18"/>
              </w:rPr>
              <w:t xml:space="preserve">Probability</w:t>
            </w:r>
          </w:p>
        </w:tc>
        <w:tc>
          <w:tcPr>
            <w:tcW w:type="dxa" w:w="1000"/>
            <w:shd w:fill="022B1E" w:val="clear"/>
          </w:tcPr>
          <w:p>
            <w:pPr>
              <w:spacing w:after="0"/>
            </w:pPr>
            <w:r>
              <w:rPr>
                <w:rFonts w:ascii="Arial" w:cs="Arial" w:eastAsia="Arial" w:hAnsi="Arial"/>
                <w:b/>
                <w:bCs/>
                <w:color w:val="FFFFFF"/>
                <w:sz w:val="18"/>
                <w:szCs w:val="18"/>
              </w:rPr>
              <w:t xml:space="preserve">Impact</w:t>
            </w:r>
          </w:p>
        </w:tc>
        <w:tc>
          <w:tcPr>
            <w:tcW w:type="dxa" w:w="5160"/>
            <w:shd w:fill="022B1E" w:val="clear"/>
          </w:tcPr>
          <w:p>
            <w:pPr>
              <w:spacing w:after="0"/>
            </w:pPr>
            <w:r>
              <w:rPr>
                <w:rFonts w:ascii="Arial" w:cs="Arial" w:eastAsia="Arial" w:hAnsi="Arial"/>
                <w:b/>
                <w:bCs/>
                <w:color w:val="FFFFFF"/>
                <w:sz w:val="18"/>
                <w:szCs w:val="18"/>
              </w:rPr>
              <w:t xml:space="preserve">Mitigation</w:t>
            </w:r>
          </w:p>
        </w:tc>
      </w:tr>
      <w:tr>
        <w:tc>
          <w:tcPr>
            <w:tcW w:type="dxa" w:w="2200"/>
            <w:shd w:fill="F5F4F0" w:val="clear"/>
          </w:tcPr>
          <w:p>
            <w:pPr>
              <w:spacing w:after="0"/>
            </w:pPr>
            <w:r>
              <w:rPr>
                <w:rFonts w:ascii="Arial" w:cs="Arial" w:eastAsia="Arial" w:hAnsi="Arial"/>
                <w:color w:val="333333"/>
                <w:sz w:val="18"/>
                <w:szCs w:val="18"/>
              </w:rPr>
              <w:t xml:space="preserve">Country Representative fraud/misconduct</w:t>
            </w:r>
          </w:p>
        </w:tc>
        <w:tc>
          <w:tcPr>
            <w:tcW w:type="dxa" w:w="1000"/>
            <w:shd w:fill="F5F4F0" w:val="clear"/>
          </w:tcPr>
          <w:p>
            <w:pPr>
              <w:spacing w:after="0"/>
            </w:pPr>
            <w:r>
              <w:rPr>
                <w:rFonts w:ascii="Arial" w:cs="Arial" w:eastAsia="Arial" w:hAnsi="Arial"/>
                <w:color w:val="333333"/>
                <w:sz w:val="18"/>
                <w:szCs w:val="18"/>
              </w:rPr>
              <w:t xml:space="preserve">LOW-MEDIUM</w:t>
            </w:r>
          </w:p>
        </w:tc>
        <w:tc>
          <w:tcPr>
            <w:tcW w:type="dxa" w:w="1000"/>
            <w:shd w:fill="F5F4F0" w:val="clear"/>
          </w:tcPr>
          <w:p>
            <w:pPr>
              <w:spacing w:after="0"/>
            </w:pPr>
            <w:r>
              <w:rPr>
                <w:rFonts w:ascii="Arial" w:cs="Arial" w:eastAsia="Arial" w:hAnsi="Arial"/>
                <w:color w:val="333333"/>
                <w:sz w:val="18"/>
                <w:szCs w:val="18"/>
              </w:rPr>
              <w:t xml:space="preserve">VERY HIGH</w:t>
            </w:r>
          </w:p>
        </w:tc>
        <w:tc>
          <w:tcPr>
            <w:tcW w:type="dxa" w:w="5160"/>
            <w:shd w:fill="F5F4F0" w:val="clear"/>
          </w:tcPr>
          <w:p>
            <w:pPr>
              <w:spacing w:after="0"/>
            </w:pPr>
            <w:r>
              <w:rPr>
                <w:rFonts w:ascii="Arial" w:cs="Arial" w:eastAsia="Arial" w:hAnsi="Arial"/>
                <w:color w:val="333333"/>
                <w:sz w:val="18"/>
                <w:szCs w:val="18"/>
              </w:rPr>
              <w:t xml:space="preserve">Rigorous vetting, dual signatories on bank account, monthly financial audits</w:t>
            </w:r>
          </w:p>
        </w:tc>
      </w:tr>
      <w:tr>
        <w:tc>
          <w:tcPr>
            <w:tcW w:type="dxa" w:w="2200"/>
            <w:shd w:fill="FFFFFF" w:val="clear"/>
          </w:tcPr>
          <w:p>
            <w:pPr>
              <w:spacing w:after="0"/>
            </w:pPr>
            <w:r>
              <w:rPr>
                <w:rFonts w:ascii="Arial" w:cs="Arial" w:eastAsia="Arial" w:hAnsi="Arial"/>
                <w:color w:val="333333"/>
                <w:sz w:val="18"/>
                <w:szCs w:val="18"/>
              </w:rPr>
              <w:t xml:space="preserve">CBN reclassifies marketplace escrow as payment service</w:t>
            </w:r>
          </w:p>
        </w:tc>
        <w:tc>
          <w:tcPr>
            <w:tcW w:type="dxa" w:w="1000"/>
            <w:shd w:fill="FFFFFF" w:val="clear"/>
          </w:tcPr>
          <w:p>
            <w:pPr>
              <w:spacing w:after="0"/>
            </w:pPr>
            <w:r>
              <w:rPr>
                <w:rFonts w:ascii="Arial" w:cs="Arial" w:eastAsia="Arial" w:hAnsi="Arial"/>
                <w:color w:val="333333"/>
                <w:sz w:val="18"/>
                <w:szCs w:val="18"/>
              </w:rPr>
              <w:t xml:space="preserve">LOW</w:t>
            </w:r>
          </w:p>
        </w:tc>
        <w:tc>
          <w:tcPr>
            <w:tcW w:type="dxa" w:w="1000"/>
            <w:shd w:fill="FFFFFF" w:val="clear"/>
          </w:tcPr>
          <w:p>
            <w:pPr>
              <w:spacing w:after="0"/>
            </w:pPr>
            <w:r>
              <w:rPr>
                <w:rFonts w:ascii="Arial" w:cs="Arial" w:eastAsia="Arial" w:hAnsi="Arial"/>
                <w:color w:val="333333"/>
                <w:sz w:val="18"/>
                <w:szCs w:val="18"/>
              </w:rPr>
              <w:t xml:space="preserve">HIGH</w:t>
            </w:r>
          </w:p>
        </w:tc>
        <w:tc>
          <w:tcPr>
            <w:tcW w:type="dxa" w:w="5160"/>
            <w:shd w:fill="FFFFFF" w:val="clear"/>
          </w:tcPr>
          <w:p>
            <w:pPr>
              <w:spacing w:after="0"/>
            </w:pPr>
            <w:r>
              <w:rPr>
                <w:rFonts w:ascii="Arial" w:cs="Arial" w:eastAsia="Arial" w:hAnsi="Arial"/>
                <w:color w:val="333333"/>
                <w:sz w:val="18"/>
                <w:szCs w:val="18"/>
              </w:rPr>
              <w:t xml:space="preserve">Route all payments through licensed PSPs; never hold funds</w:t>
            </w:r>
          </w:p>
        </w:tc>
      </w:tr>
      <w:tr>
        <w:tc>
          <w:tcPr>
            <w:tcW w:type="dxa" w:w="2200"/>
            <w:shd w:fill="F5F4F0" w:val="clear"/>
          </w:tcPr>
          <w:p>
            <w:pPr>
              <w:spacing w:after="0"/>
            </w:pPr>
            <w:r>
              <w:rPr>
                <w:rFonts w:ascii="Arial" w:cs="Arial" w:eastAsia="Arial" w:hAnsi="Arial"/>
                <w:color w:val="333333"/>
                <w:sz w:val="18"/>
                <w:szCs w:val="18"/>
              </w:rPr>
              <w:t xml:space="preserve">NDPC enforcement action (data protection)</w:t>
            </w:r>
          </w:p>
        </w:tc>
        <w:tc>
          <w:tcPr>
            <w:tcW w:type="dxa" w:w="1000"/>
            <w:shd w:fill="F5F4F0" w:val="clear"/>
          </w:tcPr>
          <w:p>
            <w:pPr>
              <w:spacing w:after="0"/>
            </w:pPr>
            <w:r>
              <w:rPr>
                <w:rFonts w:ascii="Arial" w:cs="Arial" w:eastAsia="Arial" w:hAnsi="Arial"/>
                <w:color w:val="333333"/>
                <w:sz w:val="18"/>
                <w:szCs w:val="18"/>
              </w:rPr>
              <w:t xml:space="preserve">MEDIUM (if non-compliant)</w:t>
            </w:r>
          </w:p>
        </w:tc>
        <w:tc>
          <w:tcPr>
            <w:tcW w:type="dxa" w:w="1000"/>
            <w:shd w:fill="F5F4F0" w:val="clear"/>
          </w:tcPr>
          <w:p>
            <w:pPr>
              <w:spacing w:after="0"/>
            </w:pPr>
            <w:r>
              <w:rPr>
                <w:rFonts w:ascii="Arial" w:cs="Arial" w:eastAsia="Arial" w:hAnsi="Arial"/>
                <w:color w:val="333333"/>
                <w:sz w:val="18"/>
                <w:szCs w:val="18"/>
              </w:rPr>
              <w:t xml:space="preserve">HIGH (₦10M+ fine)</w:t>
            </w:r>
          </w:p>
        </w:tc>
        <w:tc>
          <w:tcPr>
            <w:tcW w:type="dxa" w:w="5160"/>
            <w:shd w:fill="F5F4F0" w:val="clear"/>
          </w:tcPr>
          <w:p>
            <w:pPr>
              <w:spacing w:after="0"/>
            </w:pPr>
            <w:r>
              <w:rPr>
                <w:rFonts w:ascii="Arial" w:cs="Arial" w:eastAsia="Arial" w:hAnsi="Arial"/>
                <w:color w:val="333333"/>
                <w:sz w:val="18"/>
                <w:szCs w:val="18"/>
              </w:rPr>
              <w:t xml:space="preserve">Register with NDPC; complete DPIA; appoint DPO</w:t>
            </w:r>
          </w:p>
        </w:tc>
      </w:tr>
      <w:tr>
        <w:tc>
          <w:tcPr>
            <w:tcW w:type="dxa" w:w="2200"/>
            <w:shd w:fill="FFFFFF" w:val="clear"/>
          </w:tcPr>
          <w:p>
            <w:pPr>
              <w:spacing w:after="0"/>
            </w:pPr>
            <w:r>
              <w:rPr>
                <w:rFonts w:ascii="Arial" w:cs="Arial" w:eastAsia="Arial" w:hAnsi="Arial"/>
                <w:color w:val="333333"/>
                <w:sz w:val="18"/>
                <w:szCs w:val="18"/>
              </w:rPr>
              <w:t xml:space="preserve">Gig worker legislation (AUTWON pressure)</w:t>
            </w:r>
          </w:p>
        </w:tc>
        <w:tc>
          <w:tcPr>
            <w:tcW w:type="dxa" w:w="1000"/>
            <w:shd w:fill="FFFFFF" w:val="clear"/>
          </w:tcPr>
          <w:p>
            <w:pPr>
              <w:spacing w:after="0"/>
            </w:pPr>
            <w:r>
              <w:rPr>
                <w:rFonts w:ascii="Arial" w:cs="Arial" w:eastAsia="Arial" w:hAnsi="Arial"/>
                <w:color w:val="333333"/>
                <w:sz w:val="18"/>
                <w:szCs w:val="18"/>
              </w:rPr>
              <w:t xml:space="preserve">MEDIUM (2-5 yr)</w:t>
            </w:r>
          </w:p>
        </w:tc>
        <w:tc>
          <w:tcPr>
            <w:tcW w:type="dxa" w:w="1000"/>
            <w:shd w:fill="FFFFFF" w:val="clear"/>
          </w:tcPr>
          <w:p>
            <w:pPr>
              <w:spacing w:after="0"/>
            </w:pPr>
            <w:r>
              <w:rPr>
                <w:rFonts w:ascii="Arial" w:cs="Arial" w:eastAsia="Arial" w:hAnsi="Arial"/>
                <w:color w:val="333333"/>
                <w:sz w:val="18"/>
                <w:szCs w:val="18"/>
              </w:rPr>
              <w:t xml:space="preserve">HIGH</w:t>
            </w:r>
          </w:p>
        </w:tc>
        <w:tc>
          <w:tcPr>
            <w:tcW w:type="dxa" w:w="5160"/>
            <w:shd w:fill="FFFFFF" w:val="clear"/>
          </w:tcPr>
          <w:p>
            <w:pPr>
              <w:spacing w:after="0"/>
            </w:pPr>
            <w:r>
              <w:rPr>
                <w:rFonts w:ascii="Arial" w:cs="Arial" w:eastAsia="Arial" w:hAnsi="Arial"/>
                <w:color w:val="333333"/>
                <w:sz w:val="18"/>
                <w:szCs w:val="18"/>
              </w:rPr>
              <w:t xml:space="preserve">18% take rate is already lower than Uber/Bolt; maximize contractor independence</w:t>
            </w:r>
          </w:p>
        </w:tc>
      </w:tr>
      <w:tr>
        <w:tc>
          <w:tcPr>
            <w:tcW w:type="dxa" w:w="2200"/>
            <w:shd w:fill="F5F4F0" w:val="clear"/>
          </w:tcPr>
          <w:p>
            <w:pPr>
              <w:spacing w:after="0"/>
            </w:pPr>
            <w:r>
              <w:rPr>
                <w:rFonts w:ascii="Arial" w:cs="Arial" w:eastAsia="Arial" w:hAnsi="Arial"/>
                <w:color w:val="333333"/>
                <w:sz w:val="18"/>
                <w:szCs w:val="18"/>
              </w:rPr>
              <w:t xml:space="preserve">Inspector withholding tax disputes</w:t>
            </w:r>
          </w:p>
        </w:tc>
        <w:tc>
          <w:tcPr>
            <w:tcW w:type="dxa" w:w="1000"/>
            <w:shd w:fill="F5F4F0" w:val="clear"/>
          </w:tcPr>
          <w:p>
            <w:pPr>
              <w:spacing w:after="0"/>
            </w:pPr>
            <w:r>
              <w:rPr>
                <w:rFonts w:ascii="Arial" w:cs="Arial" w:eastAsia="Arial" w:hAnsi="Arial"/>
                <w:color w:val="333333"/>
                <w:sz w:val="18"/>
                <w:szCs w:val="18"/>
              </w:rPr>
              <w:t xml:space="preserve">MEDIUM</w:t>
            </w:r>
          </w:p>
        </w:tc>
        <w:tc>
          <w:tcPr>
            <w:tcW w:type="dxa" w:w="1000"/>
            <w:shd w:fill="F5F4F0" w:val="clear"/>
          </w:tcPr>
          <w:p>
            <w:pPr>
              <w:spacing w:after="0"/>
            </w:pPr>
            <w:r>
              <w:rPr>
                <w:rFonts w:ascii="Arial" w:cs="Arial" w:eastAsia="Arial" w:hAnsi="Arial"/>
                <w:color w:val="333333"/>
                <w:sz w:val="18"/>
                <w:szCs w:val="18"/>
              </w:rPr>
              <w:t xml:space="preserve">LOW</w:t>
            </w:r>
          </w:p>
        </w:tc>
        <w:tc>
          <w:tcPr>
            <w:tcW w:type="dxa" w:w="5160"/>
            <w:shd w:fill="F5F4F0" w:val="clear"/>
          </w:tcPr>
          <w:p>
            <w:pPr>
              <w:spacing w:after="0"/>
            </w:pPr>
            <w:r>
              <w:rPr>
                <w:rFonts w:ascii="Arial" w:cs="Arial" w:eastAsia="Arial" w:hAnsi="Arial"/>
                <w:color w:val="333333"/>
                <w:sz w:val="18"/>
                <w:szCs w:val="18"/>
              </w:rPr>
              <w:t xml:space="preserve">Automate WHT calculation and certificate generation in the platform</w:t>
            </w:r>
          </w:p>
        </w:tc>
      </w:tr>
      <w:tr>
        <w:tc>
          <w:tcPr>
            <w:tcW w:type="dxa" w:w="2200"/>
            <w:shd w:fill="FFFFFF" w:val="clear"/>
          </w:tcPr>
          <w:p>
            <w:pPr>
              <w:spacing w:after="0"/>
            </w:pPr>
            <w:r>
              <w:rPr>
                <w:rFonts w:ascii="Arial" w:cs="Arial" w:eastAsia="Arial" w:hAnsi="Arial"/>
                <w:color w:val="333333"/>
                <w:sz w:val="18"/>
                <w:szCs w:val="18"/>
              </w:rPr>
              <w:t xml:space="preserve">Naira volatility / exchange rate risk</w:t>
            </w:r>
          </w:p>
        </w:tc>
        <w:tc>
          <w:tcPr>
            <w:tcW w:type="dxa" w:w="1000"/>
            <w:shd w:fill="FFFFFF" w:val="clear"/>
          </w:tcPr>
          <w:p>
            <w:pPr>
              <w:spacing w:after="0"/>
            </w:pPr>
            <w:r>
              <w:rPr>
                <w:rFonts w:ascii="Arial" w:cs="Arial" w:eastAsia="Arial" w:hAnsi="Arial"/>
                <w:color w:val="333333"/>
                <w:sz w:val="18"/>
                <w:szCs w:val="18"/>
              </w:rPr>
              <w:t xml:space="preserve">HIGH</w:t>
            </w:r>
          </w:p>
        </w:tc>
        <w:tc>
          <w:tcPr>
            <w:tcW w:type="dxa" w:w="1000"/>
            <w:shd w:fill="FFFFFF" w:val="clear"/>
          </w:tcPr>
          <w:p>
            <w:pPr>
              <w:spacing w:after="0"/>
            </w:pPr>
            <w:r>
              <w:rPr>
                <w:rFonts w:ascii="Arial" w:cs="Arial" w:eastAsia="Arial" w:hAnsi="Arial"/>
                <w:color w:val="333333"/>
                <w:sz w:val="18"/>
                <w:szCs w:val="18"/>
              </w:rPr>
              <w:t xml:space="preserve">MEDIUM</w:t>
            </w:r>
          </w:p>
        </w:tc>
        <w:tc>
          <w:tcPr>
            <w:tcW w:type="dxa" w:w="5160"/>
            <w:shd w:fill="FFFFFF" w:val="clear"/>
          </w:tcPr>
          <w:p>
            <w:pPr>
              <w:spacing w:after="0"/>
            </w:pPr>
            <w:r>
              <w:rPr>
                <w:rFonts w:ascii="Arial" w:cs="Arial" w:eastAsia="Arial" w:hAnsi="Arial"/>
                <w:color w:val="333333"/>
                <w:sz w:val="18"/>
                <w:szCs w:val="18"/>
              </w:rPr>
              <w:t xml:space="preserve">Price in NGN for local clients; convert via Flutterwave at transaction time</w:t>
            </w:r>
          </w:p>
        </w:tc>
      </w:tr>
      <w:tr>
        <w:tc>
          <w:tcPr>
            <w:tcW w:type="dxa" w:w="2200"/>
            <w:shd w:fill="F5F4F0" w:val="clear"/>
          </w:tcPr>
          <w:p>
            <w:pPr>
              <w:spacing w:after="0"/>
            </w:pPr>
            <w:r>
              <w:rPr>
                <w:rFonts w:ascii="Arial" w:cs="Arial" w:eastAsia="Arial" w:hAnsi="Arial"/>
                <w:color w:val="333333"/>
                <w:sz w:val="18"/>
                <w:szCs w:val="18"/>
              </w:rPr>
              <w:t xml:space="preserve">Operational fraud (fake inspectors, evidence fabrication)</w:t>
            </w:r>
          </w:p>
        </w:tc>
        <w:tc>
          <w:tcPr>
            <w:tcW w:type="dxa" w:w="1000"/>
            <w:shd w:fill="F5F4F0" w:val="clear"/>
          </w:tcPr>
          <w:p>
            <w:pPr>
              <w:spacing w:after="0"/>
            </w:pPr>
            <w:r>
              <w:rPr>
                <w:rFonts w:ascii="Arial" w:cs="Arial" w:eastAsia="Arial" w:hAnsi="Arial"/>
                <w:color w:val="333333"/>
                <w:sz w:val="18"/>
                <w:szCs w:val="18"/>
              </w:rPr>
              <w:t xml:space="preserve">MEDIUM</w:t>
            </w:r>
          </w:p>
        </w:tc>
        <w:tc>
          <w:tcPr>
            <w:tcW w:type="dxa" w:w="1000"/>
            <w:shd w:fill="F5F4F0" w:val="clear"/>
          </w:tcPr>
          <w:p>
            <w:pPr>
              <w:spacing w:after="0"/>
            </w:pPr>
            <w:r>
              <w:rPr>
                <w:rFonts w:ascii="Arial" w:cs="Arial" w:eastAsia="Arial" w:hAnsi="Arial"/>
                <w:color w:val="333333"/>
                <w:sz w:val="18"/>
                <w:szCs w:val="18"/>
              </w:rPr>
              <w:t xml:space="preserve">HIGH</w:t>
            </w:r>
          </w:p>
        </w:tc>
        <w:tc>
          <w:tcPr>
            <w:tcW w:type="dxa" w:w="5160"/>
            <w:shd w:fill="F5F4F0" w:val="clear"/>
          </w:tcPr>
          <w:p>
            <w:pPr>
              <w:spacing w:after="0"/>
            </w:pPr>
            <w:r>
              <w:rPr>
                <w:rFonts w:ascii="Arial" w:cs="Arial" w:eastAsia="Arial" w:hAnsi="Arial"/>
                <w:color w:val="333333"/>
                <w:sz w:val="18"/>
                <w:szCs w:val="18"/>
              </w:rPr>
              <w:t xml:space="preserve">Smile ID biometric KYC, multi-signal GPS verification, NudeNet content safety</w:t>
            </w:r>
          </w:p>
        </w:tc>
      </w:tr>
      <w:tr>
        <w:tc>
          <w:tcPr>
            <w:tcW w:type="dxa" w:w="2200"/>
            <w:shd w:fill="FFFFFF" w:val="clear"/>
          </w:tcPr>
          <w:p>
            <w:pPr>
              <w:spacing w:after="0"/>
            </w:pPr>
            <w:r>
              <w:rPr>
                <w:rFonts w:ascii="Arial" w:cs="Arial" w:eastAsia="Arial" w:hAnsi="Arial"/>
                <w:color w:val="333333"/>
                <w:sz w:val="18"/>
                <w:szCs w:val="18"/>
              </w:rPr>
              <w:t xml:space="preserve">Political/regulatory instability</w:t>
            </w:r>
          </w:p>
        </w:tc>
        <w:tc>
          <w:tcPr>
            <w:tcW w:type="dxa" w:w="1000"/>
            <w:shd w:fill="FFFFFF" w:val="clear"/>
          </w:tcPr>
          <w:p>
            <w:pPr>
              <w:spacing w:after="0"/>
            </w:pPr>
            <w:r>
              <w:rPr>
                <w:rFonts w:ascii="Arial" w:cs="Arial" w:eastAsia="Arial" w:hAnsi="Arial"/>
                <w:color w:val="333333"/>
                <w:sz w:val="18"/>
                <w:szCs w:val="18"/>
              </w:rPr>
              <w:t xml:space="preserve">MEDIUM</w:t>
            </w:r>
          </w:p>
        </w:tc>
        <w:tc>
          <w:tcPr>
            <w:tcW w:type="dxa" w:w="1000"/>
            <w:shd w:fill="FFFFFF" w:val="clear"/>
          </w:tcPr>
          <w:p>
            <w:pPr>
              <w:spacing w:after="0"/>
            </w:pPr>
            <w:r>
              <w:rPr>
                <w:rFonts w:ascii="Arial" w:cs="Arial" w:eastAsia="Arial" w:hAnsi="Arial"/>
                <w:color w:val="333333"/>
                <w:sz w:val="18"/>
                <w:szCs w:val="18"/>
              </w:rPr>
              <w:t xml:space="preserve">MEDIUM</w:t>
            </w:r>
          </w:p>
        </w:tc>
        <w:tc>
          <w:tcPr>
            <w:tcW w:type="dxa" w:w="5160"/>
            <w:shd w:fill="FFFFFF" w:val="clear"/>
          </w:tcPr>
          <w:p>
            <w:pPr>
              <w:spacing w:after="0"/>
            </w:pPr>
            <w:r>
              <w:rPr>
                <w:rFonts w:ascii="Arial" w:cs="Arial" w:eastAsia="Arial" w:hAnsi="Arial"/>
                <w:color w:val="333333"/>
                <w:sz w:val="18"/>
                <w:szCs w:val="18"/>
              </w:rPr>
              <w:t xml:space="preserve">Lean operations; don't over-invest before market validation</w:t>
            </w:r>
          </w:p>
        </w:tc>
      </w:tr>
      <w:tr>
        <w:tc>
          <w:tcPr>
            <w:tcW w:type="dxa" w:w="2200"/>
            <w:shd w:fill="F5F4F0" w:val="clear"/>
          </w:tcPr>
          <w:p>
            <w:pPr>
              <w:spacing w:after="0"/>
            </w:pPr>
            <w:r>
              <w:rPr>
                <w:rFonts w:ascii="Arial" w:cs="Arial" w:eastAsia="Arial" w:hAnsi="Arial"/>
                <w:color w:val="333333"/>
                <w:sz w:val="18"/>
                <w:szCs w:val="18"/>
              </w:rPr>
              <w:t xml:space="preserve">Competition from LandSafe / Mantel Verify / LANDIZ</w:t>
            </w:r>
          </w:p>
        </w:tc>
        <w:tc>
          <w:tcPr>
            <w:tcW w:type="dxa" w:w="1000"/>
            <w:shd w:fill="F5F4F0" w:val="clear"/>
          </w:tcPr>
          <w:p>
            <w:pPr>
              <w:spacing w:after="0"/>
            </w:pPr>
            <w:r>
              <w:rPr>
                <w:rFonts w:ascii="Arial" w:cs="Arial" w:eastAsia="Arial" w:hAnsi="Arial"/>
                <w:color w:val="333333"/>
                <w:sz w:val="18"/>
                <w:szCs w:val="18"/>
              </w:rPr>
              <w:t xml:space="preserve">HIGH</w:t>
            </w:r>
          </w:p>
        </w:tc>
        <w:tc>
          <w:tcPr>
            <w:tcW w:type="dxa" w:w="1000"/>
            <w:shd w:fill="F5F4F0" w:val="clear"/>
          </w:tcPr>
          <w:p>
            <w:pPr>
              <w:spacing w:after="0"/>
            </w:pPr>
            <w:r>
              <w:rPr>
                <w:rFonts w:ascii="Arial" w:cs="Arial" w:eastAsia="Arial" w:hAnsi="Arial"/>
                <w:color w:val="333333"/>
                <w:sz w:val="18"/>
                <w:szCs w:val="18"/>
              </w:rPr>
              <w:t xml:space="preserve">MEDIUM</w:t>
            </w:r>
          </w:p>
        </w:tc>
        <w:tc>
          <w:tcPr>
            <w:tcW w:type="dxa" w:w="5160"/>
            <w:shd w:fill="F5F4F0" w:val="clear"/>
          </w:tcPr>
          <w:p>
            <w:pPr>
              <w:spacing w:after="0"/>
            </w:pPr>
            <w:r>
              <w:rPr>
                <w:rFonts w:ascii="Arial" w:cs="Arial" w:eastAsia="Arial" w:hAnsi="Arial"/>
                <w:color w:val="333333"/>
                <w:sz w:val="18"/>
                <w:szCs w:val="18"/>
              </w:rPr>
              <w:t xml:space="preserve">These are managed services at 3-5x our price; marketplace model is the differentiation</w:t>
            </w:r>
          </w:p>
        </w:tc>
      </w:tr>
      <w:tr>
        <w:tc>
          <w:tcPr>
            <w:tcW w:type="dxa" w:w="2200"/>
            <w:shd w:fill="FFFFFF" w:val="clear"/>
          </w:tcPr>
          <w:p>
            <w:pPr>
              <w:spacing w:after="0"/>
            </w:pPr>
            <w:r>
              <w:rPr>
                <w:rFonts w:ascii="Arial" w:cs="Arial" w:eastAsia="Arial" w:hAnsi="Arial"/>
                <w:color w:val="333333"/>
                <w:sz w:val="18"/>
                <w:szCs w:val="18"/>
              </w:rPr>
              <w:t xml:space="preserve">Flutterwave/Paystack regulatory issues (payment rail disruption)</w:t>
            </w:r>
          </w:p>
        </w:tc>
        <w:tc>
          <w:tcPr>
            <w:tcW w:type="dxa" w:w="1000"/>
            <w:shd w:fill="FFFFFF" w:val="clear"/>
          </w:tcPr>
          <w:p>
            <w:pPr>
              <w:spacing w:after="0"/>
            </w:pPr>
            <w:r>
              <w:rPr>
                <w:rFonts w:ascii="Arial" w:cs="Arial" w:eastAsia="Arial" w:hAnsi="Arial"/>
                <w:color w:val="333333"/>
                <w:sz w:val="18"/>
                <w:szCs w:val="18"/>
              </w:rPr>
              <w:t xml:space="preserve">LOW-MEDIUM</w:t>
            </w:r>
          </w:p>
        </w:tc>
        <w:tc>
          <w:tcPr>
            <w:tcW w:type="dxa" w:w="1000"/>
            <w:shd w:fill="FFFFFF" w:val="clear"/>
          </w:tcPr>
          <w:p>
            <w:pPr>
              <w:spacing w:after="0"/>
            </w:pPr>
            <w:r>
              <w:rPr>
                <w:rFonts w:ascii="Arial" w:cs="Arial" w:eastAsia="Arial" w:hAnsi="Arial"/>
                <w:color w:val="333333"/>
                <w:sz w:val="18"/>
                <w:szCs w:val="18"/>
              </w:rPr>
              <w:t xml:space="preserve">HIGH</w:t>
            </w:r>
          </w:p>
        </w:tc>
        <w:tc>
          <w:tcPr>
            <w:tcW w:type="dxa" w:w="5160"/>
            <w:shd w:fill="FFFFFF" w:val="clear"/>
          </w:tcPr>
          <w:p>
            <w:pPr>
              <w:spacing w:after="0"/>
            </w:pPr>
            <w:r>
              <w:rPr>
                <w:rFonts w:ascii="Arial" w:cs="Arial" w:eastAsia="Arial" w:hAnsi="Arial"/>
                <w:color w:val="333333"/>
                <w:sz w:val="18"/>
                <w:szCs w:val="18"/>
              </w:rPr>
              <w:t xml:space="preserve">Maintain backup rail (Interswitch); never depend on a single payment provider</w:t>
            </w:r>
          </w:p>
        </w:tc>
      </w:tr>
    </w:tbl>
    <w:p>
      <w:pPr>
        <w:pStyle w:val="Heading1"/>
        <w:spacing w:after="200" w:before="400"/>
      </w:pPr>
      <w:r>
        <w:rPr>
          <w:rFonts w:ascii="Arial" w:cs="Arial" w:eastAsia="Arial" w:hAnsi="Arial"/>
          <w:b/>
          <w:bCs/>
          <w:color w:val="022B1E"/>
          <w:sz w:val="28"/>
          <w:szCs w:val="28"/>
        </w:rPr>
        <w:t xml:space="preserve">12. Summary and Recommendation</w:t>
      </w:r>
    </w:p>
    <w:p>
      <w:pPr>
        <w:spacing w:after="0"/>
      </w:pPr>
    </w:p>
    <w:p>
      <w:pPr>
        <w:spacing w:after="140" w:line="276"/>
      </w:pPr>
      <w:r>
        <w:rPr>
          <w:rFonts w:ascii="Arial" w:cs="Arial" w:eastAsia="Arial" w:hAnsi="Arial"/>
          <w:color w:val="333333"/>
          <w:sz w:val="20"/>
          <w:szCs w:val="20"/>
        </w:rPr>
        <w:t xml:space="preserve">Nigeria is EyeOnSite's largest addressable market and its most complex regulatory challenge. The recommended path:</w:t>
      </w:r>
    </w:p>
    <w:p>
      <w:pPr>
        <w:spacing w:after="0"/>
      </w:pPr>
    </w:p>
    <w:p>
      <w:pPr>
        <w:pStyle w:val="ListParagraph"/>
        <w:numPr>
          <w:ilvl w:val="0"/>
          <w:numId w:val="2"/>
        </w:numPr>
        <w:spacing w:after="80" w:line="276"/>
      </w:pPr>
      <w:r>
        <w:rPr>
          <w:rFonts w:ascii="Arial" w:cs="Arial" w:eastAsia="Arial" w:hAnsi="Arial"/>
          <w:color w:val="333333"/>
          <w:sz w:val="20"/>
          <w:szCs w:val="20"/>
        </w:rPr>
        <w:t xml:space="preserve">V1-V2 (Months 1-14): Focus on Ghana and Kenya. Run the Nigerian co-founder search in parallel.</w:t>
      </w:r>
    </w:p>
    <w:p>
      <w:pPr>
        <w:pStyle w:val="ListParagraph"/>
        <w:numPr>
          <w:ilvl w:val="0"/>
          <w:numId w:val="2"/>
        </w:numPr>
        <w:spacing w:after="80" w:line="276"/>
      </w:pPr>
      <w:r>
        <w:rPr>
          <w:rFonts w:ascii="Arial" w:cs="Arial" w:eastAsia="Arial" w:hAnsi="Arial"/>
          <w:color w:val="333333"/>
          <w:sz w:val="20"/>
          <w:szCs w:val="20"/>
        </w:rPr>
        <w:t xml:space="preserve">V3 (Months 15-18): Enter Nigeria via Option A (Country Representative) if no Nigerian co-founder found, or Option B (Nigerian Co-Founder) if the search succeeds.</w:t>
      </w:r>
    </w:p>
    <w:p>
      <w:pPr>
        <w:pStyle w:val="ListParagraph"/>
        <w:numPr>
          <w:ilvl w:val="0"/>
          <w:numId w:val="2"/>
        </w:numPr>
        <w:spacing w:after="80" w:line="276"/>
      </w:pPr>
      <w:r>
        <w:rPr>
          <w:rFonts w:ascii="Arial" w:cs="Arial" w:eastAsia="Arial" w:hAnsi="Arial"/>
          <w:color w:val="333333"/>
          <w:sz w:val="20"/>
          <w:szCs w:val="20"/>
        </w:rPr>
        <w:t xml:space="preserve">Option C (Franchise) is not recommended as the primary strategy but may be useful for secondary cities.</w:t>
      </w:r>
    </w:p>
    <w:p>
      <w:pPr>
        <w:pStyle w:val="ListParagraph"/>
        <w:numPr>
          <w:ilvl w:val="0"/>
          <w:numId w:val="2"/>
        </w:numPr>
        <w:spacing w:after="80" w:line="276"/>
      </w:pPr>
      <w:r>
        <w:rPr>
          <w:rFonts w:ascii="Arial" w:cs="Arial" w:eastAsia="Arial" w:hAnsi="Arial"/>
          <w:color w:val="333333"/>
          <w:sz w:val="20"/>
          <w:szCs w:val="20"/>
        </w:rPr>
        <w:t xml:space="preserve">Option D (Delay) is the default until V3 — don't rush Nigeria entry without local representation.</w:t>
      </w:r>
    </w:p>
    <w:p>
      <w:pPr>
        <w:spacing w:after="0"/>
      </w:pPr>
    </w:p>
    <w:p>
      <w:pPr>
        <w:spacing w:after="140" w:line="276"/>
      </w:pPr>
      <w:r>
        <w:rPr>
          <w:rFonts w:ascii="Arial" w:cs="Arial" w:eastAsia="Arial" w:hAnsi="Arial"/>
          <w:color w:val="333333"/>
          <w:sz w:val="20"/>
          <w:szCs w:val="20"/>
        </w:rPr>
        <w:t xml:space="preserve">Total Year 1 Nigeria budget: $18,000-35,000 (incorporation + compliance + Country Representative + minimum paid-up capital). This is recoverable from approximately 200-400 completed Standard tasks in the Nigerian market.</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The single most important decision for Nigeria is WHO, not WHEN. A trustworthy, capable Nigerian partner — whether a co-founder (Option B) or country representative (Option A) — is the critical success factor. Every other regulatory requirement is solvable with money and lawyers. The human judgment of 'who do I trust to run my Nigerian operations' is not.</w:t>
      </w:r>
    </w:p>
    <w:p>
      <w:pPr>
        <w:spacing w:after="0"/>
      </w:pPr>
    </w:p>
    <w:p>
      <w:pPr>
        <w:pBdr>
          <w:top w:val="single" w:color="E8E6DD" w:sz="2" w:space="8"/>
        </w:pBdr>
        <w:spacing w:before="200"/>
        <w:jc w:val="center"/>
      </w:pPr>
      <w:r>
        <w:rPr>
          <w:rFonts w:ascii="Arial" w:cs="Arial" w:eastAsia="Arial" w:hAnsi="Arial"/>
          <w:i/>
          <w:iCs/>
          <w:color w:val="999999"/>
          <w:sz w:val="18"/>
          <w:szCs w:val="18"/>
        </w:rPr>
        <w:t xml:space="preserve">End of Nigeria Regulatory Framework — EOS-16-NG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22B1E"/>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0B6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2026-05-26T13:45:58.333Z</dcterms:created>
  <dcterms:modified xsi:type="dcterms:W3CDTF">2026-05-26T13:45:58.345Z</dcterms:modified>
</cp:coreProperties>
</file>

<file path=docProps/custom.xml><?xml version="1.0" encoding="utf-8"?>
<Properties xmlns="http://schemas.openxmlformats.org/officeDocument/2006/custom-properties" xmlns:vt="http://schemas.openxmlformats.org/officeDocument/2006/docPropsVTypes"/>
</file>