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REGULATORY &amp; COMPLIANCE FRAMEWORK</w:t>
      </w:r>
    </w:p>
    <w:p>
      <w:pPr>
        <w:spacing w:after="20"/>
        <w:jc w:val="center"/>
      </w:pPr>
      <w:r>
        <w:rPr>
          <w:rFonts w:ascii="Arial" w:cs="Arial" w:eastAsia="Arial" w:hAnsi="Arial"/>
          <w:color w:val="4A4A47"/>
          <w:sz w:val="22"/>
          <w:szCs w:val="22"/>
        </w:rPr>
        <w:t xml:space="preserve">Multi-Jurisdiction Legal Requirements, Licensing, Data Protection &amp; Risk Analysis</w:t>
      </w:r>
    </w:p>
    <w:p>
      <w:pPr>
        <w:spacing w:after="300"/>
        <w:jc w:val="center"/>
      </w:pPr>
      <w:r>
        <w:rPr>
          <w:rFonts w:ascii="Arial" w:cs="Arial" w:eastAsia="Arial" w:hAnsi="Arial"/>
          <w:color w:val="999999"/>
          <w:sz w:val="18"/>
          <w:szCs w:val="18"/>
        </w:rPr>
        <w:t xml:space="preserve">Document EOS-16 | Version 1.0 | May 2026 | Manti Labs | CONFIDENTIAL</w:t>
      </w:r>
    </w:p>
    <w:p>
      <w:pPr>
        <w:pBdr>
          <w:left w:val="single" w:color="E8593C" w:sz="12" w:space="8"/>
        </w:pBdr>
        <w:shd w:fill="FEF2F2" w:val="clear"/>
        <w:spacing w:after="200" w:before="120"/>
      </w:pPr>
      <w:r>
        <w:rPr>
          <w:rFonts w:ascii="Arial" w:cs="Arial" w:eastAsia="Arial" w:hAnsi="Arial"/>
          <w:color w:val="333333"/>
          <w:sz w:val="20"/>
          <w:szCs w:val="20"/>
        </w:rPr>
        <w:t xml:space="preserve">IMPORTANT: This document is a compliance planning framework, not legal advice. All regulatory interpretations must be verified with qualified legal counsel in each jurisdiction before implementation. Laws evolve rapidly — particularly in African fintech regulation — and this document reflects the regulatory landscape as of May 2026.</w:t>
      </w:r>
    </w:p>
    <w:p>
      <w:pPr>
        <w:pStyle w:val="Heading1"/>
        <w:spacing w:after="200" w:before="400"/>
      </w:pPr>
      <w:r>
        <w:rPr>
          <w:rFonts w:ascii="Arial" w:cs="Arial" w:eastAsia="Arial" w:hAnsi="Arial"/>
          <w:b/>
          <w:bCs/>
          <w:color w:val="022B1E"/>
          <w:sz w:val="28"/>
          <w:szCs w:val="28"/>
        </w:rPr>
        <w:t xml:space="preserve">1. Jurisdictional Overview</w:t>
      </w:r>
    </w:p>
    <w:p>
      <w:pPr>
        <w:spacing w:after="140" w:line="276"/>
      </w:pPr>
      <w:r>
        <w:rPr>
          <w:rFonts w:ascii="Arial" w:cs="Arial" w:eastAsia="Arial" w:hAnsi="Arial"/>
          <w:color w:val="333333"/>
          <w:sz w:val="20"/>
          <w:szCs w:val="20"/>
        </w:rPr>
        <w:t xml:space="preserve">EyeOnSite operates across multiple legal jurisdictions simultaneously. The platform connects clients in diaspora countries (UK, US, Canada, EU) with inspectors in African countries (Ghana, Nigeria, Kenya). This creates a complex multi-jurisdictional compliance landscape.</w:t>
      </w:r>
    </w:p>
    <w:p>
      <w:pPr>
        <w:spacing w:after="0"/>
      </w:pPr>
    </w:p>
    <w:p>
      <w:pPr>
        <w:pStyle w:val="Heading2"/>
        <w:spacing w:after="160" w:before="300"/>
      </w:pPr>
      <w:r>
        <w:rPr>
          <w:rFonts w:ascii="Arial" w:cs="Arial" w:eastAsia="Arial" w:hAnsi="Arial"/>
          <w:b/>
          <w:bCs/>
          <w:color w:val="0B6E4F"/>
          <w:sz w:val="24"/>
          <w:szCs w:val="24"/>
        </w:rPr>
        <w:t xml:space="preserve">1.1 Jurisdictions and Applicable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shd w:fill="022B1E" w:val="clear"/>
          </w:tcPr>
          <w:p>
            <w:pPr>
              <w:spacing w:after="0"/>
            </w:pPr>
            <w:r>
              <w:rPr>
                <w:rFonts w:ascii="Arial" w:cs="Arial" w:eastAsia="Arial" w:hAnsi="Arial"/>
                <w:b/>
                <w:bCs/>
                <w:color w:val="FFFFFF"/>
                <w:sz w:val="18"/>
                <w:szCs w:val="18"/>
              </w:rPr>
              <w:t xml:space="preserve">Jurisdiction</w:t>
            </w:r>
          </w:p>
        </w:tc>
        <w:tc>
          <w:tcPr>
            <w:tcW w:type="dxa" w:w="2200"/>
            <w:shd w:fill="022B1E" w:val="clear"/>
          </w:tcPr>
          <w:p>
            <w:pPr>
              <w:spacing w:after="0"/>
            </w:pPr>
            <w:r>
              <w:rPr>
                <w:rFonts w:ascii="Arial" w:cs="Arial" w:eastAsia="Arial" w:hAnsi="Arial"/>
                <w:b/>
                <w:bCs/>
                <w:color w:val="FFFFFF"/>
                <w:sz w:val="18"/>
                <w:szCs w:val="18"/>
              </w:rPr>
              <w:t xml:space="preserve">Relationship to EyeOnSite</w:t>
            </w:r>
          </w:p>
        </w:tc>
        <w:tc>
          <w:tcPr>
            <w:tcW w:type="dxa" w:w="3600"/>
            <w:shd w:fill="022B1E" w:val="clear"/>
          </w:tcPr>
          <w:p>
            <w:pPr>
              <w:spacing w:after="0"/>
            </w:pPr>
            <w:r>
              <w:rPr>
                <w:rFonts w:ascii="Arial" w:cs="Arial" w:eastAsia="Arial" w:hAnsi="Arial"/>
                <w:b/>
                <w:bCs/>
                <w:color w:val="FFFFFF"/>
                <w:sz w:val="18"/>
                <w:szCs w:val="18"/>
              </w:rPr>
              <w:t xml:space="preserve">Primary Legislation</w:t>
            </w:r>
          </w:p>
        </w:tc>
        <w:tc>
          <w:tcPr>
            <w:tcW w:type="dxa" w:w="2260"/>
            <w:shd w:fill="022B1E" w:val="clear"/>
          </w:tcPr>
          <w:p>
            <w:pPr>
              <w:spacing w:after="0"/>
            </w:pPr>
            <w:r>
              <w:rPr>
                <w:rFonts w:ascii="Arial" w:cs="Arial" w:eastAsia="Arial" w:hAnsi="Arial"/>
                <w:b/>
                <w:bCs/>
                <w:color w:val="FFFFFF"/>
                <w:sz w:val="18"/>
                <w:szCs w:val="18"/>
              </w:rPr>
              <w:t xml:space="preserve">Regulatory Authority</w:t>
            </w:r>
          </w:p>
        </w:tc>
      </w:tr>
      <w:tr>
        <w:tc>
          <w:tcPr>
            <w:tcW w:type="dxa" w:w="1300"/>
            <w:shd w:fill="F5F4F0" w:val="clear"/>
          </w:tcPr>
          <w:p>
            <w:pPr>
              <w:spacing w:after="0"/>
            </w:pPr>
            <w:r>
              <w:rPr>
                <w:rFonts w:ascii="Arial" w:cs="Arial" w:eastAsia="Arial" w:hAnsi="Arial"/>
                <w:color w:val="333333"/>
                <w:sz w:val="18"/>
                <w:szCs w:val="18"/>
              </w:rPr>
              <w:t xml:space="preserve">Ghana</w:t>
            </w:r>
          </w:p>
        </w:tc>
        <w:tc>
          <w:tcPr>
            <w:tcW w:type="dxa" w:w="2200"/>
            <w:shd w:fill="F5F4F0" w:val="clear"/>
          </w:tcPr>
          <w:p>
            <w:pPr>
              <w:spacing w:after="0"/>
            </w:pPr>
            <w:r>
              <w:rPr>
                <w:rFonts w:ascii="Arial" w:cs="Arial" w:eastAsia="Arial" w:hAnsi="Arial"/>
                <w:color w:val="333333"/>
                <w:sz w:val="18"/>
                <w:szCs w:val="18"/>
              </w:rPr>
              <w:t xml:space="preserve">Operating base, V1 launch market, inspector jurisdiction</w:t>
            </w:r>
          </w:p>
        </w:tc>
        <w:tc>
          <w:tcPr>
            <w:tcW w:type="dxa" w:w="3600"/>
            <w:shd w:fill="F5F4F0" w:val="clear"/>
          </w:tcPr>
          <w:p>
            <w:pPr>
              <w:spacing w:after="0"/>
            </w:pPr>
            <w:r>
              <w:rPr>
                <w:rFonts w:ascii="Arial" w:cs="Arial" w:eastAsia="Arial" w:hAnsi="Arial"/>
                <w:color w:val="333333"/>
                <w:sz w:val="18"/>
                <w:szCs w:val="18"/>
              </w:rPr>
              <w:t xml:space="preserve">Data Protection Act 2012 (Act 843), Labour Act 2003 (Act 651), Payment Systems Act 2019 (Act 987), Companies Act 2019 (Act 992), Cybersecurity Act 2020 (Act 1038)</w:t>
            </w:r>
          </w:p>
        </w:tc>
        <w:tc>
          <w:tcPr>
            <w:tcW w:type="dxa" w:w="2260"/>
            <w:shd w:fill="F5F4F0" w:val="clear"/>
          </w:tcPr>
          <w:p>
            <w:pPr>
              <w:spacing w:after="0"/>
            </w:pPr>
            <w:r>
              <w:rPr>
                <w:rFonts w:ascii="Arial" w:cs="Arial" w:eastAsia="Arial" w:hAnsi="Arial"/>
                <w:color w:val="333333"/>
                <w:sz w:val="18"/>
                <w:szCs w:val="18"/>
              </w:rPr>
              <w:t xml:space="preserve">Data Protection Commission, Bank of Ghana, Registrar General</w:t>
            </w:r>
          </w:p>
        </w:tc>
      </w:tr>
      <w:tr>
        <w:tc>
          <w:tcPr>
            <w:tcW w:type="dxa" w:w="1300"/>
            <w:shd w:fill="FFFFFF" w:val="clear"/>
          </w:tcPr>
          <w:p>
            <w:pPr>
              <w:spacing w:after="0"/>
            </w:pPr>
            <w:r>
              <w:rPr>
                <w:rFonts w:ascii="Arial" w:cs="Arial" w:eastAsia="Arial" w:hAnsi="Arial"/>
                <w:color w:val="333333"/>
                <w:sz w:val="18"/>
                <w:szCs w:val="18"/>
              </w:rPr>
              <w:t xml:space="preserve">Nigeria</w:t>
            </w:r>
          </w:p>
        </w:tc>
        <w:tc>
          <w:tcPr>
            <w:tcW w:type="dxa" w:w="2200"/>
            <w:shd w:fill="FFFFFF" w:val="clear"/>
          </w:tcPr>
          <w:p>
            <w:pPr>
              <w:spacing w:after="0"/>
            </w:pPr>
            <w:r>
              <w:rPr>
                <w:rFonts w:ascii="Arial" w:cs="Arial" w:eastAsia="Arial" w:hAnsi="Arial"/>
                <w:color w:val="333333"/>
                <w:sz w:val="18"/>
                <w:szCs w:val="18"/>
              </w:rPr>
              <w:t xml:space="preserve">V2 expansion (Lagos), inspector jurisdiction</w:t>
            </w:r>
          </w:p>
        </w:tc>
        <w:tc>
          <w:tcPr>
            <w:tcW w:type="dxa" w:w="3600"/>
            <w:shd w:fill="FFFFFF" w:val="clear"/>
          </w:tcPr>
          <w:p>
            <w:pPr>
              <w:spacing w:after="0"/>
            </w:pPr>
            <w:r>
              <w:rPr>
                <w:rFonts w:ascii="Arial" w:cs="Arial" w:eastAsia="Arial" w:hAnsi="Arial"/>
                <w:color w:val="333333"/>
                <w:sz w:val="18"/>
                <w:szCs w:val="18"/>
              </w:rPr>
              <w:t xml:space="preserve">Nigeria Data Protection Act 2023 (NDPA), BOFIA 2020, CBN Payment System Guidelines 2021, Labour Act Cap L1 LFN 2004</w:t>
            </w:r>
          </w:p>
        </w:tc>
        <w:tc>
          <w:tcPr>
            <w:tcW w:type="dxa" w:w="2260"/>
            <w:shd w:fill="FFFFFF" w:val="clear"/>
          </w:tcPr>
          <w:p>
            <w:pPr>
              <w:spacing w:after="0"/>
            </w:pPr>
            <w:r>
              <w:rPr>
                <w:rFonts w:ascii="Arial" w:cs="Arial" w:eastAsia="Arial" w:hAnsi="Arial"/>
                <w:color w:val="333333"/>
                <w:sz w:val="18"/>
                <w:szCs w:val="18"/>
              </w:rPr>
              <w:t xml:space="preserve">Nigeria Data Protection Commission, Central Bank of Nigeria</w:t>
            </w:r>
          </w:p>
        </w:tc>
      </w:tr>
      <w:tr>
        <w:tc>
          <w:tcPr>
            <w:tcW w:type="dxa" w:w="1300"/>
            <w:shd w:fill="F5F4F0" w:val="clear"/>
          </w:tcPr>
          <w:p>
            <w:pPr>
              <w:spacing w:after="0"/>
            </w:pPr>
            <w:r>
              <w:rPr>
                <w:rFonts w:ascii="Arial" w:cs="Arial" w:eastAsia="Arial" w:hAnsi="Arial"/>
                <w:color w:val="333333"/>
                <w:sz w:val="18"/>
                <w:szCs w:val="18"/>
              </w:rPr>
              <w:t xml:space="preserve">Kenya</w:t>
            </w:r>
          </w:p>
        </w:tc>
        <w:tc>
          <w:tcPr>
            <w:tcW w:type="dxa" w:w="2200"/>
            <w:shd w:fill="F5F4F0" w:val="clear"/>
          </w:tcPr>
          <w:p>
            <w:pPr>
              <w:spacing w:after="0"/>
            </w:pPr>
            <w:r>
              <w:rPr>
                <w:rFonts w:ascii="Arial" w:cs="Arial" w:eastAsia="Arial" w:hAnsi="Arial"/>
                <w:color w:val="333333"/>
                <w:sz w:val="18"/>
                <w:szCs w:val="18"/>
              </w:rPr>
              <w:t xml:space="preserve">V2 expansion (Nairobi), inspector jurisdiction</w:t>
            </w:r>
          </w:p>
        </w:tc>
        <w:tc>
          <w:tcPr>
            <w:tcW w:type="dxa" w:w="3600"/>
            <w:shd w:fill="F5F4F0" w:val="clear"/>
          </w:tcPr>
          <w:p>
            <w:pPr>
              <w:spacing w:after="0"/>
            </w:pPr>
            <w:r>
              <w:rPr>
                <w:rFonts w:ascii="Arial" w:cs="Arial" w:eastAsia="Arial" w:hAnsi="Arial"/>
                <w:color w:val="333333"/>
                <w:sz w:val="18"/>
                <w:szCs w:val="18"/>
              </w:rPr>
              <w:t xml:space="preserve">Data Protection Act 2019, National Payment System Act 2011, Employment Act 2007, Information and Communications Act</w:t>
            </w:r>
          </w:p>
        </w:tc>
        <w:tc>
          <w:tcPr>
            <w:tcW w:type="dxa" w:w="2260"/>
            <w:shd w:fill="F5F4F0" w:val="clear"/>
          </w:tcPr>
          <w:p>
            <w:pPr>
              <w:spacing w:after="0"/>
            </w:pPr>
            <w:r>
              <w:rPr>
                <w:rFonts w:ascii="Arial" w:cs="Arial" w:eastAsia="Arial" w:hAnsi="Arial"/>
                <w:color w:val="333333"/>
                <w:sz w:val="18"/>
                <w:szCs w:val="18"/>
              </w:rPr>
              <w:t xml:space="preserve">Office of Data Protection Commissioner, Central Bank of Kenya</w:t>
            </w:r>
          </w:p>
        </w:tc>
      </w:tr>
      <w:tr>
        <w:tc>
          <w:tcPr>
            <w:tcW w:type="dxa" w:w="1300"/>
            <w:shd w:fill="FFFFFF" w:val="clear"/>
          </w:tcPr>
          <w:p>
            <w:pPr>
              <w:spacing w:after="0"/>
            </w:pPr>
            <w:r>
              <w:rPr>
                <w:rFonts w:ascii="Arial" w:cs="Arial" w:eastAsia="Arial" w:hAnsi="Arial"/>
                <w:color w:val="333333"/>
                <w:sz w:val="18"/>
                <w:szCs w:val="18"/>
              </w:rPr>
              <w:t xml:space="preserve">United Kingdom</w:t>
            </w:r>
          </w:p>
        </w:tc>
        <w:tc>
          <w:tcPr>
            <w:tcW w:type="dxa" w:w="2200"/>
            <w:shd w:fill="FFFFFF" w:val="clear"/>
          </w:tcPr>
          <w:p>
            <w:pPr>
              <w:spacing w:after="0"/>
            </w:pPr>
            <w:r>
              <w:rPr>
                <w:rFonts w:ascii="Arial" w:cs="Arial" w:eastAsia="Arial" w:hAnsi="Arial"/>
                <w:color w:val="333333"/>
                <w:sz w:val="18"/>
                <w:szCs w:val="18"/>
              </w:rPr>
              <w:t xml:space="preserve">Client jurisdiction (diaspora)</w:t>
            </w:r>
          </w:p>
        </w:tc>
        <w:tc>
          <w:tcPr>
            <w:tcW w:type="dxa" w:w="3600"/>
            <w:shd w:fill="FFFFFF" w:val="clear"/>
          </w:tcPr>
          <w:p>
            <w:pPr>
              <w:spacing w:after="0"/>
            </w:pPr>
            <w:r>
              <w:rPr>
                <w:rFonts w:ascii="Arial" w:cs="Arial" w:eastAsia="Arial" w:hAnsi="Arial"/>
                <w:color w:val="333333"/>
                <w:sz w:val="18"/>
                <w:szCs w:val="18"/>
              </w:rPr>
              <w:t xml:space="preserve">UK GDPR + DPA 2018, Consumer Rights Act 2015, Payment Services Regulations 2017</w:t>
            </w:r>
          </w:p>
        </w:tc>
        <w:tc>
          <w:tcPr>
            <w:tcW w:type="dxa" w:w="2260"/>
            <w:shd w:fill="FFFFFF" w:val="clear"/>
          </w:tcPr>
          <w:p>
            <w:pPr>
              <w:spacing w:after="0"/>
            </w:pPr>
            <w:r>
              <w:rPr>
                <w:rFonts w:ascii="Arial" w:cs="Arial" w:eastAsia="Arial" w:hAnsi="Arial"/>
                <w:color w:val="333333"/>
                <w:sz w:val="18"/>
                <w:szCs w:val="18"/>
              </w:rPr>
              <w:t xml:space="preserve">Information Commissioner's Office (ICO)</w:t>
            </w:r>
          </w:p>
        </w:tc>
      </w:tr>
      <w:tr>
        <w:tc>
          <w:tcPr>
            <w:tcW w:type="dxa" w:w="1300"/>
            <w:shd w:fill="F5F4F0" w:val="clear"/>
          </w:tcPr>
          <w:p>
            <w:pPr>
              <w:spacing w:after="0"/>
            </w:pPr>
            <w:r>
              <w:rPr>
                <w:rFonts w:ascii="Arial" w:cs="Arial" w:eastAsia="Arial" w:hAnsi="Arial"/>
                <w:color w:val="333333"/>
                <w:sz w:val="18"/>
                <w:szCs w:val="18"/>
              </w:rPr>
              <w:t xml:space="preserve">European Union</w:t>
            </w:r>
          </w:p>
        </w:tc>
        <w:tc>
          <w:tcPr>
            <w:tcW w:type="dxa" w:w="2200"/>
            <w:shd w:fill="F5F4F0" w:val="clear"/>
          </w:tcPr>
          <w:p>
            <w:pPr>
              <w:spacing w:after="0"/>
            </w:pPr>
            <w:r>
              <w:rPr>
                <w:rFonts w:ascii="Arial" w:cs="Arial" w:eastAsia="Arial" w:hAnsi="Arial"/>
                <w:color w:val="333333"/>
                <w:sz w:val="18"/>
                <w:szCs w:val="18"/>
              </w:rPr>
              <w:t xml:space="preserve">Client jurisdiction (diaspora)</w:t>
            </w:r>
          </w:p>
        </w:tc>
        <w:tc>
          <w:tcPr>
            <w:tcW w:type="dxa" w:w="3600"/>
            <w:shd w:fill="F5F4F0" w:val="clear"/>
          </w:tcPr>
          <w:p>
            <w:pPr>
              <w:spacing w:after="0"/>
            </w:pPr>
            <w:r>
              <w:rPr>
                <w:rFonts w:ascii="Arial" w:cs="Arial" w:eastAsia="Arial" w:hAnsi="Arial"/>
                <w:color w:val="333333"/>
                <w:sz w:val="18"/>
                <w:szCs w:val="18"/>
              </w:rPr>
              <w:t xml:space="preserve">EU GDPR, Consumer Rights Directive, Payment Services Directive 2 (PSD2)</w:t>
            </w:r>
          </w:p>
        </w:tc>
        <w:tc>
          <w:tcPr>
            <w:tcW w:type="dxa" w:w="2260"/>
            <w:shd w:fill="F5F4F0" w:val="clear"/>
          </w:tcPr>
          <w:p>
            <w:pPr>
              <w:spacing w:after="0"/>
            </w:pPr>
            <w:r>
              <w:rPr>
                <w:rFonts w:ascii="Arial" w:cs="Arial" w:eastAsia="Arial" w:hAnsi="Arial"/>
                <w:color w:val="333333"/>
                <w:sz w:val="18"/>
                <w:szCs w:val="18"/>
              </w:rPr>
              <w:t xml:space="preserve">National DPAs (varies by member state)</w:t>
            </w:r>
          </w:p>
        </w:tc>
      </w:tr>
      <w:tr>
        <w:tc>
          <w:tcPr>
            <w:tcW w:type="dxa" w:w="1300"/>
            <w:shd w:fill="FFFFFF" w:val="clear"/>
          </w:tcPr>
          <w:p>
            <w:pPr>
              <w:spacing w:after="0"/>
            </w:pPr>
            <w:r>
              <w:rPr>
                <w:rFonts w:ascii="Arial" w:cs="Arial" w:eastAsia="Arial" w:hAnsi="Arial"/>
                <w:color w:val="333333"/>
                <w:sz w:val="18"/>
                <w:szCs w:val="18"/>
              </w:rPr>
              <w:t xml:space="preserve">United States</w:t>
            </w:r>
          </w:p>
        </w:tc>
        <w:tc>
          <w:tcPr>
            <w:tcW w:type="dxa" w:w="2200"/>
            <w:shd w:fill="FFFFFF" w:val="clear"/>
          </w:tcPr>
          <w:p>
            <w:pPr>
              <w:spacing w:after="0"/>
            </w:pPr>
            <w:r>
              <w:rPr>
                <w:rFonts w:ascii="Arial" w:cs="Arial" w:eastAsia="Arial" w:hAnsi="Arial"/>
                <w:color w:val="333333"/>
                <w:sz w:val="18"/>
                <w:szCs w:val="18"/>
              </w:rPr>
              <w:t xml:space="preserve">Entity jurisdiction (Delaware), client jurisdiction</w:t>
            </w:r>
          </w:p>
        </w:tc>
        <w:tc>
          <w:tcPr>
            <w:tcW w:type="dxa" w:w="3600"/>
            <w:shd w:fill="FFFFFF" w:val="clear"/>
          </w:tcPr>
          <w:p>
            <w:pPr>
              <w:spacing w:after="0"/>
            </w:pPr>
            <w:r>
              <w:rPr>
                <w:rFonts w:ascii="Arial" w:cs="Arial" w:eastAsia="Arial" w:hAnsi="Arial"/>
                <w:color w:val="333333"/>
                <w:sz w:val="18"/>
                <w:szCs w:val="18"/>
              </w:rPr>
              <w:t xml:space="preserve">State privacy laws (CCPA/CPRA), FTC Act, state money transmitter laws</w:t>
            </w:r>
          </w:p>
        </w:tc>
        <w:tc>
          <w:tcPr>
            <w:tcW w:type="dxa" w:w="2260"/>
            <w:shd w:fill="FFFFFF" w:val="clear"/>
          </w:tcPr>
          <w:p>
            <w:pPr>
              <w:spacing w:after="0"/>
            </w:pPr>
            <w:r>
              <w:rPr>
                <w:rFonts w:ascii="Arial" w:cs="Arial" w:eastAsia="Arial" w:hAnsi="Arial"/>
                <w:color w:val="333333"/>
                <w:sz w:val="18"/>
                <w:szCs w:val="18"/>
              </w:rPr>
              <w:t xml:space="preserve">FTC, state regulators</w:t>
            </w:r>
          </w:p>
        </w:tc>
      </w:tr>
      <w:tr>
        <w:tc>
          <w:tcPr>
            <w:tcW w:type="dxa" w:w="1300"/>
            <w:shd w:fill="F5F4F0" w:val="clear"/>
          </w:tcPr>
          <w:p>
            <w:pPr>
              <w:spacing w:after="0"/>
            </w:pPr>
            <w:r>
              <w:rPr>
                <w:rFonts w:ascii="Arial" w:cs="Arial" w:eastAsia="Arial" w:hAnsi="Arial"/>
                <w:color w:val="333333"/>
                <w:sz w:val="18"/>
                <w:szCs w:val="18"/>
              </w:rPr>
              <w:t xml:space="preserve">Delaware, USA</w:t>
            </w:r>
          </w:p>
        </w:tc>
        <w:tc>
          <w:tcPr>
            <w:tcW w:type="dxa" w:w="2200"/>
            <w:shd w:fill="F5F4F0" w:val="clear"/>
          </w:tcPr>
          <w:p>
            <w:pPr>
              <w:spacing w:after="0"/>
            </w:pPr>
            <w:r>
              <w:rPr>
                <w:rFonts w:ascii="Arial" w:cs="Arial" w:eastAsia="Arial" w:hAnsi="Arial"/>
                <w:color w:val="333333"/>
                <w:sz w:val="18"/>
                <w:szCs w:val="18"/>
              </w:rPr>
              <w:t xml:space="preserve">Entity incorporation (Manti Labs LLC)</w:t>
            </w:r>
          </w:p>
        </w:tc>
        <w:tc>
          <w:tcPr>
            <w:tcW w:type="dxa" w:w="3600"/>
            <w:shd w:fill="F5F4F0" w:val="clear"/>
          </w:tcPr>
          <w:p>
            <w:pPr>
              <w:spacing w:after="0"/>
            </w:pPr>
            <w:r>
              <w:rPr>
                <w:rFonts w:ascii="Arial" w:cs="Arial" w:eastAsia="Arial" w:hAnsi="Arial"/>
                <w:color w:val="333333"/>
                <w:sz w:val="18"/>
                <w:szCs w:val="18"/>
              </w:rPr>
              <w:t xml:space="preserve">Delaware LLC Act, federal tax law</w:t>
            </w:r>
          </w:p>
        </w:tc>
        <w:tc>
          <w:tcPr>
            <w:tcW w:type="dxa" w:w="2260"/>
            <w:shd w:fill="F5F4F0" w:val="clear"/>
          </w:tcPr>
          <w:p>
            <w:pPr>
              <w:spacing w:after="0"/>
            </w:pPr>
            <w:r>
              <w:rPr>
                <w:rFonts w:ascii="Arial" w:cs="Arial" w:eastAsia="Arial" w:hAnsi="Arial"/>
                <w:color w:val="333333"/>
                <w:sz w:val="18"/>
                <w:szCs w:val="18"/>
              </w:rPr>
              <w:t xml:space="preserve">Delaware Secretary of State, IRS</w:t>
            </w:r>
          </w:p>
        </w:tc>
      </w:tr>
    </w:tbl>
    <w:p>
      <w:pPr>
        <w:pStyle w:val="Heading1"/>
        <w:spacing w:after="200" w:before="400"/>
      </w:pPr>
      <w:r>
        <w:rPr>
          <w:rFonts w:ascii="Arial" w:cs="Arial" w:eastAsia="Arial" w:hAnsi="Arial"/>
          <w:b/>
          <w:bCs/>
          <w:color w:val="022B1E"/>
          <w:sz w:val="28"/>
          <w:szCs w:val="28"/>
        </w:rPr>
        <w:t xml:space="preserve">2. Data Protection and Privacy</w:t>
      </w:r>
    </w:p>
    <w:p>
      <w:pPr>
        <w:spacing w:after="140" w:line="276"/>
      </w:pPr>
      <w:r>
        <w:rPr>
          <w:rFonts w:ascii="Arial" w:cs="Arial" w:eastAsia="Arial" w:hAnsi="Arial"/>
          <w:color w:val="333333"/>
          <w:sz w:val="20"/>
          <w:szCs w:val="20"/>
        </w:rPr>
        <w:t xml:space="preserve">Data protection is the most immediate and universal compliance requirement. EyeOnSite collects sensitive data categories: GPS location (real-time tracking during evidence capture), government-issued identity documents (via Smile ID), biometric data (selfie matching), photographs of third-party properties, financial/payment information, accelerometer readings, and device fingerprints.</w:t>
      </w:r>
    </w:p>
    <w:p>
      <w:pPr>
        <w:spacing w:after="0"/>
      </w:pPr>
    </w:p>
    <w:p>
      <w:pPr>
        <w:pStyle w:val="Heading2"/>
        <w:spacing w:after="160" w:before="300"/>
      </w:pPr>
      <w:r>
        <w:rPr>
          <w:rFonts w:ascii="Arial" w:cs="Arial" w:eastAsia="Arial" w:hAnsi="Arial"/>
          <w:b/>
          <w:bCs/>
          <w:color w:val="0B6E4F"/>
          <w:sz w:val="24"/>
          <w:szCs w:val="24"/>
        </w:rPr>
        <w:t xml:space="preserve">2.1 Ghana — Data Protection Act 2012 (Act 843)</w:t>
      </w:r>
    </w:p>
    <w:p>
      <w:pPr>
        <w:spacing w:after="140" w:line="276"/>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MANDATORY BEFORE V1 LAUNCH</w:t>
      </w:r>
    </w:p>
    <w:p>
      <w:pPr>
        <w:spacing w:after="140" w:line="276"/>
      </w:pPr>
      <w:r>
        <w:rPr>
          <w:rFonts w:ascii="Arial" w:cs="Arial" w:eastAsia="Arial" w:hAnsi="Arial"/>
          <w:b/>
          <w:bCs/>
          <w:color w:val="333333"/>
          <w:sz w:val="20"/>
          <w:szCs w:val="20"/>
        </w:rPr>
        <w:t xml:space="preserve">Enforcement: </w:t>
      </w:r>
      <w:r>
        <w:rPr>
          <w:rFonts w:ascii="Arial" w:cs="Arial" w:eastAsia="Arial" w:hAnsi="Arial"/>
          <w:color w:val="333333"/>
          <w:sz w:val="20"/>
          <w:szCs w:val="20"/>
        </w:rPr>
        <w:t xml:space="preserve">The DPC announced strict enforcement beginning 2026, with fines and imprisonment for non-compliance.</w:t>
      </w:r>
    </w:p>
    <w:p>
      <w:pPr>
        <w:spacing w:after="0"/>
      </w:pPr>
    </w:p>
    <w:p>
      <w:pPr>
        <w:spacing w:after="120" w:before="200"/>
      </w:pPr>
      <w:r>
        <w:rPr>
          <w:rFonts w:ascii="Arial" w:cs="Arial" w:eastAsia="Arial" w:hAnsi="Arial"/>
          <w:b/>
          <w:bCs/>
          <w:color w:val="4A4A47"/>
          <w:sz w:val="22"/>
          <w:szCs w:val="22"/>
        </w:rPr>
        <w:t xml:space="preserve">Requirements</w:t>
      </w:r>
    </w:p>
    <w:p>
      <w:pPr>
        <w:pStyle w:val="ListParagraph"/>
        <w:numPr>
          <w:ilvl w:val="0"/>
          <w:numId w:val="2"/>
        </w:numPr>
        <w:spacing w:after="80" w:line="276"/>
      </w:pPr>
      <w:r>
        <w:rPr>
          <w:rFonts w:ascii="Arial" w:cs="Arial" w:eastAsia="Arial" w:hAnsi="Arial"/>
          <w:color w:val="333333"/>
          <w:sz w:val="20"/>
          <w:szCs w:val="20"/>
        </w:rPr>
        <w:t xml:space="preserve">Register with the Data Protection Commission (DPC) as a data controller before processing any personal data (Section 27(1)). Registration must be renewed every two years.</w:t>
      </w:r>
    </w:p>
    <w:p>
      <w:pPr>
        <w:pStyle w:val="ListParagraph"/>
        <w:numPr>
          <w:ilvl w:val="0"/>
          <w:numId w:val="2"/>
        </w:numPr>
        <w:spacing w:after="80" w:line="276"/>
      </w:pPr>
      <w:r>
        <w:rPr>
          <w:rFonts w:ascii="Arial" w:cs="Arial" w:eastAsia="Arial" w:hAnsi="Arial"/>
          <w:color w:val="333333"/>
          <w:sz w:val="20"/>
          <w:szCs w:val="20"/>
        </w:rPr>
        <w:t xml:space="preserve">Obtain explicit consent before collecting personal data. Consent must be informed, specific, and freely given.</w:t>
      </w:r>
    </w:p>
    <w:p>
      <w:pPr>
        <w:pStyle w:val="ListParagraph"/>
        <w:numPr>
          <w:ilvl w:val="0"/>
          <w:numId w:val="2"/>
        </w:numPr>
        <w:spacing w:after="80" w:line="276"/>
      </w:pPr>
      <w:r>
        <w:rPr>
          <w:rFonts w:ascii="Arial" w:cs="Arial" w:eastAsia="Arial" w:hAnsi="Arial"/>
          <w:color w:val="333333"/>
          <w:sz w:val="20"/>
          <w:szCs w:val="20"/>
        </w:rPr>
        <w:t xml:space="preserve">Process data lawfully and only for the specified, legitimate purpose for which it was collected.</w:t>
      </w:r>
    </w:p>
    <w:p>
      <w:pPr>
        <w:pStyle w:val="ListParagraph"/>
        <w:numPr>
          <w:ilvl w:val="0"/>
          <w:numId w:val="2"/>
        </w:numPr>
        <w:spacing w:after="80" w:line="276"/>
      </w:pPr>
      <w:r>
        <w:rPr>
          <w:rFonts w:ascii="Arial" w:cs="Arial" w:eastAsia="Arial" w:hAnsi="Arial"/>
          <w:color w:val="333333"/>
          <w:sz w:val="20"/>
          <w:szCs w:val="20"/>
        </w:rPr>
        <w:t xml:space="preserve">Implement appropriate technical and organizational security measures to protect personal data.</w:t>
      </w:r>
    </w:p>
    <w:p>
      <w:pPr>
        <w:pStyle w:val="ListParagraph"/>
        <w:numPr>
          <w:ilvl w:val="0"/>
          <w:numId w:val="2"/>
        </w:numPr>
        <w:spacing w:after="80" w:line="276"/>
      </w:pPr>
      <w:r>
        <w:rPr>
          <w:rFonts w:ascii="Arial" w:cs="Arial" w:eastAsia="Arial" w:hAnsi="Arial"/>
          <w:color w:val="333333"/>
          <w:sz w:val="20"/>
          <w:szCs w:val="20"/>
        </w:rPr>
        <w:t xml:space="preserve">Notify the DPC of any data breach that poses a risk to data subjects.</w:t>
      </w:r>
    </w:p>
    <w:p>
      <w:pPr>
        <w:pStyle w:val="ListParagraph"/>
        <w:numPr>
          <w:ilvl w:val="0"/>
          <w:numId w:val="2"/>
        </w:numPr>
        <w:spacing w:after="80" w:line="276"/>
      </w:pPr>
      <w:r>
        <w:rPr>
          <w:rFonts w:ascii="Arial" w:cs="Arial" w:eastAsia="Arial" w:hAnsi="Arial"/>
          <w:color w:val="333333"/>
          <w:sz w:val="20"/>
          <w:szCs w:val="20"/>
        </w:rPr>
        <w:t xml:space="preserve">Obtain DPC authorization for cross-border data transfers, or ensure the receiving country has adequate data protection.</w:t>
      </w:r>
    </w:p>
    <w:p>
      <w:pPr>
        <w:pStyle w:val="ListParagraph"/>
        <w:numPr>
          <w:ilvl w:val="0"/>
          <w:numId w:val="2"/>
        </w:numPr>
        <w:spacing w:after="80" w:line="276"/>
      </w:pPr>
      <w:r>
        <w:rPr>
          <w:rFonts w:ascii="Arial" w:cs="Arial" w:eastAsia="Arial" w:hAnsi="Arial"/>
          <w:color w:val="333333"/>
          <w:sz w:val="20"/>
          <w:szCs w:val="20"/>
        </w:rPr>
        <w:t xml:space="preserve">Comply with data subject rights: right to access, right to correction, right to deletion, right to object to processing.</w:t>
      </w:r>
    </w:p>
    <w:p>
      <w:pPr>
        <w:spacing w:after="0"/>
      </w:pPr>
    </w:p>
    <w:p>
      <w:pPr>
        <w:spacing w:after="120" w:before="200"/>
      </w:pPr>
      <w:r>
        <w:rPr>
          <w:rFonts w:ascii="Arial" w:cs="Arial" w:eastAsia="Arial" w:hAnsi="Arial"/>
          <w:b/>
          <w:bCs/>
          <w:color w:val="4A4A47"/>
          <w:sz w:val="22"/>
          <w:szCs w:val="22"/>
        </w:rPr>
        <w:t xml:space="preserve">EyeOnSite-Specific Obligations</w:t>
      </w:r>
    </w:p>
    <w:p>
      <w:pPr>
        <w:pStyle w:val="ListParagraph"/>
        <w:numPr>
          <w:ilvl w:val="0"/>
          <w:numId w:val="2"/>
        </w:numPr>
        <w:spacing w:after="80" w:line="276"/>
      </w:pPr>
      <w:r>
        <w:rPr>
          <w:rFonts w:ascii="Arial" w:cs="Arial" w:eastAsia="Arial" w:hAnsi="Arial"/>
          <w:color w:val="333333"/>
          <w:sz w:val="20"/>
          <w:szCs w:val="20"/>
        </w:rPr>
        <w:t xml:space="preserve">Register as data controller: covers inspector data (IDs, GPS, photos, earnings), client data (payment info, property locations, task history), and evidence data (GPS-stamped photos of third-party properties).</w:t>
      </w:r>
    </w:p>
    <w:p>
      <w:pPr>
        <w:pStyle w:val="ListParagraph"/>
        <w:numPr>
          <w:ilvl w:val="0"/>
          <w:numId w:val="2"/>
        </w:numPr>
        <w:spacing w:after="80" w:line="276"/>
      </w:pPr>
      <w:r>
        <w:rPr>
          <w:rFonts w:ascii="Arial" w:cs="Arial" w:eastAsia="Arial" w:hAnsi="Arial"/>
          <w:color w:val="333333"/>
          <w:sz w:val="20"/>
          <w:szCs w:val="20"/>
        </w:rPr>
        <w:t xml:space="preserve">Privacy Policy must be accessible in-app and on geteyeonsite.com — already drafted (see EyeOnSite Privacy Policy document).</w:t>
      </w:r>
    </w:p>
    <w:p>
      <w:pPr>
        <w:pStyle w:val="ListParagraph"/>
        <w:numPr>
          <w:ilvl w:val="0"/>
          <w:numId w:val="2"/>
        </w:numPr>
        <w:spacing w:after="80" w:line="276"/>
      </w:pPr>
      <w:r>
        <w:rPr>
          <w:rFonts w:ascii="Arial" w:cs="Arial" w:eastAsia="Arial" w:hAnsi="Arial"/>
          <w:color w:val="333333"/>
          <w:sz w:val="20"/>
          <w:szCs w:val="20"/>
        </w:rPr>
        <w:t xml:space="preserve">Consent mechanism in the app: inspectors consent at onboarding; clients consent at account creation. Both can withdraw consent.</w:t>
      </w:r>
    </w:p>
    <w:p>
      <w:pPr>
        <w:pStyle w:val="ListParagraph"/>
        <w:numPr>
          <w:ilvl w:val="0"/>
          <w:numId w:val="2"/>
        </w:numPr>
        <w:spacing w:after="80" w:line="276"/>
      </w:pPr>
      <w:r>
        <w:rPr>
          <w:rFonts w:ascii="Arial" w:cs="Arial" w:eastAsia="Arial" w:hAnsi="Arial"/>
          <w:color w:val="333333"/>
          <w:sz w:val="20"/>
          <w:szCs w:val="20"/>
        </w:rPr>
        <w:t xml:space="preserve">Cross-border transfer justification: client data transferred to Stripe (US) and Firebase (US) infrastructure. Manti Labs LLC (US) receives platform data. DPC authorization or Standard Contractual Clauses required.</w:t>
      </w:r>
    </w:p>
    <w:p>
      <w:pPr>
        <w:spacing w:after="0"/>
      </w:pPr>
    </w:p>
    <w:p>
      <w:pPr>
        <w:spacing w:after="120" w:before="200"/>
      </w:pPr>
      <w:r>
        <w:rPr>
          <w:rFonts w:ascii="Arial" w:cs="Arial" w:eastAsia="Arial" w:hAnsi="Arial"/>
          <w:b/>
          <w:bCs/>
          <w:color w:val="4A4A47"/>
          <w:sz w:val="22"/>
          <w:szCs w:val="22"/>
        </w:rPr>
        <w:t xml:space="preserve">Penalties</w:t>
      </w:r>
    </w:p>
    <w:p>
      <w:pPr>
        <w:pStyle w:val="ListParagraph"/>
        <w:numPr>
          <w:ilvl w:val="0"/>
          <w:numId w:val="2"/>
        </w:numPr>
        <w:spacing w:after="80" w:line="276"/>
      </w:pPr>
      <w:r>
        <w:rPr>
          <w:rFonts w:ascii="Arial" w:cs="Arial" w:eastAsia="Arial" w:hAnsi="Arial"/>
          <w:color w:val="333333"/>
          <w:sz w:val="20"/>
          <w:szCs w:val="20"/>
        </w:rPr>
        <w:t xml:space="preserve">Failure to register: fine and/or imprisonment (Section 56)</w:t>
      </w:r>
    </w:p>
    <w:p>
      <w:pPr>
        <w:pStyle w:val="ListParagraph"/>
        <w:numPr>
          <w:ilvl w:val="0"/>
          <w:numId w:val="2"/>
        </w:numPr>
        <w:spacing w:after="80" w:line="276"/>
      </w:pPr>
      <w:r>
        <w:rPr>
          <w:rFonts w:ascii="Arial" w:cs="Arial" w:eastAsia="Arial" w:hAnsi="Arial"/>
          <w:color w:val="333333"/>
          <w:sz w:val="20"/>
          <w:szCs w:val="20"/>
        </w:rPr>
        <w:t xml:space="preserve">Unlawful processing: fine up to 250 penalty units and/or imprisonment up to 4 years</w:t>
      </w:r>
    </w:p>
    <w:p>
      <w:pPr>
        <w:pStyle w:val="ListParagraph"/>
        <w:numPr>
          <w:ilvl w:val="0"/>
          <w:numId w:val="2"/>
        </w:numPr>
        <w:spacing w:after="80" w:line="276"/>
      </w:pPr>
      <w:r>
        <w:rPr>
          <w:rFonts w:ascii="Arial" w:cs="Arial" w:eastAsia="Arial" w:hAnsi="Arial"/>
          <w:color w:val="333333"/>
          <w:sz w:val="20"/>
          <w:szCs w:val="20"/>
        </w:rPr>
        <w:t xml:space="preserve">Administrative sanctions: suspension or cancellation of registration, public notice of non-compliance</w:t>
      </w:r>
    </w:p>
    <w:p>
      <w:pPr>
        <w:spacing w:after="0"/>
      </w:pPr>
    </w:p>
    <w:p>
      <w:pPr>
        <w:pBdr>
          <w:left w:val="single" w:color="E8593C" w:sz="12" w:space="8"/>
        </w:pBdr>
        <w:shd w:fill="FEF2F2" w:val="clear"/>
        <w:spacing w:after="200" w:before="120"/>
      </w:pPr>
      <w:r>
        <w:rPr>
          <w:rFonts w:ascii="Arial" w:cs="Arial" w:eastAsia="Arial" w:hAnsi="Arial"/>
          <w:color w:val="333333"/>
          <w:sz w:val="20"/>
          <w:szCs w:val="20"/>
        </w:rPr>
        <w:t xml:space="preserve">ACTION REQUIRED: Register with Ghana DPC immediately. The DPC has moved to strict enforcement in 2026. Operating without registration is a criminal offense under Section 53. Estimated cost: GHS 500-1,000. Timeline: 2-4 weeks.</w:t>
      </w:r>
    </w:p>
    <w:p>
      <w:pPr>
        <w:pStyle w:val="Heading2"/>
        <w:spacing w:after="160" w:before="300"/>
      </w:pPr>
      <w:r>
        <w:rPr>
          <w:rFonts w:ascii="Arial" w:cs="Arial" w:eastAsia="Arial" w:hAnsi="Arial"/>
          <w:b/>
          <w:bCs/>
          <w:color w:val="0B6E4F"/>
          <w:sz w:val="24"/>
          <w:szCs w:val="24"/>
        </w:rPr>
        <w:t xml:space="preserve">2.2 Nigeria — Nigeria Data Protection Act 2023 (NDPA)</w:t>
      </w:r>
    </w:p>
    <w:p>
      <w:pPr>
        <w:spacing w:after="140" w:line="276"/>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REQUIRED BEFORE V2 LAUNCH (LAGOS)</w:t>
      </w:r>
    </w:p>
    <w:p>
      <w:pPr>
        <w:spacing w:after="0"/>
      </w:pPr>
    </w:p>
    <w:p>
      <w:pPr>
        <w:pStyle w:val="ListParagraph"/>
        <w:numPr>
          <w:ilvl w:val="0"/>
          <w:numId w:val="2"/>
        </w:numPr>
        <w:spacing w:after="80" w:line="276"/>
      </w:pPr>
      <w:r>
        <w:rPr>
          <w:rFonts w:ascii="Arial" w:cs="Arial" w:eastAsia="Arial" w:hAnsi="Arial"/>
          <w:color w:val="333333"/>
          <w:sz w:val="20"/>
          <w:szCs w:val="20"/>
        </w:rPr>
        <w:t xml:space="preserve">Register with the Nigeria Data Protection Commission (NDPC) as a data controller.</w:t>
      </w:r>
    </w:p>
    <w:p>
      <w:pPr>
        <w:pStyle w:val="ListParagraph"/>
        <w:numPr>
          <w:ilvl w:val="0"/>
          <w:numId w:val="2"/>
        </w:numPr>
        <w:spacing w:after="80" w:line="276"/>
      </w:pPr>
      <w:r>
        <w:rPr>
          <w:rFonts w:ascii="Arial" w:cs="Arial" w:eastAsia="Arial" w:hAnsi="Arial"/>
          <w:color w:val="333333"/>
          <w:sz w:val="20"/>
          <w:szCs w:val="20"/>
        </w:rPr>
        <w:t xml:space="preserve">Appoint a Data Protection Officer (DPO) if processing data of more than a prescribed number of data subjects.</w:t>
      </w:r>
    </w:p>
    <w:p>
      <w:pPr>
        <w:pStyle w:val="ListParagraph"/>
        <w:numPr>
          <w:ilvl w:val="0"/>
          <w:numId w:val="2"/>
        </w:numPr>
        <w:spacing w:after="80" w:line="276"/>
      </w:pPr>
      <w:r>
        <w:rPr>
          <w:rFonts w:ascii="Arial" w:cs="Arial" w:eastAsia="Arial" w:hAnsi="Arial"/>
          <w:color w:val="333333"/>
          <w:sz w:val="20"/>
          <w:szCs w:val="20"/>
        </w:rPr>
        <w:t xml:space="preserve">Conduct a Data Protection Impact Assessment (DPIA) before launching — GPS tracking, biometric processing, and systematic monitoring of inspectors all qualify as high-risk processing.</w:t>
      </w:r>
    </w:p>
    <w:p>
      <w:pPr>
        <w:pStyle w:val="ListParagraph"/>
        <w:numPr>
          <w:ilvl w:val="0"/>
          <w:numId w:val="2"/>
        </w:numPr>
        <w:spacing w:after="80" w:line="276"/>
      </w:pPr>
      <w:r>
        <w:rPr>
          <w:rFonts w:ascii="Arial" w:cs="Arial" w:eastAsia="Arial" w:hAnsi="Arial"/>
          <w:color w:val="333333"/>
          <w:sz w:val="20"/>
          <w:szCs w:val="20"/>
        </w:rPr>
        <w:t xml:space="preserve">Data subjects have rights to access, rectification, erasure, restriction, portability, and the right to object.</w:t>
      </w:r>
    </w:p>
    <w:p>
      <w:pPr>
        <w:pStyle w:val="ListParagraph"/>
        <w:numPr>
          <w:ilvl w:val="0"/>
          <w:numId w:val="2"/>
        </w:numPr>
        <w:spacing w:after="80" w:line="276"/>
      </w:pPr>
      <w:r>
        <w:rPr>
          <w:rFonts w:ascii="Arial" w:cs="Arial" w:eastAsia="Arial" w:hAnsi="Arial"/>
          <w:color w:val="333333"/>
          <w:sz w:val="20"/>
          <w:szCs w:val="20"/>
        </w:rPr>
        <w:t xml:space="preserve">Cross-border transfer: permitted only to countries with adequate protection or with appropriate safeguards (binding corporate rules, standard contractual clauses, or explicit consent).</w:t>
      </w:r>
    </w:p>
    <w:p>
      <w:pPr>
        <w:pStyle w:val="ListParagraph"/>
        <w:numPr>
          <w:ilvl w:val="0"/>
          <w:numId w:val="2"/>
        </w:numPr>
        <w:spacing w:after="80" w:line="276"/>
      </w:pPr>
      <w:r>
        <w:rPr>
          <w:rFonts w:ascii="Arial" w:cs="Arial" w:eastAsia="Arial" w:hAnsi="Arial"/>
          <w:color w:val="333333"/>
          <w:sz w:val="20"/>
          <w:szCs w:val="20"/>
        </w:rPr>
        <w:t xml:space="preserve">Data localization: NDPA does not mandate data localization, but the NDPC may issue sector-specific requirements.</w:t>
      </w:r>
    </w:p>
    <w:p>
      <w:pPr>
        <w:spacing w:after="0"/>
      </w:pPr>
    </w:p>
    <w:p>
      <w:pPr>
        <w:spacing w:after="120" w:before="200"/>
      </w:pPr>
      <w:r>
        <w:rPr>
          <w:rFonts w:ascii="Arial" w:cs="Arial" w:eastAsia="Arial" w:hAnsi="Arial"/>
          <w:b/>
          <w:bCs/>
          <w:color w:val="4A4A47"/>
          <w:sz w:val="22"/>
          <w:szCs w:val="22"/>
        </w:rPr>
        <w:t xml:space="preserve">Penalties</w:t>
      </w:r>
    </w:p>
    <w:p>
      <w:pPr>
        <w:pStyle w:val="ListParagraph"/>
        <w:numPr>
          <w:ilvl w:val="0"/>
          <w:numId w:val="2"/>
        </w:numPr>
        <w:spacing w:after="80" w:line="276"/>
      </w:pPr>
      <w:r>
        <w:rPr>
          <w:rFonts w:ascii="Arial" w:cs="Arial" w:eastAsia="Arial" w:hAnsi="Arial"/>
          <w:color w:val="333333"/>
          <w:sz w:val="20"/>
          <w:szCs w:val="20"/>
        </w:rPr>
        <w:t xml:space="preserve">Non-compliance: fines up to 2% of annual gross revenue or NGN 10 million, whichever is higher</w:t>
      </w:r>
    </w:p>
    <w:p>
      <w:pPr>
        <w:pStyle w:val="ListParagraph"/>
        <w:numPr>
          <w:ilvl w:val="0"/>
          <w:numId w:val="2"/>
        </w:numPr>
        <w:spacing w:after="80" w:line="276"/>
      </w:pPr>
      <w:r>
        <w:rPr>
          <w:rFonts w:ascii="Arial" w:cs="Arial" w:eastAsia="Arial" w:hAnsi="Arial"/>
          <w:color w:val="333333"/>
          <w:sz w:val="20"/>
          <w:szCs w:val="20"/>
        </w:rPr>
        <w:t xml:space="preserve">Criminal liability for egregious violations</w:t>
      </w:r>
    </w:p>
    <w:p>
      <w:pPr>
        <w:pStyle w:val="Heading2"/>
        <w:spacing w:after="160" w:before="300"/>
      </w:pPr>
      <w:r>
        <w:rPr>
          <w:rFonts w:ascii="Arial" w:cs="Arial" w:eastAsia="Arial" w:hAnsi="Arial"/>
          <w:b/>
          <w:bCs/>
          <w:color w:val="0B6E4F"/>
          <w:sz w:val="24"/>
          <w:szCs w:val="24"/>
        </w:rPr>
        <w:t xml:space="preserve">2.3 Kenya — Data Protection Act 2019</w:t>
      </w:r>
    </w:p>
    <w:p>
      <w:pPr>
        <w:spacing w:after="140" w:line="276"/>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REQUIRED BEFORE V2 LAUNCH (NAIROBI)</w:t>
      </w:r>
    </w:p>
    <w:p>
      <w:pPr>
        <w:spacing w:after="0"/>
      </w:pPr>
    </w:p>
    <w:p>
      <w:pPr>
        <w:pStyle w:val="ListParagraph"/>
        <w:numPr>
          <w:ilvl w:val="0"/>
          <w:numId w:val="2"/>
        </w:numPr>
        <w:spacing w:after="80" w:line="276"/>
      </w:pPr>
      <w:r>
        <w:rPr>
          <w:rFonts w:ascii="Arial" w:cs="Arial" w:eastAsia="Arial" w:hAnsi="Arial"/>
          <w:color w:val="333333"/>
          <w:sz w:val="20"/>
          <w:szCs w:val="20"/>
        </w:rPr>
        <w:t xml:space="preserve">Register with the Office of the Data Protection Commissioner (ODPC).</w:t>
      </w:r>
    </w:p>
    <w:p>
      <w:pPr>
        <w:pStyle w:val="ListParagraph"/>
        <w:numPr>
          <w:ilvl w:val="0"/>
          <w:numId w:val="2"/>
        </w:numPr>
        <w:spacing w:after="80" w:line="276"/>
      </w:pPr>
      <w:r>
        <w:rPr>
          <w:rFonts w:ascii="Arial" w:cs="Arial" w:eastAsia="Arial" w:hAnsi="Arial"/>
          <w:color w:val="333333"/>
          <w:sz w:val="20"/>
          <w:szCs w:val="20"/>
        </w:rPr>
        <w:t xml:space="preserve">DPIA required for high-risk processing (GPS tracking, biometric data).</w:t>
      </w:r>
    </w:p>
    <w:p>
      <w:pPr>
        <w:pStyle w:val="ListParagraph"/>
        <w:numPr>
          <w:ilvl w:val="0"/>
          <w:numId w:val="2"/>
        </w:numPr>
        <w:spacing w:after="80" w:line="276"/>
      </w:pPr>
      <w:r>
        <w:rPr>
          <w:rFonts w:ascii="Arial" w:cs="Arial" w:eastAsia="Arial" w:hAnsi="Arial"/>
          <w:color w:val="333333"/>
          <w:sz w:val="20"/>
          <w:szCs w:val="20"/>
        </w:rPr>
        <w:t xml:space="preserve">Data localization: regulations may require certain data categories to be processed on servers within Kenya — still being clarified. Monitor ODPC guidance.</w:t>
      </w:r>
    </w:p>
    <w:p>
      <w:pPr>
        <w:pStyle w:val="ListParagraph"/>
        <w:numPr>
          <w:ilvl w:val="0"/>
          <w:numId w:val="2"/>
        </w:numPr>
        <w:spacing w:after="80" w:line="276"/>
      </w:pPr>
      <w:r>
        <w:rPr>
          <w:rFonts w:ascii="Arial" w:cs="Arial" w:eastAsia="Arial" w:hAnsi="Arial"/>
          <w:color w:val="333333"/>
          <w:sz w:val="20"/>
          <w:szCs w:val="20"/>
        </w:rPr>
        <w:t xml:space="preserve">Cross-border transfers: only to countries with adequate protection or with appropriate safeguards.</w:t>
      </w:r>
    </w:p>
    <w:p>
      <w:pPr>
        <w:pStyle w:val="ListParagraph"/>
        <w:numPr>
          <w:ilvl w:val="0"/>
          <w:numId w:val="2"/>
        </w:numPr>
        <w:spacing w:after="80" w:line="276"/>
      </w:pPr>
      <w:r>
        <w:rPr>
          <w:rFonts w:ascii="Arial" w:cs="Arial" w:eastAsia="Arial" w:hAnsi="Arial"/>
          <w:color w:val="333333"/>
          <w:sz w:val="20"/>
          <w:szCs w:val="20"/>
        </w:rPr>
        <w:t xml:space="preserve">Data breach notification: within 72 hours to the ODPC and affected data subjects.</w:t>
      </w:r>
    </w:p>
    <w:p>
      <w:pPr>
        <w:spacing w:after="0"/>
      </w:pPr>
    </w:p>
    <w:p>
      <w:pPr>
        <w:spacing w:after="120" w:before="200"/>
      </w:pPr>
      <w:r>
        <w:rPr>
          <w:rFonts w:ascii="Arial" w:cs="Arial" w:eastAsia="Arial" w:hAnsi="Arial"/>
          <w:b/>
          <w:bCs/>
          <w:color w:val="4A4A47"/>
          <w:sz w:val="22"/>
          <w:szCs w:val="22"/>
        </w:rPr>
        <w:t xml:space="preserve">Penalties</w:t>
      </w:r>
    </w:p>
    <w:p>
      <w:pPr>
        <w:pStyle w:val="ListParagraph"/>
        <w:numPr>
          <w:ilvl w:val="0"/>
          <w:numId w:val="2"/>
        </w:numPr>
        <w:spacing w:after="80" w:line="276"/>
      </w:pPr>
      <w:r>
        <w:rPr>
          <w:rFonts w:ascii="Arial" w:cs="Arial" w:eastAsia="Arial" w:hAnsi="Arial"/>
          <w:color w:val="333333"/>
          <w:sz w:val="20"/>
          <w:szCs w:val="20"/>
        </w:rPr>
        <w:t xml:space="preserve">Fine up to KES 5 million or 1% of annual turnover for non-compliance</w:t>
      </w:r>
    </w:p>
    <w:p>
      <w:pPr>
        <w:pStyle w:val="ListParagraph"/>
        <w:numPr>
          <w:ilvl w:val="0"/>
          <w:numId w:val="2"/>
        </w:numPr>
        <w:spacing w:after="80" w:line="276"/>
      </w:pPr>
      <w:r>
        <w:rPr>
          <w:rFonts w:ascii="Arial" w:cs="Arial" w:eastAsia="Arial" w:hAnsi="Arial"/>
          <w:color w:val="333333"/>
          <w:sz w:val="20"/>
          <w:szCs w:val="20"/>
        </w:rPr>
        <w:t xml:space="preserve">Criminal penalties for serious offenses</w:t>
      </w:r>
    </w:p>
    <w:p>
      <w:pPr>
        <w:pStyle w:val="Heading2"/>
        <w:spacing w:after="160" w:before="300"/>
      </w:pPr>
      <w:r>
        <w:rPr>
          <w:rFonts w:ascii="Arial" w:cs="Arial" w:eastAsia="Arial" w:hAnsi="Arial"/>
          <w:b/>
          <w:bCs/>
          <w:color w:val="0B6E4F"/>
          <w:sz w:val="24"/>
          <w:szCs w:val="24"/>
        </w:rPr>
        <w:t xml:space="preserve">2.4 UK GDPR and EU GDPR</w:t>
      </w:r>
    </w:p>
    <w:p>
      <w:pPr>
        <w:spacing w:after="140" w:line="276"/>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REQUIRED FROM V1 (diaspora clients are UK/EU residents)</w:t>
      </w:r>
    </w:p>
    <w:p>
      <w:pPr>
        <w:spacing w:after="0"/>
      </w:pPr>
    </w:p>
    <w:p>
      <w:pPr>
        <w:pStyle w:val="ListParagraph"/>
        <w:numPr>
          <w:ilvl w:val="0"/>
          <w:numId w:val="2"/>
        </w:numPr>
        <w:spacing w:after="80" w:line="276"/>
      </w:pPr>
      <w:r>
        <w:rPr>
          <w:rFonts w:ascii="Arial" w:cs="Arial" w:eastAsia="Arial" w:hAnsi="Arial"/>
          <w:color w:val="333333"/>
          <w:sz w:val="20"/>
          <w:szCs w:val="20"/>
        </w:rPr>
        <w:t xml:space="preserve">Lawful basis for processing: contract performance (providing the service), legitimate interest (fraud prevention, platform security), consent (marketing communications).</w:t>
      </w:r>
    </w:p>
    <w:p>
      <w:pPr>
        <w:pStyle w:val="ListParagraph"/>
        <w:numPr>
          <w:ilvl w:val="0"/>
          <w:numId w:val="2"/>
        </w:numPr>
        <w:spacing w:after="80" w:line="276"/>
      </w:pPr>
      <w:r>
        <w:rPr>
          <w:rFonts w:ascii="Arial" w:cs="Arial" w:eastAsia="Arial" w:hAnsi="Arial"/>
          <w:color w:val="333333"/>
          <w:sz w:val="20"/>
          <w:szCs w:val="20"/>
        </w:rPr>
        <w:t xml:space="preserve">Privacy by design and by default — data minimization, purpose limitation, storage limitation built into architecture.</w:t>
      </w:r>
    </w:p>
    <w:p>
      <w:pPr>
        <w:pStyle w:val="ListParagraph"/>
        <w:numPr>
          <w:ilvl w:val="0"/>
          <w:numId w:val="2"/>
        </w:numPr>
        <w:spacing w:after="80" w:line="276"/>
      </w:pPr>
      <w:r>
        <w:rPr>
          <w:rFonts w:ascii="Arial" w:cs="Arial" w:eastAsia="Arial" w:hAnsi="Arial"/>
          <w:color w:val="333333"/>
          <w:sz w:val="20"/>
          <w:szCs w:val="20"/>
        </w:rPr>
        <w:t xml:space="preserve">DPIA mandatory for GPS tracking, biometric processing (Smile ID), systematic monitoring (inspector activity tracking), and large-scale processing of location data.</w:t>
      </w:r>
    </w:p>
    <w:p>
      <w:pPr>
        <w:pStyle w:val="ListParagraph"/>
        <w:numPr>
          <w:ilvl w:val="0"/>
          <w:numId w:val="2"/>
        </w:numPr>
        <w:spacing w:after="80" w:line="276"/>
      </w:pPr>
      <w:r>
        <w:rPr>
          <w:rFonts w:ascii="Arial" w:cs="Arial" w:eastAsia="Arial" w:hAnsi="Arial"/>
          <w:color w:val="333333"/>
          <w:sz w:val="20"/>
          <w:szCs w:val="20"/>
        </w:rPr>
        <w:t xml:space="preserve">Data breach notification: within 72 hours to the relevant supervisory authority (ICO for UK, national DPA for EU).</w:t>
      </w:r>
    </w:p>
    <w:p>
      <w:pPr>
        <w:pStyle w:val="ListParagraph"/>
        <w:numPr>
          <w:ilvl w:val="0"/>
          <w:numId w:val="2"/>
        </w:numPr>
        <w:spacing w:after="80" w:line="276"/>
      </w:pPr>
      <w:r>
        <w:rPr>
          <w:rFonts w:ascii="Arial" w:cs="Arial" w:eastAsia="Arial" w:hAnsi="Arial"/>
          <w:color w:val="333333"/>
          <w:sz w:val="20"/>
          <w:szCs w:val="20"/>
        </w:rPr>
        <w:t xml:space="preserve">Right to erasure ('right to be forgotten'): clients can request deletion of their account and associated data.</w:t>
      </w:r>
    </w:p>
    <w:p>
      <w:pPr>
        <w:pStyle w:val="ListParagraph"/>
        <w:numPr>
          <w:ilvl w:val="0"/>
          <w:numId w:val="2"/>
        </w:numPr>
        <w:spacing w:after="80" w:line="276"/>
      </w:pPr>
      <w:r>
        <w:rPr>
          <w:rFonts w:ascii="Arial" w:cs="Arial" w:eastAsia="Arial" w:hAnsi="Arial"/>
          <w:color w:val="333333"/>
          <w:sz w:val="20"/>
          <w:szCs w:val="20"/>
        </w:rPr>
        <w:t xml:space="preserve">Right to data portability: clients can request their data in a structured, machine-readable format.</w:t>
      </w:r>
    </w:p>
    <w:p>
      <w:pPr>
        <w:pStyle w:val="ListParagraph"/>
        <w:numPr>
          <w:ilvl w:val="0"/>
          <w:numId w:val="2"/>
        </w:numPr>
        <w:spacing w:after="80" w:line="276"/>
      </w:pPr>
      <w:r>
        <w:rPr>
          <w:rFonts w:ascii="Arial" w:cs="Arial" w:eastAsia="Arial" w:hAnsi="Arial"/>
          <w:color w:val="333333"/>
          <w:sz w:val="20"/>
          <w:szCs w:val="20"/>
        </w:rPr>
        <w:t xml:space="preserve">UK/EU representative: if no establishment in the UK/EU, you must appoint a representative. Cost: approximately £1,000-3,000/year via a representative service.</w:t>
      </w:r>
    </w:p>
    <w:p>
      <w:pPr>
        <w:spacing w:after="0"/>
      </w:pPr>
    </w:p>
    <w:p>
      <w:pPr>
        <w:spacing w:after="120" w:before="200"/>
      </w:pPr>
      <w:r>
        <w:rPr>
          <w:rFonts w:ascii="Arial" w:cs="Arial" w:eastAsia="Arial" w:hAnsi="Arial"/>
          <w:b/>
          <w:bCs/>
          <w:color w:val="4A4A47"/>
          <w:sz w:val="22"/>
          <w:szCs w:val="22"/>
        </w:rPr>
        <w:t xml:space="preserve">Penalties</w:t>
      </w:r>
    </w:p>
    <w:p>
      <w:pPr>
        <w:pStyle w:val="ListParagraph"/>
        <w:numPr>
          <w:ilvl w:val="0"/>
          <w:numId w:val="2"/>
        </w:numPr>
        <w:spacing w:after="80" w:line="276"/>
      </w:pPr>
      <w:r>
        <w:rPr>
          <w:rFonts w:ascii="Arial" w:cs="Arial" w:eastAsia="Arial" w:hAnsi="Arial"/>
          <w:color w:val="333333"/>
          <w:sz w:val="20"/>
          <w:szCs w:val="20"/>
        </w:rPr>
        <w:t xml:space="preserve">UK: up to £17.5 million or 4% of global annual turnover</w:t>
      </w:r>
    </w:p>
    <w:p>
      <w:pPr>
        <w:pStyle w:val="ListParagraph"/>
        <w:numPr>
          <w:ilvl w:val="0"/>
          <w:numId w:val="2"/>
        </w:numPr>
        <w:spacing w:after="80" w:line="276"/>
      </w:pPr>
      <w:r>
        <w:rPr>
          <w:rFonts w:ascii="Arial" w:cs="Arial" w:eastAsia="Arial" w:hAnsi="Arial"/>
          <w:color w:val="333333"/>
          <w:sz w:val="20"/>
          <w:szCs w:val="20"/>
        </w:rPr>
        <w:t xml:space="preserve">EU: up to €20 million or 4% of global annual turnover</w:t>
      </w:r>
    </w:p>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The Privacy Policy we drafted (EyeOnSite Privacy Policy) already addresses GDPR requirements including lawful basis, data subject rights, cross-border transfers, and supervisory authority contacts. The document covers all five jurisdictions. Lawyer review recommended before launch: $1,000-2,000 for UK solicitor review.</w:t>
      </w:r>
    </w:p>
    <w:p>
      <w:pPr>
        <w:pStyle w:val="Heading2"/>
        <w:spacing w:after="160" w:before="300"/>
      </w:pPr>
      <w:r>
        <w:rPr>
          <w:rFonts w:ascii="Arial" w:cs="Arial" w:eastAsia="Arial" w:hAnsi="Arial"/>
          <w:b/>
          <w:bCs/>
          <w:color w:val="0B6E4F"/>
          <w:sz w:val="24"/>
          <w:szCs w:val="24"/>
        </w:rPr>
        <w:t xml:space="preserve">2.5 Data Protection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00"/>
            <w:shd w:fill="022B1E" w:val="clear"/>
          </w:tcPr>
          <w:p>
            <w:pPr>
              <w:spacing w:after="0"/>
            </w:pPr>
            <w:r>
              <w:rPr>
                <w:rFonts w:ascii="Arial" w:cs="Arial" w:eastAsia="Arial" w:hAnsi="Arial"/>
                <w:b/>
                <w:bCs/>
                <w:color w:val="FFFFFF"/>
                <w:sz w:val="18"/>
                <w:szCs w:val="18"/>
              </w:rPr>
              <w:t xml:space="preserve">Requirement</w:t>
            </w:r>
          </w:p>
        </w:tc>
        <w:tc>
          <w:tcPr>
            <w:tcW w:type="dxa" w:w="1700"/>
            <w:shd w:fill="022B1E" w:val="clear"/>
          </w:tcPr>
          <w:p>
            <w:pPr>
              <w:spacing w:after="0"/>
            </w:pPr>
            <w:r>
              <w:rPr>
                <w:rFonts w:ascii="Arial" w:cs="Arial" w:eastAsia="Arial" w:hAnsi="Arial"/>
                <w:b/>
                <w:bCs/>
                <w:color w:val="FFFFFF"/>
                <w:sz w:val="18"/>
                <w:szCs w:val="18"/>
              </w:rPr>
              <w:t xml:space="preserve">Ghana</w:t>
            </w:r>
          </w:p>
        </w:tc>
        <w:tc>
          <w:tcPr>
            <w:tcW w:type="dxa" w:w="1800"/>
            <w:shd w:fill="022B1E" w:val="clear"/>
          </w:tcPr>
          <w:p>
            <w:pPr>
              <w:spacing w:after="0"/>
            </w:pPr>
            <w:r>
              <w:rPr>
                <w:rFonts w:ascii="Arial" w:cs="Arial" w:eastAsia="Arial" w:hAnsi="Arial"/>
                <w:b/>
                <w:bCs/>
                <w:color w:val="FFFFFF"/>
                <w:sz w:val="18"/>
                <w:szCs w:val="18"/>
              </w:rPr>
              <w:t xml:space="preserve">Nigeria</w:t>
            </w:r>
          </w:p>
        </w:tc>
        <w:tc>
          <w:tcPr>
            <w:tcW w:type="dxa" w:w="1700"/>
            <w:shd w:fill="022B1E" w:val="clear"/>
          </w:tcPr>
          <w:p>
            <w:pPr>
              <w:spacing w:after="0"/>
            </w:pPr>
            <w:r>
              <w:rPr>
                <w:rFonts w:ascii="Arial" w:cs="Arial" w:eastAsia="Arial" w:hAnsi="Arial"/>
                <w:b/>
                <w:bCs/>
                <w:color w:val="FFFFFF"/>
                <w:sz w:val="18"/>
                <w:szCs w:val="18"/>
              </w:rPr>
              <w:t xml:space="preserve">Kenya</w:t>
            </w:r>
          </w:p>
        </w:tc>
        <w:tc>
          <w:tcPr>
            <w:tcW w:type="dxa" w:w="2060"/>
            <w:shd w:fill="022B1E" w:val="clear"/>
          </w:tcPr>
          <w:p>
            <w:pPr>
              <w:spacing w:after="0"/>
            </w:pPr>
            <w:r>
              <w:rPr>
                <w:rFonts w:ascii="Arial" w:cs="Arial" w:eastAsia="Arial" w:hAnsi="Arial"/>
                <w:b/>
                <w:bCs/>
                <w:color w:val="FFFFFF"/>
                <w:sz w:val="18"/>
                <w:szCs w:val="18"/>
              </w:rPr>
              <w:t xml:space="preserve">UK/EU</w:t>
            </w:r>
          </w:p>
        </w:tc>
      </w:tr>
      <w:tr>
        <w:tc>
          <w:tcPr>
            <w:tcW w:type="dxa" w:w="2100"/>
            <w:shd w:fill="F5F4F0" w:val="clear"/>
          </w:tcPr>
          <w:p>
            <w:pPr>
              <w:spacing w:after="0"/>
            </w:pPr>
            <w:r>
              <w:rPr>
                <w:rFonts w:ascii="Arial" w:cs="Arial" w:eastAsia="Arial" w:hAnsi="Arial"/>
                <w:color w:val="333333"/>
                <w:sz w:val="18"/>
                <w:szCs w:val="18"/>
              </w:rPr>
              <w:t xml:space="preserve">DPC/NDPC/ODPC Registration</w:t>
            </w:r>
          </w:p>
        </w:tc>
        <w:tc>
          <w:tcPr>
            <w:tcW w:type="dxa" w:w="1700"/>
            <w:shd w:fill="F5F4F0" w:val="clear"/>
          </w:tcPr>
          <w:p>
            <w:pPr>
              <w:spacing w:after="0"/>
            </w:pPr>
            <w:r>
              <w:rPr>
                <w:rFonts w:ascii="Arial" w:cs="Arial" w:eastAsia="Arial" w:hAnsi="Arial"/>
                <w:color w:val="333333"/>
                <w:sz w:val="18"/>
                <w:szCs w:val="18"/>
              </w:rPr>
              <w:t xml:space="preserve">MANDATORY</w:t>
            </w:r>
          </w:p>
        </w:tc>
        <w:tc>
          <w:tcPr>
            <w:tcW w:type="dxa" w:w="1800"/>
            <w:shd w:fill="F5F4F0" w:val="clear"/>
          </w:tcPr>
          <w:p>
            <w:pPr>
              <w:spacing w:after="0"/>
            </w:pPr>
            <w:r>
              <w:rPr>
                <w:rFonts w:ascii="Arial" w:cs="Arial" w:eastAsia="Arial" w:hAnsi="Arial"/>
                <w:color w:val="333333"/>
                <w:sz w:val="18"/>
                <w:szCs w:val="18"/>
              </w:rPr>
              <w:t xml:space="preserve">MANDATORY</w:t>
            </w:r>
          </w:p>
        </w:tc>
        <w:tc>
          <w:tcPr>
            <w:tcW w:type="dxa" w:w="1700"/>
            <w:shd w:fill="F5F4F0" w:val="clear"/>
          </w:tcPr>
          <w:p>
            <w:pPr>
              <w:spacing w:after="0"/>
            </w:pPr>
            <w:r>
              <w:rPr>
                <w:rFonts w:ascii="Arial" w:cs="Arial" w:eastAsia="Arial" w:hAnsi="Arial"/>
                <w:color w:val="333333"/>
                <w:sz w:val="18"/>
                <w:szCs w:val="18"/>
              </w:rPr>
              <w:t xml:space="preserve">MANDATORY</w:t>
            </w:r>
          </w:p>
        </w:tc>
        <w:tc>
          <w:tcPr>
            <w:tcW w:type="dxa" w:w="2060"/>
            <w:shd w:fill="F5F4F0" w:val="clear"/>
          </w:tcPr>
          <w:p>
            <w:pPr>
              <w:spacing w:after="0"/>
            </w:pPr>
            <w:r>
              <w:rPr>
                <w:rFonts w:ascii="Arial" w:cs="Arial" w:eastAsia="Arial" w:hAnsi="Arial"/>
                <w:color w:val="333333"/>
                <w:sz w:val="18"/>
                <w:szCs w:val="18"/>
              </w:rPr>
              <w:t xml:space="preserve">Not required (but appoint representative)</w:t>
            </w:r>
          </w:p>
        </w:tc>
      </w:tr>
      <w:tr>
        <w:tc>
          <w:tcPr>
            <w:tcW w:type="dxa" w:w="2100"/>
            <w:shd w:fill="FFFFFF" w:val="clear"/>
          </w:tcPr>
          <w:p>
            <w:pPr>
              <w:spacing w:after="0"/>
            </w:pPr>
            <w:r>
              <w:rPr>
                <w:rFonts w:ascii="Arial" w:cs="Arial" w:eastAsia="Arial" w:hAnsi="Arial"/>
                <w:color w:val="333333"/>
                <w:sz w:val="18"/>
                <w:szCs w:val="18"/>
              </w:rPr>
              <w:t xml:space="preserve">Data Protection Officer</w:t>
            </w:r>
          </w:p>
        </w:tc>
        <w:tc>
          <w:tcPr>
            <w:tcW w:type="dxa" w:w="1700"/>
            <w:shd w:fill="FFFFFF" w:val="clear"/>
          </w:tcPr>
          <w:p>
            <w:pPr>
              <w:spacing w:after="0"/>
            </w:pPr>
            <w:r>
              <w:rPr>
                <w:rFonts w:ascii="Arial" w:cs="Arial" w:eastAsia="Arial" w:hAnsi="Arial"/>
                <w:color w:val="333333"/>
                <w:sz w:val="18"/>
                <w:szCs w:val="18"/>
              </w:rPr>
              <w:t xml:space="preserve">Recommended</w:t>
            </w:r>
          </w:p>
        </w:tc>
        <w:tc>
          <w:tcPr>
            <w:tcW w:type="dxa" w:w="1800"/>
            <w:shd w:fill="FFFFFF" w:val="clear"/>
          </w:tcPr>
          <w:p>
            <w:pPr>
              <w:spacing w:after="0"/>
            </w:pPr>
            <w:r>
              <w:rPr>
                <w:rFonts w:ascii="Arial" w:cs="Arial" w:eastAsia="Arial" w:hAnsi="Arial"/>
                <w:color w:val="333333"/>
                <w:sz w:val="18"/>
                <w:szCs w:val="18"/>
              </w:rPr>
              <w:t xml:space="preserve">Required (above threshold)</w:t>
            </w:r>
          </w:p>
        </w:tc>
        <w:tc>
          <w:tcPr>
            <w:tcW w:type="dxa" w:w="1700"/>
            <w:shd w:fill="FFFFFF" w:val="clear"/>
          </w:tcPr>
          <w:p>
            <w:pPr>
              <w:spacing w:after="0"/>
            </w:pPr>
            <w:r>
              <w:rPr>
                <w:rFonts w:ascii="Arial" w:cs="Arial" w:eastAsia="Arial" w:hAnsi="Arial"/>
                <w:color w:val="333333"/>
                <w:sz w:val="18"/>
                <w:szCs w:val="18"/>
              </w:rPr>
              <w:t xml:space="preserve">Required (above threshold)</w:t>
            </w:r>
          </w:p>
        </w:tc>
        <w:tc>
          <w:tcPr>
            <w:tcW w:type="dxa" w:w="2060"/>
            <w:shd w:fill="FFFFFF" w:val="clear"/>
          </w:tcPr>
          <w:p>
            <w:pPr>
              <w:spacing w:after="0"/>
            </w:pPr>
            <w:r>
              <w:rPr>
                <w:rFonts w:ascii="Arial" w:cs="Arial" w:eastAsia="Arial" w:hAnsi="Arial"/>
                <w:color w:val="333333"/>
                <w:sz w:val="18"/>
                <w:szCs w:val="18"/>
              </w:rPr>
              <w:t xml:space="preserve">Required (above threshold)</w:t>
            </w:r>
          </w:p>
        </w:tc>
      </w:tr>
      <w:tr>
        <w:tc>
          <w:tcPr>
            <w:tcW w:type="dxa" w:w="2100"/>
            <w:shd w:fill="F5F4F0" w:val="clear"/>
          </w:tcPr>
          <w:p>
            <w:pPr>
              <w:spacing w:after="0"/>
            </w:pPr>
            <w:r>
              <w:rPr>
                <w:rFonts w:ascii="Arial" w:cs="Arial" w:eastAsia="Arial" w:hAnsi="Arial"/>
                <w:color w:val="333333"/>
                <w:sz w:val="18"/>
                <w:szCs w:val="18"/>
              </w:rPr>
              <w:t xml:space="preserve">DPIA</w:t>
            </w:r>
          </w:p>
        </w:tc>
        <w:tc>
          <w:tcPr>
            <w:tcW w:type="dxa" w:w="1700"/>
            <w:shd w:fill="F5F4F0" w:val="clear"/>
          </w:tcPr>
          <w:p>
            <w:pPr>
              <w:spacing w:after="0"/>
            </w:pPr>
            <w:r>
              <w:rPr>
                <w:rFonts w:ascii="Arial" w:cs="Arial" w:eastAsia="Arial" w:hAnsi="Arial"/>
                <w:color w:val="333333"/>
                <w:sz w:val="18"/>
                <w:szCs w:val="18"/>
              </w:rPr>
              <w:t xml:space="preserve">Recommended</w:t>
            </w:r>
          </w:p>
        </w:tc>
        <w:tc>
          <w:tcPr>
            <w:tcW w:type="dxa" w:w="1800"/>
            <w:shd w:fill="F5F4F0" w:val="clear"/>
          </w:tcPr>
          <w:p>
            <w:pPr>
              <w:spacing w:after="0"/>
            </w:pPr>
            <w:r>
              <w:rPr>
                <w:rFonts w:ascii="Arial" w:cs="Arial" w:eastAsia="Arial" w:hAnsi="Arial"/>
                <w:color w:val="333333"/>
                <w:sz w:val="18"/>
                <w:szCs w:val="18"/>
              </w:rPr>
              <w:t xml:space="preserve">MANDATORY (high-risk)</w:t>
            </w:r>
          </w:p>
        </w:tc>
        <w:tc>
          <w:tcPr>
            <w:tcW w:type="dxa" w:w="1700"/>
            <w:shd w:fill="F5F4F0" w:val="clear"/>
          </w:tcPr>
          <w:p>
            <w:pPr>
              <w:spacing w:after="0"/>
            </w:pPr>
            <w:r>
              <w:rPr>
                <w:rFonts w:ascii="Arial" w:cs="Arial" w:eastAsia="Arial" w:hAnsi="Arial"/>
                <w:color w:val="333333"/>
                <w:sz w:val="18"/>
                <w:szCs w:val="18"/>
              </w:rPr>
              <w:t xml:space="preserve">MANDATORY (high-risk)</w:t>
            </w:r>
          </w:p>
        </w:tc>
        <w:tc>
          <w:tcPr>
            <w:tcW w:type="dxa" w:w="2060"/>
            <w:shd w:fill="F5F4F0" w:val="clear"/>
          </w:tcPr>
          <w:p>
            <w:pPr>
              <w:spacing w:after="0"/>
            </w:pPr>
            <w:r>
              <w:rPr>
                <w:rFonts w:ascii="Arial" w:cs="Arial" w:eastAsia="Arial" w:hAnsi="Arial"/>
                <w:color w:val="333333"/>
                <w:sz w:val="18"/>
                <w:szCs w:val="18"/>
              </w:rPr>
              <w:t xml:space="preserve">MANDATORY (high-risk)</w:t>
            </w:r>
          </w:p>
        </w:tc>
      </w:tr>
      <w:tr>
        <w:tc>
          <w:tcPr>
            <w:tcW w:type="dxa" w:w="2100"/>
            <w:shd w:fill="FFFFFF" w:val="clear"/>
          </w:tcPr>
          <w:p>
            <w:pPr>
              <w:spacing w:after="0"/>
            </w:pPr>
            <w:r>
              <w:rPr>
                <w:rFonts w:ascii="Arial" w:cs="Arial" w:eastAsia="Arial" w:hAnsi="Arial"/>
                <w:color w:val="333333"/>
                <w:sz w:val="18"/>
                <w:szCs w:val="18"/>
              </w:rPr>
              <w:t xml:space="preserve">Consent for processing</w:t>
            </w:r>
          </w:p>
        </w:tc>
        <w:tc>
          <w:tcPr>
            <w:tcW w:type="dxa" w:w="1700"/>
            <w:shd w:fill="FFFFFF" w:val="clear"/>
          </w:tcPr>
          <w:p>
            <w:pPr>
              <w:spacing w:after="0"/>
            </w:pPr>
            <w:r>
              <w:rPr>
                <w:rFonts w:ascii="Arial" w:cs="Arial" w:eastAsia="Arial" w:hAnsi="Arial"/>
                <w:color w:val="333333"/>
                <w:sz w:val="18"/>
                <w:szCs w:val="18"/>
              </w:rPr>
              <w:t xml:space="preserve">Explicit consent</w:t>
            </w:r>
          </w:p>
        </w:tc>
        <w:tc>
          <w:tcPr>
            <w:tcW w:type="dxa" w:w="1800"/>
            <w:shd w:fill="FFFFFF" w:val="clear"/>
          </w:tcPr>
          <w:p>
            <w:pPr>
              <w:spacing w:after="0"/>
            </w:pPr>
            <w:r>
              <w:rPr>
                <w:rFonts w:ascii="Arial" w:cs="Arial" w:eastAsia="Arial" w:hAnsi="Arial"/>
                <w:color w:val="333333"/>
                <w:sz w:val="18"/>
                <w:szCs w:val="18"/>
              </w:rPr>
              <w:t xml:space="preserve">Explicit consent</w:t>
            </w:r>
          </w:p>
        </w:tc>
        <w:tc>
          <w:tcPr>
            <w:tcW w:type="dxa" w:w="1700"/>
            <w:shd w:fill="FFFFFF" w:val="clear"/>
          </w:tcPr>
          <w:p>
            <w:pPr>
              <w:spacing w:after="0"/>
            </w:pPr>
            <w:r>
              <w:rPr>
                <w:rFonts w:ascii="Arial" w:cs="Arial" w:eastAsia="Arial" w:hAnsi="Arial"/>
                <w:color w:val="333333"/>
                <w:sz w:val="18"/>
                <w:szCs w:val="18"/>
              </w:rPr>
              <w:t xml:space="preserve">Explicit consent</w:t>
            </w:r>
          </w:p>
        </w:tc>
        <w:tc>
          <w:tcPr>
            <w:tcW w:type="dxa" w:w="2060"/>
            <w:shd w:fill="FFFFFF" w:val="clear"/>
          </w:tcPr>
          <w:p>
            <w:pPr>
              <w:spacing w:after="0"/>
            </w:pPr>
            <w:r>
              <w:rPr>
                <w:rFonts w:ascii="Arial" w:cs="Arial" w:eastAsia="Arial" w:hAnsi="Arial"/>
                <w:color w:val="333333"/>
                <w:sz w:val="18"/>
                <w:szCs w:val="18"/>
              </w:rPr>
              <w:t xml:space="preserve">Lawful basis (contract/consent/legitimate interest)</w:t>
            </w:r>
          </w:p>
        </w:tc>
      </w:tr>
      <w:tr>
        <w:tc>
          <w:tcPr>
            <w:tcW w:type="dxa" w:w="2100"/>
            <w:shd w:fill="F5F4F0" w:val="clear"/>
          </w:tcPr>
          <w:p>
            <w:pPr>
              <w:spacing w:after="0"/>
            </w:pPr>
            <w:r>
              <w:rPr>
                <w:rFonts w:ascii="Arial" w:cs="Arial" w:eastAsia="Arial" w:hAnsi="Arial"/>
                <w:color w:val="333333"/>
                <w:sz w:val="18"/>
                <w:szCs w:val="18"/>
              </w:rPr>
              <w:t xml:space="preserve">Data breach notification</w:t>
            </w:r>
          </w:p>
        </w:tc>
        <w:tc>
          <w:tcPr>
            <w:tcW w:type="dxa" w:w="1700"/>
            <w:shd w:fill="F5F4F0" w:val="clear"/>
          </w:tcPr>
          <w:p>
            <w:pPr>
              <w:spacing w:after="0"/>
            </w:pPr>
            <w:r>
              <w:rPr>
                <w:rFonts w:ascii="Arial" w:cs="Arial" w:eastAsia="Arial" w:hAnsi="Arial"/>
                <w:color w:val="333333"/>
                <w:sz w:val="18"/>
                <w:szCs w:val="18"/>
              </w:rPr>
              <w:t xml:space="preserve">Required (DPC)</w:t>
            </w:r>
          </w:p>
        </w:tc>
        <w:tc>
          <w:tcPr>
            <w:tcW w:type="dxa" w:w="1800"/>
            <w:shd w:fill="F5F4F0" w:val="clear"/>
          </w:tcPr>
          <w:p>
            <w:pPr>
              <w:spacing w:after="0"/>
            </w:pPr>
            <w:r>
              <w:rPr>
                <w:rFonts w:ascii="Arial" w:cs="Arial" w:eastAsia="Arial" w:hAnsi="Arial"/>
                <w:color w:val="333333"/>
                <w:sz w:val="18"/>
                <w:szCs w:val="18"/>
              </w:rPr>
              <w:t xml:space="preserve">72 hours (NDPC)</w:t>
            </w:r>
          </w:p>
        </w:tc>
        <w:tc>
          <w:tcPr>
            <w:tcW w:type="dxa" w:w="1700"/>
            <w:shd w:fill="F5F4F0" w:val="clear"/>
          </w:tcPr>
          <w:p>
            <w:pPr>
              <w:spacing w:after="0"/>
            </w:pPr>
            <w:r>
              <w:rPr>
                <w:rFonts w:ascii="Arial" w:cs="Arial" w:eastAsia="Arial" w:hAnsi="Arial"/>
                <w:color w:val="333333"/>
                <w:sz w:val="18"/>
                <w:szCs w:val="18"/>
              </w:rPr>
              <w:t xml:space="preserve">72 hours (ODPC)</w:t>
            </w:r>
          </w:p>
        </w:tc>
        <w:tc>
          <w:tcPr>
            <w:tcW w:type="dxa" w:w="2060"/>
            <w:shd w:fill="F5F4F0" w:val="clear"/>
          </w:tcPr>
          <w:p>
            <w:pPr>
              <w:spacing w:after="0"/>
            </w:pPr>
            <w:r>
              <w:rPr>
                <w:rFonts w:ascii="Arial" w:cs="Arial" w:eastAsia="Arial" w:hAnsi="Arial"/>
                <w:color w:val="333333"/>
                <w:sz w:val="18"/>
                <w:szCs w:val="18"/>
              </w:rPr>
              <w:t xml:space="preserve">72 hours (ICO/DPA)</w:t>
            </w:r>
          </w:p>
        </w:tc>
      </w:tr>
      <w:tr>
        <w:tc>
          <w:tcPr>
            <w:tcW w:type="dxa" w:w="2100"/>
            <w:shd w:fill="FFFFFF" w:val="clear"/>
          </w:tcPr>
          <w:p>
            <w:pPr>
              <w:spacing w:after="0"/>
            </w:pPr>
            <w:r>
              <w:rPr>
                <w:rFonts w:ascii="Arial" w:cs="Arial" w:eastAsia="Arial" w:hAnsi="Arial"/>
                <w:color w:val="333333"/>
                <w:sz w:val="18"/>
                <w:szCs w:val="18"/>
              </w:rPr>
              <w:t xml:space="preserve">Cross-border transfer safeguards</w:t>
            </w:r>
          </w:p>
        </w:tc>
        <w:tc>
          <w:tcPr>
            <w:tcW w:type="dxa" w:w="1700"/>
            <w:shd w:fill="FFFFFF" w:val="clear"/>
          </w:tcPr>
          <w:p>
            <w:pPr>
              <w:spacing w:after="0"/>
            </w:pPr>
            <w:r>
              <w:rPr>
                <w:rFonts w:ascii="Arial" w:cs="Arial" w:eastAsia="Arial" w:hAnsi="Arial"/>
                <w:color w:val="333333"/>
                <w:sz w:val="18"/>
                <w:szCs w:val="18"/>
              </w:rPr>
              <w:t xml:space="preserve">DPC authorization</w:t>
            </w:r>
          </w:p>
        </w:tc>
        <w:tc>
          <w:tcPr>
            <w:tcW w:type="dxa" w:w="1800"/>
            <w:shd w:fill="FFFFFF" w:val="clear"/>
          </w:tcPr>
          <w:p>
            <w:pPr>
              <w:spacing w:after="0"/>
            </w:pPr>
            <w:r>
              <w:rPr>
                <w:rFonts w:ascii="Arial" w:cs="Arial" w:eastAsia="Arial" w:hAnsi="Arial"/>
                <w:color w:val="333333"/>
                <w:sz w:val="18"/>
                <w:szCs w:val="18"/>
              </w:rPr>
              <w:t xml:space="preserve">Adequate protection or SCCs</w:t>
            </w:r>
          </w:p>
        </w:tc>
        <w:tc>
          <w:tcPr>
            <w:tcW w:type="dxa" w:w="1700"/>
            <w:shd w:fill="FFFFFF" w:val="clear"/>
          </w:tcPr>
          <w:p>
            <w:pPr>
              <w:spacing w:after="0"/>
            </w:pPr>
            <w:r>
              <w:rPr>
                <w:rFonts w:ascii="Arial" w:cs="Arial" w:eastAsia="Arial" w:hAnsi="Arial"/>
                <w:color w:val="333333"/>
                <w:sz w:val="18"/>
                <w:szCs w:val="18"/>
              </w:rPr>
              <w:t xml:space="preserve">Adequate protection or SCCs</w:t>
            </w:r>
          </w:p>
        </w:tc>
        <w:tc>
          <w:tcPr>
            <w:tcW w:type="dxa" w:w="2060"/>
            <w:shd w:fill="FFFFFF" w:val="clear"/>
          </w:tcPr>
          <w:p>
            <w:pPr>
              <w:spacing w:after="0"/>
            </w:pPr>
            <w:r>
              <w:rPr>
                <w:rFonts w:ascii="Arial" w:cs="Arial" w:eastAsia="Arial" w:hAnsi="Arial"/>
                <w:color w:val="333333"/>
                <w:sz w:val="18"/>
                <w:szCs w:val="18"/>
              </w:rPr>
              <w:t xml:space="preserve">SCCs or adequacy decision</w:t>
            </w:r>
          </w:p>
        </w:tc>
      </w:tr>
      <w:tr>
        <w:tc>
          <w:tcPr>
            <w:tcW w:type="dxa" w:w="2100"/>
            <w:shd w:fill="F5F4F0" w:val="clear"/>
          </w:tcPr>
          <w:p>
            <w:pPr>
              <w:spacing w:after="0"/>
            </w:pPr>
            <w:r>
              <w:rPr>
                <w:rFonts w:ascii="Arial" w:cs="Arial" w:eastAsia="Arial" w:hAnsi="Arial"/>
                <w:color w:val="333333"/>
                <w:sz w:val="18"/>
                <w:szCs w:val="18"/>
              </w:rPr>
              <w:t xml:space="preserve">Data subject rights</w:t>
            </w:r>
          </w:p>
        </w:tc>
        <w:tc>
          <w:tcPr>
            <w:tcW w:type="dxa" w:w="1700"/>
            <w:shd w:fill="F5F4F0" w:val="clear"/>
          </w:tcPr>
          <w:p>
            <w:pPr>
              <w:spacing w:after="0"/>
            </w:pPr>
            <w:r>
              <w:rPr>
                <w:rFonts w:ascii="Arial" w:cs="Arial" w:eastAsia="Arial" w:hAnsi="Arial"/>
                <w:color w:val="333333"/>
                <w:sz w:val="18"/>
                <w:szCs w:val="18"/>
              </w:rPr>
              <w:t xml:space="preserve">Access, correct, delete, object</w:t>
            </w:r>
          </w:p>
        </w:tc>
        <w:tc>
          <w:tcPr>
            <w:tcW w:type="dxa" w:w="1800"/>
            <w:shd w:fill="F5F4F0" w:val="clear"/>
          </w:tcPr>
          <w:p>
            <w:pPr>
              <w:spacing w:after="0"/>
            </w:pPr>
            <w:r>
              <w:rPr>
                <w:rFonts w:ascii="Arial" w:cs="Arial" w:eastAsia="Arial" w:hAnsi="Arial"/>
                <w:color w:val="333333"/>
                <w:sz w:val="18"/>
                <w:szCs w:val="18"/>
              </w:rPr>
              <w:t xml:space="preserve">Access, rectify, erase, port, restrict, object</w:t>
            </w:r>
          </w:p>
        </w:tc>
        <w:tc>
          <w:tcPr>
            <w:tcW w:type="dxa" w:w="1700"/>
            <w:shd w:fill="F5F4F0" w:val="clear"/>
          </w:tcPr>
          <w:p>
            <w:pPr>
              <w:spacing w:after="0"/>
            </w:pPr>
            <w:r>
              <w:rPr>
                <w:rFonts w:ascii="Arial" w:cs="Arial" w:eastAsia="Arial" w:hAnsi="Arial"/>
                <w:color w:val="333333"/>
                <w:sz w:val="18"/>
                <w:szCs w:val="18"/>
              </w:rPr>
              <w:t xml:space="preserve">Access, rectify, erase, object</w:t>
            </w:r>
          </w:p>
        </w:tc>
        <w:tc>
          <w:tcPr>
            <w:tcW w:type="dxa" w:w="2060"/>
            <w:shd w:fill="F5F4F0" w:val="clear"/>
          </w:tcPr>
          <w:p>
            <w:pPr>
              <w:spacing w:after="0"/>
            </w:pPr>
            <w:r>
              <w:rPr>
                <w:rFonts w:ascii="Arial" w:cs="Arial" w:eastAsia="Arial" w:hAnsi="Arial"/>
                <w:color w:val="333333"/>
                <w:sz w:val="18"/>
                <w:szCs w:val="18"/>
              </w:rPr>
              <w:t xml:space="preserve">Full GDPR suite</w:t>
            </w:r>
          </w:p>
        </w:tc>
      </w:tr>
      <w:tr>
        <w:tc>
          <w:tcPr>
            <w:tcW w:type="dxa" w:w="2100"/>
            <w:shd w:fill="FFFFFF" w:val="clear"/>
          </w:tcPr>
          <w:p>
            <w:pPr>
              <w:spacing w:after="0"/>
            </w:pPr>
            <w:r>
              <w:rPr>
                <w:rFonts w:ascii="Arial" w:cs="Arial" w:eastAsia="Arial" w:hAnsi="Arial"/>
                <w:color w:val="333333"/>
                <w:sz w:val="18"/>
                <w:szCs w:val="18"/>
              </w:rPr>
              <w:t xml:space="preserve">Estimated registration cost</w:t>
            </w:r>
          </w:p>
        </w:tc>
        <w:tc>
          <w:tcPr>
            <w:tcW w:type="dxa" w:w="1700"/>
            <w:shd w:fill="FFFFFF" w:val="clear"/>
          </w:tcPr>
          <w:p>
            <w:pPr>
              <w:spacing w:after="0"/>
            </w:pPr>
            <w:r>
              <w:rPr>
                <w:rFonts w:ascii="Arial" w:cs="Arial" w:eastAsia="Arial" w:hAnsi="Arial"/>
                <w:color w:val="333333"/>
                <w:sz w:val="18"/>
                <w:szCs w:val="18"/>
              </w:rPr>
              <w:t xml:space="preserve">GHS 500-1,000</w:t>
            </w:r>
          </w:p>
        </w:tc>
        <w:tc>
          <w:tcPr>
            <w:tcW w:type="dxa" w:w="1800"/>
            <w:shd w:fill="FFFFFF" w:val="clear"/>
          </w:tcPr>
          <w:p>
            <w:pPr>
              <w:spacing w:after="0"/>
            </w:pPr>
            <w:r>
              <w:rPr>
                <w:rFonts w:ascii="Arial" w:cs="Arial" w:eastAsia="Arial" w:hAnsi="Arial"/>
                <w:color w:val="333333"/>
                <w:sz w:val="18"/>
                <w:szCs w:val="18"/>
              </w:rPr>
              <w:t xml:space="preserve">NGN 50,000-200,000</w:t>
            </w:r>
          </w:p>
        </w:tc>
        <w:tc>
          <w:tcPr>
            <w:tcW w:type="dxa" w:w="1700"/>
            <w:shd w:fill="FFFFFF" w:val="clear"/>
          </w:tcPr>
          <w:p>
            <w:pPr>
              <w:spacing w:after="0"/>
            </w:pPr>
            <w:r>
              <w:rPr>
                <w:rFonts w:ascii="Arial" w:cs="Arial" w:eastAsia="Arial" w:hAnsi="Arial"/>
                <w:color w:val="333333"/>
                <w:sz w:val="18"/>
                <w:szCs w:val="18"/>
              </w:rPr>
              <w:t xml:space="preserve">KES 10,000-50,000</w:t>
            </w:r>
          </w:p>
        </w:tc>
        <w:tc>
          <w:tcPr>
            <w:tcW w:type="dxa" w:w="2060"/>
            <w:shd w:fill="FFFFFF" w:val="clear"/>
          </w:tcPr>
          <w:p>
            <w:pPr>
              <w:spacing w:after="0"/>
            </w:pPr>
            <w:r>
              <w:rPr>
                <w:rFonts w:ascii="Arial" w:cs="Arial" w:eastAsia="Arial" w:hAnsi="Arial"/>
                <w:color w:val="333333"/>
                <w:sz w:val="18"/>
                <w:szCs w:val="18"/>
              </w:rPr>
              <w:t xml:space="preserve">N/A (representative: £1,000-3,000/yr)</w:t>
            </w:r>
          </w:p>
        </w:tc>
      </w:tr>
    </w:tbl>
    <w:p>
      <w:pPr>
        <w:pStyle w:val="Heading1"/>
        <w:spacing w:after="200" w:before="400"/>
      </w:pPr>
      <w:r>
        <w:rPr>
          <w:rFonts w:ascii="Arial" w:cs="Arial" w:eastAsia="Arial" w:hAnsi="Arial"/>
          <w:b/>
          <w:bCs/>
          <w:color w:val="022B1E"/>
          <w:sz w:val="28"/>
          <w:szCs w:val="28"/>
        </w:rPr>
        <w:t xml:space="preserve">3. Payment and Escrow Licensing</w:t>
      </w:r>
    </w:p>
    <w:p>
      <w:pPr>
        <w:spacing w:after="140" w:line="276"/>
      </w:pPr>
      <w:r>
        <w:rPr>
          <w:rFonts w:ascii="Arial" w:cs="Arial" w:eastAsia="Arial" w:hAnsi="Arial"/>
          <w:color w:val="333333"/>
          <w:sz w:val="20"/>
          <w:szCs w:val="20"/>
        </w:rPr>
        <w:t xml:space="preserve">The central regulatory question for EyeOnSite: does our escrow mechanism — collecting funds from clients, holding them during task completion, then releasing to inspectors minus our commission — constitute a 'payment service' requiring licensing?</w:t>
      </w:r>
    </w:p>
    <w:p>
      <w:pPr>
        <w:spacing w:after="0"/>
      </w:pPr>
    </w:p>
    <w:p>
      <w:pPr>
        <w:pStyle w:val="Heading2"/>
        <w:spacing w:after="160" w:before="300"/>
      </w:pPr>
      <w:r>
        <w:rPr>
          <w:rFonts w:ascii="Arial" w:cs="Arial" w:eastAsia="Arial" w:hAnsi="Arial"/>
          <w:b/>
          <w:bCs/>
          <w:color w:val="0B6E4F"/>
          <w:sz w:val="24"/>
          <w:szCs w:val="24"/>
        </w:rPr>
        <w:t xml:space="preserve">3.1 Ghana — Payment Systems and Services Act 2019 (Act 987)</w:t>
      </w:r>
    </w:p>
    <w:p>
      <w:pPr>
        <w:spacing w:after="140" w:line="276"/>
      </w:pPr>
      <w:r>
        <w:rPr>
          <w:rFonts w:ascii="Arial" w:cs="Arial" w:eastAsia="Arial" w:hAnsi="Arial"/>
          <w:color w:val="333333"/>
          <w:sz w:val="20"/>
          <w:szCs w:val="20"/>
        </w:rPr>
        <w:t xml:space="preserve">Section 7(1): 'A body corporate shall not operate a payment system or provide a payment service without a payment system licence issued by the Bank of Ghana.'</w:t>
      </w:r>
    </w:p>
    <w:p>
      <w:pPr>
        <w:spacing w:after="0"/>
      </w:pPr>
    </w:p>
    <w:p>
      <w:pPr>
        <w:spacing w:after="120" w:before="200"/>
      </w:pPr>
      <w:r>
        <w:rPr>
          <w:rFonts w:ascii="Arial" w:cs="Arial" w:eastAsia="Arial" w:hAnsi="Arial"/>
          <w:b/>
          <w:bCs/>
          <w:color w:val="4A4A47"/>
          <w:sz w:val="22"/>
          <w:szCs w:val="22"/>
        </w:rPr>
        <w:t xml:space="preserve">Argument That We Do NOT Need a PSP License</w:t>
      </w:r>
    </w:p>
    <w:p>
      <w:pPr>
        <w:pStyle w:val="ListParagraph"/>
        <w:numPr>
          <w:ilvl w:val="0"/>
          <w:numId w:val="2"/>
        </w:numPr>
        <w:spacing w:after="80" w:line="276"/>
      </w:pPr>
      <w:r>
        <w:rPr>
          <w:rFonts w:ascii="Arial" w:cs="Arial" w:eastAsia="Arial" w:hAnsi="Arial"/>
          <w:color w:val="333333"/>
          <w:sz w:val="20"/>
          <w:szCs w:val="20"/>
        </w:rPr>
        <w:t xml:space="preserve">EyeOnSite does not hold client funds — Stripe Connect (licensed in the US/EU) and Flutterwave (licensed in Nigeria, operating in Ghana) hold the funds.</w:t>
      </w:r>
    </w:p>
    <w:p>
      <w:pPr>
        <w:pStyle w:val="ListParagraph"/>
        <w:numPr>
          <w:ilvl w:val="0"/>
          <w:numId w:val="2"/>
        </w:numPr>
        <w:spacing w:after="80" w:line="276"/>
      </w:pPr>
      <w:r>
        <w:rPr>
          <w:rFonts w:ascii="Arial" w:cs="Arial" w:eastAsia="Arial" w:hAnsi="Arial"/>
          <w:color w:val="333333"/>
          <w:sz w:val="20"/>
          <w:szCs w:val="20"/>
        </w:rPr>
        <w:t xml:space="preserve">We do not process payments directly — we instruct licensed payment processors to collect and disburse.</w:t>
      </w:r>
    </w:p>
    <w:p>
      <w:pPr>
        <w:pStyle w:val="ListParagraph"/>
        <w:numPr>
          <w:ilvl w:val="0"/>
          <w:numId w:val="2"/>
        </w:numPr>
        <w:spacing w:after="80" w:line="276"/>
      </w:pPr>
      <w:r>
        <w:rPr>
          <w:rFonts w:ascii="Arial" w:cs="Arial" w:eastAsia="Arial" w:hAnsi="Arial"/>
          <w:color w:val="333333"/>
          <w:sz w:val="20"/>
          <w:szCs w:val="20"/>
        </w:rPr>
        <w:t xml:space="preserve">We do not issue electronic money, operate ATMs, or clear payment instructions.</w:t>
      </w:r>
    </w:p>
    <w:p>
      <w:pPr>
        <w:pStyle w:val="ListParagraph"/>
        <w:numPr>
          <w:ilvl w:val="0"/>
          <w:numId w:val="2"/>
        </w:numPr>
        <w:spacing w:after="80" w:line="276"/>
      </w:pPr>
      <w:r>
        <w:rPr>
          <w:rFonts w:ascii="Arial" w:cs="Arial" w:eastAsia="Arial" w:hAnsi="Arial"/>
          <w:color w:val="333333"/>
          <w:sz w:val="20"/>
          <w:szCs w:val="20"/>
        </w:rPr>
        <w:t xml:space="preserve">We are a technology marketplace that facilitates connections between clients and inspectors — identical to Uber, Bolt, Jumia, and Glovo, none of which hold PSP licenses in Ghana.</w:t>
      </w:r>
    </w:p>
    <w:p>
      <w:pPr>
        <w:pStyle w:val="ListParagraph"/>
        <w:numPr>
          <w:ilvl w:val="0"/>
          <w:numId w:val="2"/>
        </w:numPr>
        <w:spacing w:after="80" w:line="276"/>
      </w:pPr>
      <w:r>
        <w:rPr>
          <w:rFonts w:ascii="Arial" w:cs="Arial" w:eastAsia="Arial" w:hAnsi="Arial"/>
          <w:color w:val="333333"/>
          <w:sz w:val="20"/>
          <w:szCs w:val="20"/>
        </w:rPr>
        <w:t xml:space="preserve">Our 'escrow' is a delayed payout instruction to Stripe Connect, not a fund-holding mechanism — Stripe's infrastructure holds the funds and Stripe is the licensed entity.</w:t>
      </w:r>
    </w:p>
    <w:p>
      <w:pPr>
        <w:spacing w:after="0"/>
      </w:pPr>
    </w:p>
    <w:p>
      <w:pPr>
        <w:spacing w:after="120" w:before="200"/>
      </w:pPr>
      <w:r>
        <w:rPr>
          <w:rFonts w:ascii="Arial" w:cs="Arial" w:eastAsia="Arial" w:hAnsi="Arial"/>
          <w:b/>
          <w:bCs/>
          <w:color w:val="4A4A47"/>
          <w:sz w:val="22"/>
          <w:szCs w:val="22"/>
        </w:rPr>
        <w:t xml:space="preserve">Risk Factors</w:t>
      </w:r>
    </w:p>
    <w:p>
      <w:pPr>
        <w:pStyle w:val="ListParagraph"/>
        <w:numPr>
          <w:ilvl w:val="0"/>
          <w:numId w:val="2"/>
        </w:numPr>
        <w:spacing w:after="80" w:line="276"/>
      </w:pPr>
      <w:r>
        <w:rPr>
          <w:rFonts w:ascii="Arial" w:cs="Arial" w:eastAsia="Arial" w:hAnsi="Arial"/>
          <w:color w:val="333333"/>
          <w:sz w:val="20"/>
          <w:szCs w:val="20"/>
        </w:rPr>
        <w:t xml:space="preserve">The Bank of Ghana has been expanding its interpretation of 'payment service' to cover fintech companies that facilitate payment flows, even indirectly.</w:t>
      </w:r>
    </w:p>
    <w:p>
      <w:pPr>
        <w:pStyle w:val="ListParagraph"/>
        <w:numPr>
          <w:ilvl w:val="0"/>
          <w:numId w:val="2"/>
        </w:numPr>
        <w:spacing w:after="80" w:line="276"/>
      </w:pPr>
      <w:r>
        <w:rPr>
          <w:rFonts w:ascii="Arial" w:cs="Arial" w:eastAsia="Arial" w:hAnsi="Arial"/>
          <w:color w:val="333333"/>
          <w:sz w:val="20"/>
          <w:szCs w:val="20"/>
        </w:rPr>
        <w:t xml:space="preserve">If the BoG determines that our escrow instructions constitute 'settling obligations arising from the clearing of payment instructions' (Section 7(2)(b)), a license may be required.</w:t>
      </w:r>
    </w:p>
    <w:p>
      <w:pPr>
        <w:pStyle w:val="ListParagraph"/>
        <w:numPr>
          <w:ilvl w:val="0"/>
          <w:numId w:val="2"/>
        </w:numPr>
        <w:spacing w:after="80" w:line="276"/>
      </w:pPr>
      <w:r>
        <w:rPr>
          <w:rFonts w:ascii="Arial" w:cs="Arial" w:eastAsia="Arial" w:hAnsi="Arial"/>
          <w:color w:val="333333"/>
          <w:sz w:val="20"/>
          <w:szCs w:val="20"/>
        </w:rPr>
        <w:t xml:space="preserve">PSP license requirements include minimum capital (varies by category, GHS 500,000 to GHS 50 million depending on license class), local governance arrangements, and at least 30% Ghanaian equity participation.</w:t>
      </w:r>
    </w:p>
    <w:p>
      <w:pPr>
        <w:spacing w:after="0"/>
      </w:pPr>
    </w:p>
    <w:p>
      <w:pPr>
        <w:pBdr>
          <w:left w:val="single" w:color="E8593C" w:sz="12" w:space="8"/>
        </w:pBdr>
        <w:shd w:fill="FEF2F2" w:val="clear"/>
        <w:spacing w:after="200" w:before="120"/>
      </w:pPr>
      <w:r>
        <w:rPr>
          <w:rFonts w:ascii="Arial" w:cs="Arial" w:eastAsia="Arial" w:hAnsi="Arial"/>
          <w:color w:val="333333"/>
          <w:sz w:val="20"/>
          <w:szCs w:val="20"/>
        </w:rPr>
        <w:t xml:space="preserve">ACTION REQUIRED: Obtain a legal opinion from a Ghanaian fintech lawyer on whether the escrow mechanism triggers PSP licensing under Act 987. Budget: $1,000-2,000. If the answer is 'yes,' restructure the escrow to be fully managed by Stripe Connect (Stripe holds funds, Stripe releases funds, we only send instructions). This 'agency model' is the safe harbor used by most African marketplaces.</w:t>
      </w:r>
    </w:p>
    <w:p>
      <w:pPr>
        <w:pStyle w:val="Heading2"/>
        <w:spacing w:after="160" w:before="300"/>
      </w:pPr>
      <w:r>
        <w:rPr>
          <w:rFonts w:ascii="Arial" w:cs="Arial" w:eastAsia="Arial" w:hAnsi="Arial"/>
          <w:b/>
          <w:bCs/>
          <w:color w:val="0B6E4F"/>
          <w:sz w:val="24"/>
          <w:szCs w:val="24"/>
        </w:rPr>
        <w:t xml:space="preserve">3.2 Nigeria — CBN Payment System Guidelines</w:t>
      </w:r>
    </w:p>
    <w:p>
      <w:pPr>
        <w:pStyle w:val="ListParagraph"/>
        <w:numPr>
          <w:ilvl w:val="0"/>
          <w:numId w:val="2"/>
        </w:numPr>
        <w:spacing w:after="80" w:line="276"/>
      </w:pPr>
      <w:r>
        <w:rPr>
          <w:rFonts w:ascii="Arial" w:cs="Arial" w:eastAsia="Arial" w:hAnsi="Arial"/>
          <w:color w:val="333333"/>
          <w:sz w:val="20"/>
          <w:szCs w:val="20"/>
        </w:rPr>
        <w:t xml:space="preserve">Nigeria requires licensed PSPs for payment facilitation. CBN Switching &amp; Processing license requires ₦2 billion refundable escrow — not feasible for us.</w:t>
      </w:r>
    </w:p>
    <w:p>
      <w:pPr>
        <w:pStyle w:val="ListParagraph"/>
        <w:numPr>
          <w:ilvl w:val="0"/>
          <w:numId w:val="2"/>
        </w:numPr>
        <w:spacing w:after="80" w:line="276"/>
      </w:pPr>
      <w:r>
        <w:rPr>
          <w:rFonts w:ascii="Arial" w:cs="Arial" w:eastAsia="Arial" w:hAnsi="Arial"/>
          <w:color w:val="333333"/>
          <w:sz w:val="20"/>
          <w:szCs w:val="20"/>
        </w:rPr>
        <w:t xml:space="preserve">Safe harbor: route ALL Nigeria payment flows through CBN-licensed providers (Flutterwave and Paystack are both licensed). We act as the technology layer, not the payment layer.</w:t>
      </w:r>
    </w:p>
    <w:p>
      <w:pPr>
        <w:pStyle w:val="ListParagraph"/>
        <w:numPr>
          <w:ilvl w:val="0"/>
          <w:numId w:val="2"/>
        </w:numPr>
        <w:spacing w:after="80" w:line="276"/>
      </w:pPr>
      <w:r>
        <w:rPr>
          <w:rFonts w:ascii="Arial" w:cs="Arial" w:eastAsia="Arial" w:hAnsi="Arial"/>
          <w:color w:val="333333"/>
          <w:sz w:val="20"/>
          <w:szCs w:val="20"/>
        </w:rPr>
        <w:t xml:space="preserve">Risk: CBN has been aggressive in enforcement. Paystack reportedly faced a ₦250 million fine in early 2025 for exceeding the scope of its license with the 'Zap' product.</w:t>
      </w:r>
    </w:p>
    <w:p>
      <w:pPr>
        <w:pStyle w:val="ListParagraph"/>
        <w:numPr>
          <w:ilvl w:val="0"/>
          <w:numId w:val="2"/>
        </w:numPr>
        <w:spacing w:after="80" w:line="276"/>
      </w:pPr>
      <w:r>
        <w:rPr>
          <w:rFonts w:ascii="Arial" w:cs="Arial" w:eastAsia="Arial" w:hAnsi="Arial"/>
          <w:color w:val="333333"/>
          <w:sz w:val="20"/>
          <w:szCs w:val="20"/>
        </w:rPr>
        <w:t xml:space="preserve">Recommendation: do not hold any funds in a Nigerian bank account. All collections and payouts flow through Flutterwave/Paystack.</w:t>
      </w:r>
    </w:p>
    <w:p>
      <w:pPr>
        <w:pStyle w:val="Heading2"/>
        <w:spacing w:after="160" w:before="300"/>
      </w:pPr>
      <w:r>
        <w:rPr>
          <w:rFonts w:ascii="Arial" w:cs="Arial" w:eastAsia="Arial" w:hAnsi="Arial"/>
          <w:b/>
          <w:bCs/>
          <w:color w:val="0B6E4F"/>
          <w:sz w:val="24"/>
          <w:szCs w:val="24"/>
        </w:rPr>
        <w:t xml:space="preserve">3.3 Kenya — National Payment System Act 2011</w:t>
      </w:r>
    </w:p>
    <w:p>
      <w:pPr>
        <w:pStyle w:val="ListParagraph"/>
        <w:numPr>
          <w:ilvl w:val="0"/>
          <w:numId w:val="2"/>
        </w:numPr>
        <w:spacing w:after="80" w:line="276"/>
      </w:pPr>
      <w:r>
        <w:rPr>
          <w:rFonts w:ascii="Arial" w:cs="Arial" w:eastAsia="Arial" w:hAnsi="Arial"/>
          <w:color w:val="333333"/>
          <w:sz w:val="20"/>
          <w:szCs w:val="20"/>
        </w:rPr>
        <w:t xml:space="preserve">PSP license required from the Central Bank of Kenya (CBK) for payment service providers. Processing time: 2-4 months.</w:t>
      </w:r>
    </w:p>
    <w:p>
      <w:pPr>
        <w:pStyle w:val="ListParagraph"/>
        <w:numPr>
          <w:ilvl w:val="0"/>
          <w:numId w:val="2"/>
        </w:numPr>
        <w:spacing w:after="80" w:line="276"/>
      </w:pPr>
      <w:r>
        <w:rPr>
          <w:rFonts w:ascii="Arial" w:cs="Arial" w:eastAsia="Arial" w:hAnsi="Arial"/>
          <w:color w:val="333333"/>
          <w:sz w:val="20"/>
          <w:szCs w:val="20"/>
        </w:rPr>
        <w:t xml:space="preserve">Kenya's 18% commission cap for ride-hailing (legislated 2022) signals regulatory interest in platform pricing. Monitor whether this extends to gig marketplaces broadly.</w:t>
      </w:r>
    </w:p>
    <w:p>
      <w:pPr>
        <w:pStyle w:val="ListParagraph"/>
        <w:numPr>
          <w:ilvl w:val="0"/>
          <w:numId w:val="2"/>
        </w:numPr>
        <w:spacing w:after="80" w:line="276"/>
      </w:pPr>
      <w:r>
        <w:rPr>
          <w:rFonts w:ascii="Arial" w:cs="Arial" w:eastAsia="Arial" w:hAnsi="Arial"/>
          <w:color w:val="333333"/>
          <w:sz w:val="20"/>
          <w:szCs w:val="20"/>
        </w:rPr>
        <w:t xml:space="preserve">Mobile money (M-Pesa) payouts via licensed providers (Flutterwave/Cellulant) — no direct CBK license needed for us.</w:t>
      </w:r>
    </w:p>
    <w:p>
      <w:pPr>
        <w:pStyle w:val="ListParagraph"/>
        <w:numPr>
          <w:ilvl w:val="0"/>
          <w:numId w:val="2"/>
        </w:numPr>
        <w:spacing w:after="80" w:line="276"/>
      </w:pPr>
      <w:r>
        <w:rPr>
          <w:rFonts w:ascii="Arial" w:cs="Arial" w:eastAsia="Arial" w:hAnsi="Arial"/>
          <w:color w:val="333333"/>
          <w:sz w:val="20"/>
          <w:szCs w:val="20"/>
        </w:rPr>
        <w:t xml:space="preserve">CBK froze Flutterwave's Kenya funds in 2022-2023 over AML concerns — maintain Paystack (Stripe-owned) as a backup payout rail for Kenya.</w:t>
      </w:r>
    </w:p>
    <w:p>
      <w:pPr>
        <w:pStyle w:val="Heading2"/>
        <w:spacing w:after="160" w:before="300"/>
      </w:pPr>
      <w:r>
        <w:rPr>
          <w:rFonts w:ascii="Arial" w:cs="Arial" w:eastAsia="Arial" w:hAnsi="Arial"/>
          <w:b/>
          <w:bCs/>
          <w:color w:val="0B6E4F"/>
          <w:sz w:val="24"/>
          <w:szCs w:val="24"/>
        </w:rPr>
        <w:t xml:space="preserve">3.4 US/UK — Money Transmission</w:t>
      </w:r>
    </w:p>
    <w:p>
      <w:pPr>
        <w:pStyle w:val="ListParagraph"/>
        <w:numPr>
          <w:ilvl w:val="0"/>
          <w:numId w:val="2"/>
        </w:numPr>
        <w:spacing w:after="80" w:line="276"/>
      </w:pPr>
      <w:r>
        <w:rPr>
          <w:rFonts w:ascii="Arial" w:cs="Arial" w:eastAsia="Arial" w:hAnsi="Arial"/>
          <w:color w:val="333333"/>
          <w:sz w:val="20"/>
          <w:szCs w:val="20"/>
        </w:rPr>
        <w:t xml:space="preserve">Manti Labs LLC (Delaware) collects diaspora payments via Stripe Connect. Stripe is the licensed money transmitter in all US states and the UK (authorized by the FCA as an e-money institution).</w:t>
      </w:r>
    </w:p>
    <w:p>
      <w:pPr>
        <w:pStyle w:val="ListParagraph"/>
        <w:numPr>
          <w:ilvl w:val="0"/>
          <w:numId w:val="2"/>
        </w:numPr>
        <w:spacing w:after="80" w:line="276"/>
      </w:pPr>
      <w:r>
        <w:rPr>
          <w:rFonts w:ascii="Arial" w:cs="Arial" w:eastAsia="Arial" w:hAnsi="Arial"/>
          <w:color w:val="333333"/>
          <w:sz w:val="20"/>
          <w:szCs w:val="20"/>
        </w:rPr>
        <w:t xml:space="preserve">As long as we use Stripe Connect's platform payment model (Stripe collects, Stripe holds, Stripe disburses), Manti Labs LLC does not need its own money transmitter license.</w:t>
      </w:r>
    </w:p>
    <w:p>
      <w:pPr>
        <w:pStyle w:val="ListParagraph"/>
        <w:numPr>
          <w:ilvl w:val="0"/>
          <w:numId w:val="2"/>
        </w:numPr>
        <w:spacing w:after="80" w:line="276"/>
      </w:pPr>
      <w:r>
        <w:rPr>
          <w:rFonts w:ascii="Arial" w:cs="Arial" w:eastAsia="Arial" w:hAnsi="Arial"/>
          <w:color w:val="333333"/>
          <w:sz w:val="20"/>
          <w:szCs w:val="20"/>
        </w:rPr>
        <w:t xml:space="preserve">Risk: if we ever hold client funds in a Manti Labs bank account (even temporarily), US state money transmitter licensing requirements may be triggered. Never hold client funds directly.</w:t>
      </w:r>
    </w:p>
    <w:p>
      <w:pPr>
        <w:spacing w:after="0"/>
      </w:pPr>
    </w:p>
    <w:p>
      <w:pPr>
        <w:pStyle w:val="Heading2"/>
        <w:spacing w:after="160" w:before="300"/>
      </w:pPr>
      <w:r>
        <w:rPr>
          <w:rFonts w:ascii="Arial" w:cs="Arial" w:eastAsia="Arial" w:hAnsi="Arial"/>
          <w:b/>
          <w:bCs/>
          <w:color w:val="0B6E4F"/>
          <w:sz w:val="24"/>
          <w:szCs w:val="24"/>
        </w:rPr>
        <w:t xml:space="preserve">3.5 Payment Licensing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shd w:fill="022B1E" w:val="clear"/>
          </w:tcPr>
          <w:p>
            <w:pPr>
              <w:spacing w:after="0"/>
            </w:pPr>
            <w:r>
              <w:rPr>
                <w:rFonts w:ascii="Arial" w:cs="Arial" w:eastAsia="Arial" w:hAnsi="Arial"/>
                <w:b/>
                <w:bCs/>
                <w:color w:val="FFFFFF"/>
                <w:sz w:val="18"/>
                <w:szCs w:val="18"/>
              </w:rPr>
              <w:t xml:space="preserve">Jurisdiction</w:t>
            </w:r>
          </w:p>
        </w:tc>
        <w:tc>
          <w:tcPr>
            <w:tcW w:type="dxa" w:w="1600"/>
            <w:shd w:fill="022B1E" w:val="clear"/>
          </w:tcPr>
          <w:p>
            <w:pPr>
              <w:spacing w:after="0"/>
            </w:pPr>
            <w:r>
              <w:rPr>
                <w:rFonts w:ascii="Arial" w:cs="Arial" w:eastAsia="Arial" w:hAnsi="Arial"/>
                <w:b/>
                <w:bCs/>
                <w:color w:val="FFFFFF"/>
                <w:sz w:val="18"/>
                <w:szCs w:val="18"/>
              </w:rPr>
              <w:t xml:space="preserve">Do We Need a License?</w:t>
            </w:r>
          </w:p>
        </w:tc>
        <w:tc>
          <w:tcPr>
            <w:tcW w:type="dxa" w:w="2800"/>
            <w:shd w:fill="022B1E" w:val="clear"/>
          </w:tcPr>
          <w:p>
            <w:pPr>
              <w:spacing w:after="0"/>
            </w:pPr>
            <w:r>
              <w:rPr>
                <w:rFonts w:ascii="Arial" w:cs="Arial" w:eastAsia="Arial" w:hAnsi="Arial"/>
                <w:b/>
                <w:bCs/>
                <w:color w:val="FFFFFF"/>
                <w:sz w:val="18"/>
                <w:szCs w:val="18"/>
              </w:rPr>
              <w:t xml:space="preserve">Why/Why Not</w:t>
            </w:r>
          </w:p>
        </w:tc>
        <w:tc>
          <w:tcPr>
            <w:tcW w:type="dxa" w:w="1200"/>
            <w:shd w:fill="022B1E" w:val="clear"/>
          </w:tcPr>
          <w:p>
            <w:pPr>
              <w:spacing w:after="0"/>
            </w:pPr>
            <w:r>
              <w:rPr>
                <w:rFonts w:ascii="Arial" w:cs="Arial" w:eastAsia="Arial" w:hAnsi="Arial"/>
                <w:b/>
                <w:bCs/>
                <w:color w:val="FFFFFF"/>
                <w:sz w:val="18"/>
                <w:szCs w:val="18"/>
              </w:rPr>
              <w:t xml:space="preserve">Risk Level</w:t>
            </w:r>
          </w:p>
        </w:tc>
        <w:tc>
          <w:tcPr>
            <w:tcW w:type="dxa" w:w="2360"/>
            <w:shd w:fill="022B1E" w:val="clear"/>
          </w:tcPr>
          <w:p>
            <w:pPr>
              <w:spacing w:after="0"/>
            </w:pPr>
            <w:r>
              <w:rPr>
                <w:rFonts w:ascii="Arial" w:cs="Arial" w:eastAsia="Arial" w:hAnsi="Arial"/>
                <w:b/>
                <w:bCs/>
                <w:color w:val="FFFFFF"/>
                <w:sz w:val="18"/>
                <w:szCs w:val="18"/>
              </w:rPr>
              <w:t xml:space="preserve">Action</w:t>
            </w:r>
          </w:p>
        </w:tc>
      </w:tr>
      <w:tr>
        <w:tc>
          <w:tcPr>
            <w:tcW w:type="dxa" w:w="1400"/>
            <w:shd w:fill="F5F4F0" w:val="clear"/>
          </w:tcPr>
          <w:p>
            <w:pPr>
              <w:spacing w:after="0"/>
            </w:pPr>
            <w:r>
              <w:rPr>
                <w:rFonts w:ascii="Arial" w:cs="Arial" w:eastAsia="Arial" w:hAnsi="Arial"/>
                <w:color w:val="333333"/>
                <w:sz w:val="18"/>
                <w:szCs w:val="18"/>
              </w:rPr>
              <w:t xml:space="preserve">Ghana</w:t>
            </w:r>
          </w:p>
        </w:tc>
        <w:tc>
          <w:tcPr>
            <w:tcW w:type="dxa" w:w="1600"/>
            <w:shd w:fill="F5F4F0" w:val="clear"/>
          </w:tcPr>
          <w:p>
            <w:pPr>
              <w:spacing w:after="0"/>
            </w:pPr>
            <w:r>
              <w:rPr>
                <w:rFonts w:ascii="Arial" w:cs="Arial" w:eastAsia="Arial" w:hAnsi="Arial"/>
                <w:color w:val="333333"/>
                <w:sz w:val="18"/>
                <w:szCs w:val="18"/>
              </w:rPr>
              <w:t xml:space="preserve">Likely NO (needs legal opinion)</w:t>
            </w:r>
          </w:p>
        </w:tc>
        <w:tc>
          <w:tcPr>
            <w:tcW w:type="dxa" w:w="2800"/>
            <w:shd w:fill="F5F4F0" w:val="clear"/>
          </w:tcPr>
          <w:p>
            <w:pPr>
              <w:spacing w:after="0"/>
            </w:pPr>
            <w:r>
              <w:rPr>
                <w:rFonts w:ascii="Arial" w:cs="Arial" w:eastAsia="Arial" w:hAnsi="Arial"/>
                <w:color w:val="333333"/>
                <w:sz w:val="18"/>
                <w:szCs w:val="18"/>
              </w:rPr>
              <w:t xml:space="preserve">We use licensed processors (Stripe/Flutterwave), don't hold funds</w:t>
            </w:r>
          </w:p>
        </w:tc>
        <w:tc>
          <w:tcPr>
            <w:tcW w:type="dxa" w:w="1200"/>
            <w:shd w:fill="F5F4F0" w:val="clear"/>
          </w:tcPr>
          <w:p>
            <w:pPr>
              <w:spacing w:after="0"/>
            </w:pPr>
            <w:r>
              <w:rPr>
                <w:rFonts w:ascii="Arial" w:cs="Arial" w:eastAsia="Arial" w:hAnsi="Arial"/>
                <w:color w:val="333333"/>
                <w:sz w:val="18"/>
                <w:szCs w:val="18"/>
              </w:rPr>
              <w:t xml:space="preserve">MEDIUM</w:t>
            </w:r>
          </w:p>
        </w:tc>
        <w:tc>
          <w:tcPr>
            <w:tcW w:type="dxa" w:w="2360"/>
            <w:shd w:fill="F5F4F0" w:val="clear"/>
          </w:tcPr>
          <w:p>
            <w:pPr>
              <w:spacing w:after="0"/>
            </w:pPr>
            <w:r>
              <w:rPr>
                <w:rFonts w:ascii="Arial" w:cs="Arial" w:eastAsia="Arial" w:hAnsi="Arial"/>
                <w:color w:val="333333"/>
                <w:sz w:val="18"/>
                <w:szCs w:val="18"/>
              </w:rPr>
              <w:t xml:space="preserve">Get fintech lawyer opinion ($1-2K)</w:t>
            </w:r>
          </w:p>
        </w:tc>
      </w:tr>
      <w:tr>
        <w:tc>
          <w:tcPr>
            <w:tcW w:type="dxa" w:w="1400"/>
            <w:shd w:fill="FFFFFF" w:val="clear"/>
          </w:tcPr>
          <w:p>
            <w:pPr>
              <w:spacing w:after="0"/>
            </w:pPr>
            <w:r>
              <w:rPr>
                <w:rFonts w:ascii="Arial" w:cs="Arial" w:eastAsia="Arial" w:hAnsi="Arial"/>
                <w:color w:val="333333"/>
                <w:sz w:val="18"/>
                <w:szCs w:val="18"/>
              </w:rPr>
              <w:t xml:space="preserve">Nigeria</w:t>
            </w:r>
          </w:p>
        </w:tc>
        <w:tc>
          <w:tcPr>
            <w:tcW w:type="dxa" w:w="1600"/>
            <w:shd w:fill="FFFFFF" w:val="clear"/>
          </w:tcPr>
          <w:p>
            <w:pPr>
              <w:spacing w:after="0"/>
            </w:pPr>
            <w:r>
              <w:rPr>
                <w:rFonts w:ascii="Arial" w:cs="Arial" w:eastAsia="Arial" w:hAnsi="Arial"/>
                <w:color w:val="333333"/>
                <w:sz w:val="18"/>
                <w:szCs w:val="18"/>
              </w:rPr>
              <w:t xml:space="preserve">NO (if using licensed PSPs only)</w:t>
            </w:r>
          </w:p>
        </w:tc>
        <w:tc>
          <w:tcPr>
            <w:tcW w:type="dxa" w:w="2800"/>
            <w:shd w:fill="FFFFFF" w:val="clear"/>
          </w:tcPr>
          <w:p>
            <w:pPr>
              <w:spacing w:after="0"/>
            </w:pPr>
            <w:r>
              <w:rPr>
                <w:rFonts w:ascii="Arial" w:cs="Arial" w:eastAsia="Arial" w:hAnsi="Arial"/>
                <w:color w:val="333333"/>
                <w:sz w:val="18"/>
                <w:szCs w:val="18"/>
              </w:rPr>
              <w:t xml:space="preserve">All flows through CBN-licensed Flutterwave/Paystack</w:t>
            </w:r>
          </w:p>
        </w:tc>
        <w:tc>
          <w:tcPr>
            <w:tcW w:type="dxa" w:w="1200"/>
            <w:shd w:fill="FFFFFF" w:val="clear"/>
          </w:tcPr>
          <w:p>
            <w:pPr>
              <w:spacing w:after="0"/>
            </w:pPr>
            <w:r>
              <w:rPr>
                <w:rFonts w:ascii="Arial" w:cs="Arial" w:eastAsia="Arial" w:hAnsi="Arial"/>
                <w:color w:val="333333"/>
                <w:sz w:val="18"/>
                <w:szCs w:val="18"/>
              </w:rPr>
              <w:t xml:space="preserve">LOW</w:t>
            </w:r>
          </w:p>
        </w:tc>
        <w:tc>
          <w:tcPr>
            <w:tcW w:type="dxa" w:w="2360"/>
            <w:shd w:fill="FFFFFF" w:val="clear"/>
          </w:tcPr>
          <w:p>
            <w:pPr>
              <w:spacing w:after="0"/>
            </w:pPr>
            <w:r>
              <w:rPr>
                <w:rFonts w:ascii="Arial" w:cs="Arial" w:eastAsia="Arial" w:hAnsi="Arial"/>
                <w:color w:val="333333"/>
                <w:sz w:val="18"/>
                <w:szCs w:val="18"/>
              </w:rPr>
              <w:t xml:space="preserve">Never hold funds in Nigerian account</w:t>
            </w:r>
          </w:p>
        </w:tc>
      </w:tr>
      <w:tr>
        <w:tc>
          <w:tcPr>
            <w:tcW w:type="dxa" w:w="1400"/>
            <w:shd w:fill="F5F4F0" w:val="clear"/>
          </w:tcPr>
          <w:p>
            <w:pPr>
              <w:spacing w:after="0"/>
            </w:pPr>
            <w:r>
              <w:rPr>
                <w:rFonts w:ascii="Arial" w:cs="Arial" w:eastAsia="Arial" w:hAnsi="Arial"/>
                <w:color w:val="333333"/>
                <w:sz w:val="18"/>
                <w:szCs w:val="18"/>
              </w:rPr>
              <w:t xml:space="preserve">Kenya</w:t>
            </w:r>
          </w:p>
        </w:tc>
        <w:tc>
          <w:tcPr>
            <w:tcW w:type="dxa" w:w="1600"/>
            <w:shd w:fill="F5F4F0" w:val="clear"/>
          </w:tcPr>
          <w:p>
            <w:pPr>
              <w:spacing w:after="0"/>
            </w:pPr>
            <w:r>
              <w:rPr>
                <w:rFonts w:ascii="Arial" w:cs="Arial" w:eastAsia="Arial" w:hAnsi="Arial"/>
                <w:color w:val="333333"/>
                <w:sz w:val="18"/>
                <w:szCs w:val="18"/>
              </w:rPr>
              <w:t xml:space="preserve">NO (if using licensed PSPs only)</w:t>
            </w:r>
          </w:p>
        </w:tc>
        <w:tc>
          <w:tcPr>
            <w:tcW w:type="dxa" w:w="2800"/>
            <w:shd w:fill="F5F4F0" w:val="clear"/>
          </w:tcPr>
          <w:p>
            <w:pPr>
              <w:spacing w:after="0"/>
            </w:pPr>
            <w:r>
              <w:rPr>
                <w:rFonts w:ascii="Arial" w:cs="Arial" w:eastAsia="Arial" w:hAnsi="Arial"/>
                <w:color w:val="333333"/>
                <w:sz w:val="18"/>
                <w:szCs w:val="18"/>
              </w:rPr>
              <w:t xml:space="preserve">All flows through CBK-licensed M-Pesa/Paystack</w:t>
            </w:r>
          </w:p>
        </w:tc>
        <w:tc>
          <w:tcPr>
            <w:tcW w:type="dxa" w:w="1200"/>
            <w:shd w:fill="F5F4F0" w:val="clear"/>
          </w:tcPr>
          <w:p>
            <w:pPr>
              <w:spacing w:after="0"/>
            </w:pPr>
            <w:r>
              <w:rPr>
                <w:rFonts w:ascii="Arial" w:cs="Arial" w:eastAsia="Arial" w:hAnsi="Arial"/>
                <w:color w:val="333333"/>
                <w:sz w:val="18"/>
                <w:szCs w:val="18"/>
              </w:rPr>
              <w:t xml:space="preserve">LOW</w:t>
            </w:r>
          </w:p>
        </w:tc>
        <w:tc>
          <w:tcPr>
            <w:tcW w:type="dxa" w:w="2360"/>
            <w:shd w:fill="F5F4F0" w:val="clear"/>
          </w:tcPr>
          <w:p>
            <w:pPr>
              <w:spacing w:after="0"/>
            </w:pPr>
            <w:r>
              <w:rPr>
                <w:rFonts w:ascii="Arial" w:cs="Arial" w:eastAsia="Arial" w:hAnsi="Arial"/>
                <w:color w:val="333333"/>
                <w:sz w:val="18"/>
                <w:szCs w:val="18"/>
              </w:rPr>
              <w:t xml:space="preserve">Monitor Flutterwave Kenya status</w:t>
            </w:r>
          </w:p>
        </w:tc>
      </w:tr>
      <w:tr>
        <w:tc>
          <w:tcPr>
            <w:tcW w:type="dxa" w:w="1400"/>
            <w:shd w:fill="FFFFFF" w:val="clear"/>
          </w:tcPr>
          <w:p>
            <w:pPr>
              <w:spacing w:after="0"/>
            </w:pPr>
            <w:r>
              <w:rPr>
                <w:rFonts w:ascii="Arial" w:cs="Arial" w:eastAsia="Arial" w:hAnsi="Arial"/>
                <w:color w:val="333333"/>
                <w:sz w:val="18"/>
                <w:szCs w:val="18"/>
              </w:rPr>
              <w:t xml:space="preserve">United States</w:t>
            </w:r>
          </w:p>
        </w:tc>
        <w:tc>
          <w:tcPr>
            <w:tcW w:type="dxa" w:w="1600"/>
            <w:shd w:fill="FFFFFF" w:val="clear"/>
          </w:tcPr>
          <w:p>
            <w:pPr>
              <w:spacing w:after="0"/>
            </w:pPr>
            <w:r>
              <w:rPr>
                <w:rFonts w:ascii="Arial" w:cs="Arial" w:eastAsia="Arial" w:hAnsi="Arial"/>
                <w:color w:val="333333"/>
                <w:sz w:val="18"/>
                <w:szCs w:val="18"/>
              </w:rPr>
              <w:t xml:space="preserve">NO</w:t>
            </w:r>
          </w:p>
        </w:tc>
        <w:tc>
          <w:tcPr>
            <w:tcW w:type="dxa" w:w="2800"/>
            <w:shd w:fill="FFFFFF" w:val="clear"/>
          </w:tcPr>
          <w:p>
            <w:pPr>
              <w:spacing w:after="0"/>
            </w:pPr>
            <w:r>
              <w:rPr>
                <w:rFonts w:ascii="Arial" w:cs="Arial" w:eastAsia="Arial" w:hAnsi="Arial"/>
                <w:color w:val="333333"/>
                <w:sz w:val="18"/>
                <w:szCs w:val="18"/>
              </w:rPr>
              <w:t xml:space="preserve">Stripe Connect is the licensed money transmitter</w:t>
            </w:r>
          </w:p>
        </w:tc>
        <w:tc>
          <w:tcPr>
            <w:tcW w:type="dxa" w:w="1200"/>
            <w:shd w:fill="FFFFFF" w:val="clear"/>
          </w:tcPr>
          <w:p>
            <w:pPr>
              <w:spacing w:after="0"/>
            </w:pPr>
            <w:r>
              <w:rPr>
                <w:rFonts w:ascii="Arial" w:cs="Arial" w:eastAsia="Arial" w:hAnsi="Arial"/>
                <w:color w:val="333333"/>
                <w:sz w:val="18"/>
                <w:szCs w:val="18"/>
              </w:rPr>
              <w:t xml:space="preserve">LOW</w:t>
            </w:r>
          </w:p>
        </w:tc>
        <w:tc>
          <w:tcPr>
            <w:tcW w:type="dxa" w:w="2360"/>
            <w:shd w:fill="FFFFFF" w:val="clear"/>
          </w:tcPr>
          <w:p>
            <w:pPr>
              <w:spacing w:after="0"/>
            </w:pPr>
            <w:r>
              <w:rPr>
                <w:rFonts w:ascii="Arial" w:cs="Arial" w:eastAsia="Arial" w:hAnsi="Arial"/>
                <w:color w:val="333333"/>
                <w:sz w:val="18"/>
                <w:szCs w:val="18"/>
              </w:rPr>
              <w:t xml:space="preserve">Never hold client funds directly</w:t>
            </w:r>
          </w:p>
        </w:tc>
      </w:tr>
      <w:tr>
        <w:tc>
          <w:tcPr>
            <w:tcW w:type="dxa" w:w="1400"/>
            <w:shd w:fill="F5F4F0" w:val="clear"/>
          </w:tcPr>
          <w:p>
            <w:pPr>
              <w:spacing w:after="0"/>
            </w:pPr>
            <w:r>
              <w:rPr>
                <w:rFonts w:ascii="Arial" w:cs="Arial" w:eastAsia="Arial" w:hAnsi="Arial"/>
                <w:color w:val="333333"/>
                <w:sz w:val="18"/>
                <w:szCs w:val="18"/>
              </w:rPr>
              <w:t xml:space="preserve">United Kingdom</w:t>
            </w:r>
          </w:p>
        </w:tc>
        <w:tc>
          <w:tcPr>
            <w:tcW w:type="dxa" w:w="1600"/>
            <w:shd w:fill="F5F4F0" w:val="clear"/>
          </w:tcPr>
          <w:p>
            <w:pPr>
              <w:spacing w:after="0"/>
            </w:pPr>
            <w:r>
              <w:rPr>
                <w:rFonts w:ascii="Arial" w:cs="Arial" w:eastAsia="Arial" w:hAnsi="Arial"/>
                <w:color w:val="333333"/>
                <w:sz w:val="18"/>
                <w:szCs w:val="18"/>
              </w:rPr>
              <w:t xml:space="preserve">NO</w:t>
            </w:r>
          </w:p>
        </w:tc>
        <w:tc>
          <w:tcPr>
            <w:tcW w:type="dxa" w:w="2800"/>
            <w:shd w:fill="F5F4F0" w:val="clear"/>
          </w:tcPr>
          <w:p>
            <w:pPr>
              <w:spacing w:after="0"/>
            </w:pPr>
            <w:r>
              <w:rPr>
                <w:rFonts w:ascii="Arial" w:cs="Arial" w:eastAsia="Arial" w:hAnsi="Arial"/>
                <w:color w:val="333333"/>
                <w:sz w:val="18"/>
                <w:szCs w:val="18"/>
              </w:rPr>
              <w:t xml:space="preserve">Stripe is FCA-authorized e-money institution</w:t>
            </w:r>
          </w:p>
        </w:tc>
        <w:tc>
          <w:tcPr>
            <w:tcW w:type="dxa" w:w="1200"/>
            <w:shd w:fill="F5F4F0" w:val="clear"/>
          </w:tcPr>
          <w:p>
            <w:pPr>
              <w:spacing w:after="0"/>
            </w:pPr>
            <w:r>
              <w:rPr>
                <w:rFonts w:ascii="Arial" w:cs="Arial" w:eastAsia="Arial" w:hAnsi="Arial"/>
                <w:color w:val="333333"/>
                <w:sz w:val="18"/>
                <w:szCs w:val="18"/>
              </w:rPr>
              <w:t xml:space="preserve">LOW</w:t>
            </w:r>
          </w:p>
        </w:tc>
        <w:tc>
          <w:tcPr>
            <w:tcW w:type="dxa" w:w="2360"/>
            <w:shd w:fill="F5F4F0" w:val="clear"/>
          </w:tcPr>
          <w:p>
            <w:pPr>
              <w:spacing w:after="0"/>
            </w:pPr>
            <w:r>
              <w:rPr>
                <w:rFonts w:ascii="Arial" w:cs="Arial" w:eastAsia="Arial" w:hAnsi="Arial"/>
                <w:color w:val="333333"/>
                <w:sz w:val="18"/>
                <w:szCs w:val="18"/>
              </w:rPr>
              <w:t xml:space="preserve">Maintain Stripe as sole UK payment rail</w:t>
            </w:r>
          </w:p>
        </w:tc>
      </w:tr>
    </w:tbl>
    <w:p>
      <w:pPr>
        <w:pStyle w:val="Heading1"/>
        <w:spacing w:after="200" w:before="400"/>
      </w:pPr>
      <w:r>
        <w:rPr>
          <w:rFonts w:ascii="Arial" w:cs="Arial" w:eastAsia="Arial" w:hAnsi="Arial"/>
          <w:b/>
          <w:bCs/>
          <w:color w:val="022B1E"/>
          <w:sz w:val="28"/>
          <w:szCs w:val="28"/>
        </w:rPr>
        <w:t xml:space="preserve">4. Gig Worker Classification and Labour Law</w:t>
      </w:r>
    </w:p>
    <w:p>
      <w:pPr>
        <w:spacing w:after="140" w:line="276"/>
      </w:pPr>
      <w:r>
        <w:rPr>
          <w:rFonts w:ascii="Arial" w:cs="Arial" w:eastAsia="Arial" w:hAnsi="Arial"/>
          <w:color w:val="333333"/>
          <w:sz w:val="20"/>
          <w:szCs w:val="20"/>
        </w:rPr>
        <w:t xml:space="preserve">EyeOnSite classifies inspectors as independent contractors, not employees. This classification determines tax obligations, social security contributions, worker protections, and platform liability. It is the most scrutinized legal question in the global gig economy.</w:t>
      </w:r>
    </w:p>
    <w:p>
      <w:pPr>
        <w:spacing w:after="0"/>
      </w:pPr>
    </w:p>
    <w:p>
      <w:pPr>
        <w:pStyle w:val="Heading2"/>
        <w:spacing w:after="160" w:before="300"/>
      </w:pPr>
      <w:r>
        <w:rPr>
          <w:rFonts w:ascii="Arial" w:cs="Arial" w:eastAsia="Arial" w:hAnsi="Arial"/>
          <w:b/>
          <w:bCs/>
          <w:color w:val="0B6E4F"/>
          <w:sz w:val="24"/>
          <w:szCs w:val="24"/>
        </w:rPr>
        <w:t xml:space="preserve">4.1 Ghana — Labour Act 2003 (Act 651)</w:t>
      </w:r>
    </w:p>
    <w:p>
      <w:pPr>
        <w:spacing w:after="140" w:line="276"/>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Independent contractor classification is legally defensible.</w:t>
      </w:r>
    </w:p>
    <w:p>
      <w:pPr>
        <w:spacing w:after="0"/>
      </w:pPr>
    </w:p>
    <w:p>
      <w:pPr>
        <w:spacing w:after="140" w:line="276"/>
      </w:pPr>
      <w:r>
        <w:rPr>
          <w:rFonts w:ascii="Arial" w:cs="Arial" w:eastAsia="Arial" w:hAnsi="Arial"/>
          <w:color w:val="333333"/>
          <w:sz w:val="20"/>
          <w:szCs w:val="20"/>
        </w:rPr>
        <w:t xml:space="preserve">Ghana's labour law does not recognize 'platform workers' as a distinct category. Courts have applied traditional control and integration tests to ride-hailing drivers and classified them as independent contractors. A 2026 academic study confirms: 'their legal classification as independent contractors excludes them from the fundamental protections guaranteed under the Labour Act 2003 (Act 651), including the right to unionise, engage in collective bargaining, and access social security benefits.'</w:t>
      </w:r>
    </w:p>
    <w:p>
      <w:pPr>
        <w:spacing w:after="0"/>
      </w:pPr>
    </w:p>
    <w:p>
      <w:pPr>
        <w:spacing w:after="120" w:before="200"/>
      </w:pPr>
      <w:r>
        <w:rPr>
          <w:rFonts w:ascii="Arial" w:cs="Arial" w:eastAsia="Arial" w:hAnsi="Arial"/>
          <w:b/>
          <w:bCs/>
          <w:color w:val="4A4A47"/>
          <w:sz w:val="22"/>
          <w:szCs w:val="22"/>
        </w:rPr>
        <w:t xml:space="preserve">How Uber and Bolt Handle It in Ghana</w:t>
      </w:r>
    </w:p>
    <w:p>
      <w:pPr>
        <w:pStyle w:val="ListParagraph"/>
        <w:numPr>
          <w:ilvl w:val="0"/>
          <w:numId w:val="2"/>
        </w:numPr>
        <w:spacing w:after="80" w:line="276"/>
      </w:pPr>
      <w:r>
        <w:rPr>
          <w:rFonts w:ascii="Arial" w:cs="Arial" w:eastAsia="Arial" w:hAnsi="Arial"/>
          <w:color w:val="333333"/>
          <w:sz w:val="20"/>
          <w:szCs w:val="20"/>
        </w:rPr>
        <w:t xml:space="preserve">Both classify all drivers as independent contractors.</w:t>
      </w:r>
    </w:p>
    <w:p>
      <w:pPr>
        <w:pStyle w:val="ListParagraph"/>
        <w:numPr>
          <w:ilvl w:val="0"/>
          <w:numId w:val="2"/>
        </w:numPr>
        <w:spacing w:after="80" w:line="276"/>
      </w:pPr>
      <w:r>
        <w:rPr>
          <w:rFonts w:ascii="Arial" w:cs="Arial" w:eastAsia="Arial" w:hAnsi="Arial"/>
          <w:color w:val="333333"/>
          <w:sz w:val="20"/>
          <w:szCs w:val="20"/>
        </w:rPr>
        <w:t xml:space="preserve">Both have faced criticism but no successful legal challenges in Ghanaian courts.</w:t>
      </w:r>
    </w:p>
    <w:p>
      <w:pPr>
        <w:pStyle w:val="ListParagraph"/>
        <w:numPr>
          <w:ilvl w:val="0"/>
          <w:numId w:val="2"/>
        </w:numPr>
        <w:spacing w:after="80" w:line="276"/>
      </w:pPr>
      <w:r>
        <w:rPr>
          <w:rFonts w:ascii="Arial" w:cs="Arial" w:eastAsia="Arial" w:hAnsi="Arial"/>
          <w:color w:val="333333"/>
          <w:sz w:val="20"/>
          <w:szCs w:val="20"/>
        </w:rPr>
        <w:t xml:space="preserve">Both allow drivers to choose their own schedule, use their own vehicles, and work for competitors.</w:t>
      </w:r>
    </w:p>
    <w:p>
      <w:pPr>
        <w:pStyle w:val="ListParagraph"/>
        <w:numPr>
          <w:ilvl w:val="0"/>
          <w:numId w:val="2"/>
        </w:numPr>
        <w:spacing w:after="80" w:line="276"/>
      </w:pPr>
      <w:r>
        <w:rPr>
          <w:rFonts w:ascii="Arial" w:cs="Arial" w:eastAsia="Arial" w:hAnsi="Arial"/>
          <w:color w:val="333333"/>
          <w:sz w:val="20"/>
          <w:szCs w:val="20"/>
        </w:rPr>
        <w:t xml:space="preserve">Neither provides social security, health insurance, or minimum wage guarantees to drivers.</w:t>
      </w:r>
    </w:p>
    <w:p>
      <w:pPr>
        <w:spacing w:after="0"/>
      </w:pPr>
    </w:p>
    <w:p>
      <w:pPr>
        <w:spacing w:after="120" w:before="200"/>
      </w:pPr>
      <w:r>
        <w:rPr>
          <w:rFonts w:ascii="Arial" w:cs="Arial" w:eastAsia="Arial" w:hAnsi="Arial"/>
          <w:b/>
          <w:bCs/>
          <w:color w:val="4A4A47"/>
          <w:sz w:val="22"/>
          <w:szCs w:val="22"/>
        </w:rPr>
        <w:t xml:space="preserve">EyeOnSite Defensive Measures (Already in TOS)</w:t>
      </w:r>
    </w:p>
    <w:p>
      <w:pPr>
        <w:pStyle w:val="ListParagraph"/>
        <w:numPr>
          <w:ilvl w:val="0"/>
          <w:numId w:val="2"/>
        </w:numPr>
        <w:spacing w:after="80" w:line="276"/>
      </w:pPr>
      <w:r>
        <w:rPr>
          <w:rFonts w:ascii="Arial" w:cs="Arial" w:eastAsia="Arial" w:hAnsi="Arial"/>
          <w:color w:val="333333"/>
          <w:sz w:val="20"/>
          <w:szCs w:val="20"/>
        </w:rPr>
        <w:t xml:space="preserve">Inspectors control their own schedule and choose which tasks to accept or decline.</w:t>
      </w:r>
    </w:p>
    <w:p>
      <w:pPr>
        <w:pStyle w:val="ListParagraph"/>
        <w:numPr>
          <w:ilvl w:val="0"/>
          <w:numId w:val="2"/>
        </w:numPr>
        <w:spacing w:after="80" w:line="276"/>
      </w:pPr>
      <w:r>
        <w:rPr>
          <w:rFonts w:ascii="Arial" w:cs="Arial" w:eastAsia="Arial" w:hAnsi="Arial"/>
          <w:color w:val="333333"/>
          <w:sz w:val="20"/>
          <w:szCs w:val="20"/>
        </w:rPr>
        <w:t xml:space="preserve">Inspectors use their own equipment (smartphone, transportation).</w:t>
      </w:r>
    </w:p>
    <w:p>
      <w:pPr>
        <w:pStyle w:val="ListParagraph"/>
        <w:numPr>
          <w:ilvl w:val="0"/>
          <w:numId w:val="2"/>
        </w:numPr>
        <w:spacing w:after="80" w:line="276"/>
      </w:pPr>
      <w:r>
        <w:rPr>
          <w:rFonts w:ascii="Arial" w:cs="Arial" w:eastAsia="Arial" w:hAnsi="Arial"/>
          <w:color w:val="333333"/>
          <w:sz w:val="20"/>
          <w:szCs w:val="20"/>
        </w:rPr>
        <w:t xml:space="preserve">Inspectors are free to work for other platforms or clients simultaneously.</w:t>
      </w:r>
    </w:p>
    <w:p>
      <w:pPr>
        <w:pStyle w:val="ListParagraph"/>
        <w:numPr>
          <w:ilvl w:val="0"/>
          <w:numId w:val="2"/>
        </w:numPr>
        <w:spacing w:after="80" w:line="276"/>
      </w:pPr>
      <w:r>
        <w:rPr>
          <w:rFonts w:ascii="Arial" w:cs="Arial" w:eastAsia="Arial" w:hAnsi="Arial"/>
          <w:color w:val="333333"/>
          <w:sz w:val="20"/>
          <w:szCs w:val="20"/>
        </w:rPr>
        <w:t xml:space="preserve">No exclusivity requirements, minimum hours, or mandatory schedules.</w:t>
      </w:r>
    </w:p>
    <w:p>
      <w:pPr>
        <w:pStyle w:val="ListParagraph"/>
        <w:numPr>
          <w:ilvl w:val="0"/>
          <w:numId w:val="2"/>
        </w:numPr>
        <w:spacing w:after="80" w:line="276"/>
      </w:pPr>
      <w:r>
        <w:rPr>
          <w:rFonts w:ascii="Arial" w:cs="Arial" w:eastAsia="Arial" w:hAnsi="Arial"/>
          <w:color w:val="333333"/>
          <w:sz w:val="20"/>
          <w:szCs w:val="20"/>
        </w:rPr>
        <w:t xml:space="preserve">No uniforms, no specific routes, no direct supervision during task execution.</w:t>
      </w:r>
    </w:p>
    <w:p>
      <w:pPr>
        <w:pStyle w:val="ListParagraph"/>
        <w:numPr>
          <w:ilvl w:val="0"/>
          <w:numId w:val="2"/>
        </w:numPr>
        <w:spacing w:after="80" w:line="276"/>
      </w:pPr>
      <w:r>
        <w:rPr>
          <w:rFonts w:ascii="Arial" w:cs="Arial" w:eastAsia="Arial" w:hAnsi="Arial"/>
          <w:color w:val="333333"/>
          <w:sz w:val="20"/>
          <w:szCs w:val="20"/>
        </w:rPr>
        <w:t xml:space="preserve">Inspectors are responsible for their own taxes, insurance, and business expenses.</w:t>
      </w:r>
    </w:p>
    <w:p>
      <w:pPr>
        <w:pStyle w:val="ListParagraph"/>
        <w:numPr>
          <w:ilvl w:val="0"/>
          <w:numId w:val="2"/>
        </w:numPr>
        <w:spacing w:after="80" w:line="276"/>
      </w:pPr>
      <w:r>
        <w:rPr>
          <w:rFonts w:ascii="Arial" w:cs="Arial" w:eastAsia="Arial" w:hAnsi="Arial"/>
          <w:color w:val="333333"/>
          <w:sz w:val="20"/>
          <w:szCs w:val="20"/>
        </w:rPr>
        <w:t xml:space="preserve">The platform does not control the manner of work — only the output quality standards.</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EVOLVING RISK: The gig worker classification debate is active in Ghana. The Amalgamated Union of App-Based Transporters of Nigeria (AUTWON) and similar groups are pushing for legislative reform. If Ghana enacts legislation reclassifying gig workers as employees (as the UK did for Uber drivers in 2021), EyeOnSite's cost structure would change significantly — requiring social security contributions (13% employer + 5.5% employee = 18.5% of earnings), minimum wage compliance, and worker benefits. This is a 2-5 year risk. Mitigation: maximize genuine contractor independence in platform design. Never implement mandatory schedules, performance penalties that resemble employment control, or exclusivity requirements.</w:t>
      </w:r>
    </w:p>
    <w:p>
      <w:pPr>
        <w:pStyle w:val="Heading2"/>
        <w:spacing w:after="160" w:before="300"/>
      </w:pPr>
      <w:r>
        <w:rPr>
          <w:rFonts w:ascii="Arial" w:cs="Arial" w:eastAsia="Arial" w:hAnsi="Arial"/>
          <w:b/>
          <w:bCs/>
          <w:color w:val="0B6E4F"/>
          <w:sz w:val="24"/>
          <w:szCs w:val="24"/>
        </w:rPr>
        <w:t xml:space="preserve">4.2 Nigeria — Labour Act (Cap L1 LFN 2004)</w:t>
      </w:r>
    </w:p>
    <w:p>
      <w:pPr>
        <w:pStyle w:val="ListParagraph"/>
        <w:numPr>
          <w:ilvl w:val="0"/>
          <w:numId w:val="2"/>
        </w:numPr>
        <w:spacing w:after="80" w:line="276"/>
      </w:pPr>
      <w:r>
        <w:rPr>
          <w:rFonts w:ascii="Arial" w:cs="Arial" w:eastAsia="Arial" w:hAnsi="Arial"/>
          <w:color w:val="333333"/>
          <w:sz w:val="20"/>
          <w:szCs w:val="20"/>
        </w:rPr>
        <w:t xml:space="preserve">Similar to Ghana: no specific gig worker legislation. Independent contractor classification is the default.</w:t>
      </w:r>
    </w:p>
    <w:p>
      <w:pPr>
        <w:pStyle w:val="ListParagraph"/>
        <w:numPr>
          <w:ilvl w:val="0"/>
          <w:numId w:val="2"/>
        </w:numPr>
        <w:spacing w:after="80" w:line="276"/>
      </w:pPr>
      <w:r>
        <w:rPr>
          <w:rFonts w:ascii="Arial" w:cs="Arial" w:eastAsia="Arial" w:hAnsi="Arial"/>
          <w:color w:val="333333"/>
          <w:sz w:val="20"/>
          <w:szCs w:val="20"/>
        </w:rPr>
        <w:t xml:space="preserve">Nigeria's AUTWON has demanded a 5% commission cap and employee benefits for ride-hailing drivers. No legislation has passed.</w:t>
      </w:r>
    </w:p>
    <w:p>
      <w:pPr>
        <w:pStyle w:val="ListParagraph"/>
        <w:numPr>
          <w:ilvl w:val="0"/>
          <w:numId w:val="2"/>
        </w:numPr>
        <w:spacing w:after="80" w:line="276"/>
      </w:pPr>
      <w:r>
        <w:rPr>
          <w:rFonts w:ascii="Arial" w:cs="Arial" w:eastAsia="Arial" w:hAnsi="Arial"/>
          <w:color w:val="333333"/>
          <w:sz w:val="20"/>
          <w:szCs w:val="20"/>
        </w:rPr>
        <w:t xml:space="preserve">Risk level: MEDIUM. Nigeria has a more active labor union culture than Ghana. Monitor legislative developments.</w:t>
      </w:r>
    </w:p>
    <w:p>
      <w:pPr>
        <w:pStyle w:val="Heading2"/>
        <w:spacing w:after="160" w:before="300"/>
      </w:pPr>
      <w:r>
        <w:rPr>
          <w:rFonts w:ascii="Arial" w:cs="Arial" w:eastAsia="Arial" w:hAnsi="Arial"/>
          <w:b/>
          <w:bCs/>
          <w:color w:val="0B6E4F"/>
          <w:sz w:val="24"/>
          <w:szCs w:val="24"/>
        </w:rPr>
        <w:t xml:space="preserve">4.3 Kenya — Employment Act 2007</w:t>
      </w:r>
    </w:p>
    <w:p>
      <w:pPr>
        <w:pStyle w:val="ListParagraph"/>
        <w:numPr>
          <w:ilvl w:val="0"/>
          <w:numId w:val="2"/>
        </w:numPr>
        <w:spacing w:after="80" w:line="276"/>
      </w:pPr>
      <w:r>
        <w:rPr>
          <w:rFonts w:ascii="Arial" w:cs="Arial" w:eastAsia="Arial" w:hAnsi="Arial"/>
          <w:color w:val="333333"/>
          <w:sz w:val="20"/>
          <w:szCs w:val="20"/>
        </w:rPr>
        <w:t xml:space="preserve">Kenya enacted the 18% commission cap for ride-hailing in 2022 — the most significant gig regulation in East Africa.</w:t>
      </w:r>
    </w:p>
    <w:p>
      <w:pPr>
        <w:pStyle w:val="ListParagraph"/>
        <w:numPr>
          <w:ilvl w:val="0"/>
          <w:numId w:val="2"/>
        </w:numPr>
        <w:spacing w:after="80" w:line="276"/>
      </w:pPr>
      <w:r>
        <w:rPr>
          <w:rFonts w:ascii="Arial" w:cs="Arial" w:eastAsia="Arial" w:hAnsi="Arial"/>
          <w:color w:val="333333"/>
          <w:sz w:val="20"/>
          <w:szCs w:val="20"/>
        </w:rPr>
        <w:t xml:space="preserve">Drivers remain independent contractors, but the commission cap limits platform revenue extraction.</w:t>
      </w:r>
    </w:p>
    <w:p>
      <w:pPr>
        <w:pStyle w:val="ListParagraph"/>
        <w:numPr>
          <w:ilvl w:val="0"/>
          <w:numId w:val="2"/>
        </w:numPr>
        <w:spacing w:after="80" w:line="276"/>
      </w:pPr>
      <w:r>
        <w:rPr>
          <w:rFonts w:ascii="Arial" w:cs="Arial" w:eastAsia="Arial" w:hAnsi="Arial"/>
          <w:color w:val="333333"/>
          <w:sz w:val="20"/>
          <w:szCs w:val="20"/>
        </w:rPr>
        <w:t xml:space="preserve">EyeOnSite's 18% take rate is already compliant with the Kenyan cap.</w:t>
      </w:r>
    </w:p>
    <w:p>
      <w:pPr>
        <w:pStyle w:val="ListParagraph"/>
        <w:numPr>
          <w:ilvl w:val="0"/>
          <w:numId w:val="2"/>
        </w:numPr>
        <w:spacing w:after="80" w:line="276"/>
      </w:pPr>
      <w:r>
        <w:rPr>
          <w:rFonts w:ascii="Arial" w:cs="Arial" w:eastAsia="Arial" w:hAnsi="Arial"/>
          <w:color w:val="333333"/>
          <w:sz w:val="20"/>
          <w:szCs w:val="20"/>
        </w:rPr>
        <w:t xml:space="preserve">Risk: Kenya may extend the commission cap to other gig marketplace categories. Our 18% rate provides a compliance buffer.</w:t>
      </w:r>
    </w:p>
    <w:p>
      <w:pPr>
        <w:pStyle w:val="Heading2"/>
        <w:spacing w:after="160" w:before="300"/>
      </w:pPr>
      <w:r>
        <w:rPr>
          <w:rFonts w:ascii="Arial" w:cs="Arial" w:eastAsia="Arial" w:hAnsi="Arial"/>
          <w:b/>
          <w:bCs/>
          <w:color w:val="0B6E4F"/>
          <w:sz w:val="24"/>
          <w:szCs w:val="24"/>
        </w:rPr>
        <w:t xml:space="preserve">4.4 United Kingdom</w:t>
      </w:r>
    </w:p>
    <w:p>
      <w:pPr>
        <w:pStyle w:val="ListParagraph"/>
        <w:numPr>
          <w:ilvl w:val="0"/>
          <w:numId w:val="2"/>
        </w:numPr>
        <w:spacing w:after="80" w:line="276"/>
      </w:pPr>
      <w:r>
        <w:rPr>
          <w:rFonts w:ascii="Arial" w:cs="Arial" w:eastAsia="Arial" w:hAnsi="Arial"/>
          <w:color w:val="333333"/>
          <w:sz w:val="20"/>
          <w:szCs w:val="20"/>
        </w:rPr>
        <w:t xml:space="preserve">The UK Supreme Court ruled in 2021 (Uber BV v Aslam) that Uber drivers are 'workers' (a middle category between employee and contractor in UK law), entitled to minimum wage, paid holidays, and pension contributions.</w:t>
      </w:r>
    </w:p>
    <w:p>
      <w:pPr>
        <w:pStyle w:val="ListParagraph"/>
        <w:numPr>
          <w:ilvl w:val="0"/>
          <w:numId w:val="2"/>
        </w:numPr>
        <w:spacing w:after="80" w:line="276"/>
      </w:pPr>
      <w:r>
        <w:rPr>
          <w:rFonts w:ascii="Arial" w:cs="Arial" w:eastAsia="Arial" w:hAnsi="Arial"/>
          <w:color w:val="333333"/>
          <w:sz w:val="20"/>
          <w:szCs w:val="20"/>
        </w:rPr>
        <w:t xml:space="preserve">This ruling applies to drivers who are within the UK. Our inspectors are in Africa, not the UK.</w:t>
      </w:r>
    </w:p>
    <w:p>
      <w:pPr>
        <w:pStyle w:val="ListParagraph"/>
        <w:numPr>
          <w:ilvl w:val="0"/>
          <w:numId w:val="2"/>
        </w:numPr>
        <w:spacing w:after="80" w:line="276"/>
      </w:pPr>
      <w:r>
        <w:rPr>
          <w:rFonts w:ascii="Arial" w:cs="Arial" w:eastAsia="Arial" w:hAnsi="Arial"/>
          <w:color w:val="333333"/>
          <w:sz w:val="20"/>
          <w:szCs w:val="20"/>
        </w:rPr>
        <w:t xml:space="preserve">UK clients are service recipients, not workers. No UK employment law risk from the client side.</w:t>
      </w:r>
    </w:p>
    <w:p>
      <w:pPr>
        <w:pStyle w:val="ListParagraph"/>
        <w:numPr>
          <w:ilvl w:val="0"/>
          <w:numId w:val="2"/>
        </w:numPr>
        <w:spacing w:after="80" w:line="276"/>
      </w:pPr>
      <w:r>
        <w:rPr>
          <w:rFonts w:ascii="Arial" w:cs="Arial" w:eastAsia="Arial" w:hAnsi="Arial"/>
          <w:color w:val="333333"/>
          <w:sz w:val="20"/>
          <w:szCs w:val="20"/>
        </w:rPr>
        <w:t xml:space="preserve">Risk to monitor: if a UK-based inspector were to operate (e.g., a diaspora person hiring a local inspector in London to check a property), UK worker classification rules could apply. Restrict V1/V2 to African-based inspectors only.</w:t>
      </w:r>
    </w:p>
    <w:p>
      <w:pPr>
        <w:pStyle w:val="Heading1"/>
        <w:spacing w:after="200" w:before="400"/>
      </w:pPr>
      <w:r>
        <w:rPr>
          <w:rFonts w:ascii="Arial" w:cs="Arial" w:eastAsia="Arial" w:hAnsi="Arial"/>
          <w:b/>
          <w:bCs/>
          <w:color w:val="022B1E"/>
          <w:sz w:val="28"/>
          <w:szCs w:val="28"/>
        </w:rPr>
        <w:t xml:space="preserve">5. Corporate Structure and Entity Requirements</w:t>
      </w:r>
    </w:p>
    <w:p>
      <w:pPr>
        <w:spacing w:after="0"/>
      </w:pPr>
    </w:p>
    <w:p>
      <w:pPr>
        <w:pStyle w:val="Heading2"/>
        <w:spacing w:after="160" w:before="300"/>
      </w:pPr>
      <w:r>
        <w:rPr>
          <w:rFonts w:ascii="Arial" w:cs="Arial" w:eastAsia="Arial" w:hAnsi="Arial"/>
          <w:b/>
          <w:bCs/>
          <w:color w:val="0B6E4F"/>
          <w:sz w:val="24"/>
          <w:szCs w:val="24"/>
        </w:rPr>
        <w:t xml:space="preserve">5.1 Current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022B1E" w:val="clear"/>
          </w:tcPr>
          <w:p>
            <w:pPr>
              <w:spacing w:after="0"/>
            </w:pPr>
            <w:r>
              <w:rPr>
                <w:rFonts w:ascii="Arial" w:cs="Arial" w:eastAsia="Arial" w:hAnsi="Arial"/>
                <w:b/>
                <w:bCs/>
                <w:color w:val="FFFFFF"/>
                <w:sz w:val="18"/>
                <w:szCs w:val="18"/>
              </w:rPr>
              <w:t xml:space="preserve">Entity</w:t>
            </w:r>
          </w:p>
        </w:tc>
        <w:tc>
          <w:tcPr>
            <w:tcW w:type="dxa" w:w="1600"/>
            <w:shd w:fill="022B1E" w:val="clear"/>
          </w:tcPr>
          <w:p>
            <w:pPr>
              <w:spacing w:after="0"/>
            </w:pPr>
            <w:r>
              <w:rPr>
                <w:rFonts w:ascii="Arial" w:cs="Arial" w:eastAsia="Arial" w:hAnsi="Arial"/>
                <w:b/>
                <w:bCs/>
                <w:color w:val="FFFFFF"/>
                <w:sz w:val="18"/>
                <w:szCs w:val="18"/>
              </w:rPr>
              <w:t xml:space="preserve">Jurisdiction</w:t>
            </w:r>
          </w:p>
        </w:tc>
        <w:tc>
          <w:tcPr>
            <w:tcW w:type="dxa" w:w="3400"/>
            <w:shd w:fill="022B1E" w:val="clear"/>
          </w:tcPr>
          <w:p>
            <w:pPr>
              <w:spacing w:after="0"/>
            </w:pPr>
            <w:r>
              <w:rPr>
                <w:rFonts w:ascii="Arial" w:cs="Arial" w:eastAsia="Arial" w:hAnsi="Arial"/>
                <w:b/>
                <w:bCs/>
                <w:color w:val="FFFFFF"/>
                <w:sz w:val="18"/>
                <w:szCs w:val="18"/>
              </w:rPr>
              <w:t xml:space="preserve">Purpose</w:t>
            </w:r>
          </w:p>
        </w:tc>
        <w:tc>
          <w:tcPr>
            <w:tcW w:type="dxa" w:w="1960"/>
            <w:shd w:fill="022B1E" w:val="clear"/>
          </w:tcPr>
          <w:p>
            <w:pPr>
              <w:spacing w:after="0"/>
            </w:pPr>
            <w:r>
              <w:rPr>
                <w:rFonts w:ascii="Arial" w:cs="Arial" w:eastAsia="Arial" w:hAnsi="Arial"/>
                <w:b/>
                <w:bCs/>
                <w:color w:val="FFFFFF"/>
                <w:sz w:val="18"/>
                <w:szCs w:val="18"/>
              </w:rPr>
              <w:t xml:space="preserve">Status</w:t>
            </w:r>
          </w:p>
        </w:tc>
      </w:tr>
      <w:tr>
        <w:tc>
          <w:tcPr>
            <w:tcW w:type="dxa" w:w="2400"/>
            <w:shd w:fill="F5F4F0" w:val="clear"/>
          </w:tcPr>
          <w:p>
            <w:pPr>
              <w:spacing w:after="0"/>
            </w:pPr>
            <w:r>
              <w:rPr>
                <w:rFonts w:ascii="Arial" w:cs="Arial" w:eastAsia="Arial" w:hAnsi="Arial"/>
                <w:color w:val="333333"/>
                <w:sz w:val="18"/>
                <w:szCs w:val="18"/>
              </w:rPr>
              <w:t xml:space="preserve">Manti Labs LLC</w:t>
            </w:r>
          </w:p>
        </w:tc>
        <w:tc>
          <w:tcPr>
            <w:tcW w:type="dxa" w:w="1600"/>
            <w:shd w:fill="F5F4F0" w:val="clear"/>
          </w:tcPr>
          <w:p>
            <w:pPr>
              <w:spacing w:after="0"/>
            </w:pPr>
            <w:r>
              <w:rPr>
                <w:rFonts w:ascii="Arial" w:cs="Arial" w:eastAsia="Arial" w:hAnsi="Arial"/>
                <w:color w:val="333333"/>
                <w:sz w:val="18"/>
                <w:szCs w:val="18"/>
              </w:rPr>
              <w:t xml:space="preserve">Delaware, USA</w:t>
            </w:r>
          </w:p>
        </w:tc>
        <w:tc>
          <w:tcPr>
            <w:tcW w:type="dxa" w:w="3400"/>
            <w:shd w:fill="F5F4F0" w:val="clear"/>
          </w:tcPr>
          <w:p>
            <w:pPr>
              <w:spacing w:after="0"/>
            </w:pPr>
            <w:r>
              <w:rPr>
                <w:rFonts w:ascii="Arial" w:cs="Arial" w:eastAsia="Arial" w:hAnsi="Arial"/>
                <w:color w:val="333333"/>
                <w:sz w:val="18"/>
                <w:szCs w:val="18"/>
              </w:rPr>
              <w:t xml:space="preserve">IP holding, international payment processing via Stripe, US investor vehicle</w:t>
            </w:r>
          </w:p>
        </w:tc>
        <w:tc>
          <w:tcPr>
            <w:tcW w:type="dxa" w:w="1960"/>
            <w:shd w:fill="F5F4F0" w:val="clear"/>
          </w:tcPr>
          <w:p>
            <w:pPr>
              <w:spacing w:after="0"/>
            </w:pPr>
            <w:r>
              <w:rPr>
                <w:rFonts w:ascii="Arial" w:cs="Arial" w:eastAsia="Arial" w:hAnsi="Arial"/>
                <w:color w:val="333333"/>
                <w:sz w:val="18"/>
                <w:szCs w:val="18"/>
              </w:rPr>
              <w:t xml:space="preserve">Incorporated (Stripe Atlas)</w:t>
            </w:r>
          </w:p>
        </w:tc>
      </w:tr>
      <w:tr>
        <w:tc>
          <w:tcPr>
            <w:tcW w:type="dxa" w:w="2400"/>
            <w:shd w:fill="FFFFFF" w:val="clear"/>
          </w:tcPr>
          <w:p>
            <w:pPr>
              <w:spacing w:after="0"/>
            </w:pPr>
            <w:r>
              <w:rPr>
                <w:rFonts w:ascii="Arial" w:cs="Arial" w:eastAsia="Arial" w:hAnsi="Arial"/>
                <w:color w:val="333333"/>
                <w:sz w:val="18"/>
                <w:szCs w:val="18"/>
              </w:rPr>
              <w:t xml:space="preserve">Manti Labs Africa Co. Ltd</w:t>
            </w:r>
          </w:p>
        </w:tc>
        <w:tc>
          <w:tcPr>
            <w:tcW w:type="dxa" w:w="1600"/>
            <w:shd w:fill="FFFFFF" w:val="clear"/>
          </w:tcPr>
          <w:p>
            <w:pPr>
              <w:spacing w:after="0"/>
            </w:pPr>
            <w:r>
              <w:rPr>
                <w:rFonts w:ascii="Arial" w:cs="Arial" w:eastAsia="Arial" w:hAnsi="Arial"/>
                <w:color w:val="333333"/>
                <w:sz w:val="18"/>
                <w:szCs w:val="18"/>
              </w:rPr>
              <w:t xml:space="preserve">Ghana</w:t>
            </w:r>
          </w:p>
        </w:tc>
        <w:tc>
          <w:tcPr>
            <w:tcW w:type="dxa" w:w="3400"/>
            <w:shd w:fill="FFFFFF" w:val="clear"/>
          </w:tcPr>
          <w:p>
            <w:pPr>
              <w:spacing w:after="0"/>
            </w:pPr>
            <w:r>
              <w:rPr>
                <w:rFonts w:ascii="Arial" w:cs="Arial" w:eastAsia="Arial" w:hAnsi="Arial"/>
                <w:color w:val="333333"/>
                <w:sz w:val="18"/>
                <w:szCs w:val="18"/>
              </w:rPr>
              <w:t xml:space="preserve">Local operations, existing entity</w:t>
            </w:r>
          </w:p>
        </w:tc>
        <w:tc>
          <w:tcPr>
            <w:tcW w:type="dxa" w:w="1960"/>
            <w:shd w:fill="FFFFFF" w:val="clear"/>
          </w:tcPr>
          <w:p>
            <w:pPr>
              <w:spacing w:after="0"/>
            </w:pPr>
            <w:r>
              <w:rPr>
                <w:rFonts w:ascii="Arial" w:cs="Arial" w:eastAsia="Arial" w:hAnsi="Arial"/>
                <w:color w:val="333333"/>
                <w:sz w:val="18"/>
                <w:szCs w:val="18"/>
              </w:rPr>
              <w:t xml:space="preserve">Incorporated</w:t>
            </w:r>
          </w:p>
        </w:tc>
      </w:tr>
      <w:tr>
        <w:tc>
          <w:tcPr>
            <w:tcW w:type="dxa" w:w="2400"/>
            <w:shd w:fill="F5F4F0" w:val="clear"/>
          </w:tcPr>
          <w:p>
            <w:pPr>
              <w:spacing w:after="0"/>
            </w:pPr>
            <w:r>
              <w:rPr>
                <w:rFonts w:ascii="Arial" w:cs="Arial" w:eastAsia="Arial" w:hAnsi="Arial"/>
                <w:color w:val="333333"/>
                <w:sz w:val="18"/>
                <w:szCs w:val="18"/>
              </w:rPr>
              <w:t xml:space="preserve">EyeOnSite Ltd (Ghana)</w:t>
            </w:r>
          </w:p>
        </w:tc>
        <w:tc>
          <w:tcPr>
            <w:tcW w:type="dxa" w:w="1600"/>
            <w:shd w:fill="F5F4F0" w:val="clear"/>
          </w:tcPr>
          <w:p>
            <w:pPr>
              <w:spacing w:after="0"/>
            </w:pPr>
            <w:r>
              <w:rPr>
                <w:rFonts w:ascii="Arial" w:cs="Arial" w:eastAsia="Arial" w:hAnsi="Arial"/>
                <w:color w:val="333333"/>
                <w:sz w:val="18"/>
                <w:szCs w:val="18"/>
              </w:rPr>
              <w:t xml:space="preserve">Ghana</w:t>
            </w:r>
          </w:p>
        </w:tc>
        <w:tc>
          <w:tcPr>
            <w:tcW w:type="dxa" w:w="3400"/>
            <w:shd w:fill="F5F4F0" w:val="clear"/>
          </w:tcPr>
          <w:p>
            <w:pPr>
              <w:spacing w:after="0"/>
            </w:pPr>
            <w:r>
              <w:rPr>
                <w:rFonts w:ascii="Arial" w:cs="Arial" w:eastAsia="Arial" w:hAnsi="Arial"/>
                <w:color w:val="333333"/>
                <w:sz w:val="18"/>
                <w:szCs w:val="18"/>
              </w:rPr>
              <w:t xml:space="preserve">Recommended: local operating entity for EyeOnSite</w:t>
            </w:r>
          </w:p>
        </w:tc>
        <w:tc>
          <w:tcPr>
            <w:tcW w:type="dxa" w:w="1960"/>
            <w:shd w:fill="F5F4F0" w:val="clear"/>
          </w:tcPr>
          <w:p>
            <w:pPr>
              <w:spacing w:after="0"/>
            </w:pPr>
            <w:r>
              <w:rPr>
                <w:rFonts w:ascii="Arial" w:cs="Arial" w:eastAsia="Arial" w:hAnsi="Arial"/>
                <w:color w:val="333333"/>
                <w:sz w:val="18"/>
                <w:szCs w:val="18"/>
              </w:rPr>
              <w:t xml:space="preserve">NOT YET INCORPORATED</w:t>
            </w:r>
          </w:p>
        </w:tc>
      </w:tr>
    </w:tbl>
    <w:p>
      <w:pPr>
        <w:spacing w:after="0"/>
      </w:pPr>
    </w:p>
    <w:p>
      <w:pPr>
        <w:pStyle w:val="Heading2"/>
        <w:spacing w:after="160" w:before="300"/>
      </w:pPr>
      <w:r>
        <w:rPr>
          <w:rFonts w:ascii="Arial" w:cs="Arial" w:eastAsia="Arial" w:hAnsi="Arial"/>
          <w:b/>
          <w:bCs/>
          <w:color w:val="0B6E4F"/>
          <w:sz w:val="24"/>
          <w:szCs w:val="24"/>
        </w:rPr>
        <w:t xml:space="preserve">5.2 Recommended Entity Structure</w:t>
      </w:r>
    </w:p>
    <w:p>
      <w:pPr>
        <w:spacing w:after="140" w:line="276"/>
      </w:pPr>
      <w:r>
        <w:rPr>
          <w:rFonts w:ascii="Arial" w:cs="Arial" w:eastAsia="Arial" w:hAnsi="Arial"/>
          <w:color w:val="333333"/>
          <w:sz w:val="20"/>
          <w:szCs w:val="20"/>
        </w:rPr>
        <w:t xml:space="preserve">Incorporate EyeOnSite Ltd (Ghana) as a separate entity from Manti Labs Africa. This protects Manti Labs' other ventures (StartupTribunal, GapSense, SignTube, VibeJudge, GymRat AI, SikaWise) from EyeOnSite-specific liabilities and vice versa.</w:t>
      </w:r>
    </w:p>
    <w:p>
      <w:pPr>
        <w:spacing w:after="0"/>
      </w:pPr>
    </w:p>
    <w:p>
      <w:pPr>
        <w:spacing w:after="120" w:before="200"/>
      </w:pPr>
      <w:r>
        <w:rPr>
          <w:rFonts w:ascii="Arial" w:cs="Arial" w:eastAsia="Arial" w:hAnsi="Arial"/>
          <w:b/>
          <w:bCs/>
          <w:color w:val="4A4A47"/>
          <w:sz w:val="22"/>
          <w:szCs w:val="22"/>
        </w:rPr>
        <w:t xml:space="preserve">Ghana Companies Act 2019 (Act 992) Requirements</w:t>
      </w:r>
    </w:p>
    <w:p>
      <w:pPr>
        <w:pStyle w:val="ListParagraph"/>
        <w:numPr>
          <w:ilvl w:val="0"/>
          <w:numId w:val="2"/>
        </w:numPr>
        <w:spacing w:after="80" w:line="276"/>
      </w:pPr>
      <w:r>
        <w:rPr>
          <w:rFonts w:ascii="Arial" w:cs="Arial" w:eastAsia="Arial" w:hAnsi="Arial"/>
          <w:color w:val="333333"/>
          <w:sz w:val="20"/>
          <w:szCs w:val="20"/>
        </w:rPr>
        <w:t xml:space="preserve">Register with the Registrar General's Department. Cost: approximately GHS 500-1,000.</w:t>
      </w:r>
    </w:p>
    <w:p>
      <w:pPr>
        <w:pStyle w:val="ListParagraph"/>
        <w:numPr>
          <w:ilvl w:val="0"/>
          <w:numId w:val="2"/>
        </w:numPr>
        <w:spacing w:after="80" w:line="276"/>
      </w:pPr>
      <w:r>
        <w:rPr>
          <w:rFonts w:ascii="Arial" w:cs="Arial" w:eastAsia="Arial" w:hAnsi="Arial"/>
          <w:color w:val="333333"/>
          <w:sz w:val="20"/>
          <w:szCs w:val="20"/>
        </w:rPr>
        <w:t xml:space="preserve">Minimum of one director and one secretary (can be the same person for private limited companies).</w:t>
      </w:r>
    </w:p>
    <w:p>
      <w:pPr>
        <w:pStyle w:val="ListParagraph"/>
        <w:numPr>
          <w:ilvl w:val="0"/>
          <w:numId w:val="2"/>
        </w:numPr>
        <w:spacing w:after="80" w:line="276"/>
      </w:pPr>
      <w:r>
        <w:rPr>
          <w:rFonts w:ascii="Arial" w:cs="Arial" w:eastAsia="Arial" w:hAnsi="Arial"/>
          <w:color w:val="333333"/>
          <w:sz w:val="20"/>
          <w:szCs w:val="20"/>
        </w:rPr>
        <w:t xml:space="preserve">Registered office address in Ghana required.</w:t>
      </w:r>
    </w:p>
    <w:p>
      <w:pPr>
        <w:pStyle w:val="ListParagraph"/>
        <w:numPr>
          <w:ilvl w:val="0"/>
          <w:numId w:val="2"/>
        </w:numPr>
        <w:spacing w:after="80" w:line="276"/>
      </w:pPr>
      <w:r>
        <w:rPr>
          <w:rFonts w:ascii="Arial" w:cs="Arial" w:eastAsia="Arial" w:hAnsi="Arial"/>
          <w:color w:val="333333"/>
          <w:sz w:val="20"/>
          <w:szCs w:val="20"/>
        </w:rPr>
        <w:t xml:space="preserve">Annual returns filing with the Registrar General.</w:t>
      </w:r>
    </w:p>
    <w:p>
      <w:pPr>
        <w:spacing w:after="0"/>
      </w:pPr>
    </w:p>
    <w:p>
      <w:pPr>
        <w:spacing w:after="120" w:before="200"/>
      </w:pPr>
      <w:r>
        <w:rPr>
          <w:rFonts w:ascii="Arial" w:cs="Arial" w:eastAsia="Arial" w:hAnsi="Arial"/>
          <w:b/>
          <w:bCs/>
          <w:color w:val="4A4A47"/>
          <w:sz w:val="22"/>
          <w:szCs w:val="22"/>
        </w:rPr>
        <w:t xml:space="preserve">Ghana Investment Promotion Centre (GIPC) Act 2013 (Act 865)</w:t>
      </w:r>
    </w:p>
    <w:p>
      <w:pPr>
        <w:pStyle w:val="ListParagraph"/>
        <w:numPr>
          <w:ilvl w:val="0"/>
          <w:numId w:val="2"/>
        </w:numPr>
        <w:spacing w:after="80" w:line="276"/>
      </w:pPr>
      <w:r>
        <w:rPr>
          <w:rFonts w:ascii="Arial" w:cs="Arial" w:eastAsia="Arial" w:hAnsi="Arial"/>
          <w:color w:val="333333"/>
          <w:sz w:val="20"/>
          <w:szCs w:val="20"/>
        </w:rPr>
        <w:t xml:space="preserve">If Manti Labs LLC (foreign entity) holds equity in EyeOnSite Ltd (Ghana), GIPC registration is required.</w:t>
      </w:r>
    </w:p>
    <w:p>
      <w:pPr>
        <w:pStyle w:val="ListParagraph"/>
        <w:numPr>
          <w:ilvl w:val="0"/>
          <w:numId w:val="2"/>
        </w:numPr>
        <w:spacing w:after="80" w:line="276"/>
      </w:pPr>
      <w:r>
        <w:rPr>
          <w:rFonts w:ascii="Arial" w:cs="Arial" w:eastAsia="Arial" w:hAnsi="Arial"/>
          <w:color w:val="333333"/>
          <w:sz w:val="20"/>
          <w:szCs w:val="20"/>
        </w:rPr>
        <w:t xml:space="preserve">Minimum foreign equity participation: USD 200,000 for a joint venture with Ghanaian participation, or USD 500,000 for 100% foreign-owned.</w:t>
      </w:r>
    </w:p>
    <w:p>
      <w:pPr>
        <w:pStyle w:val="ListParagraph"/>
        <w:numPr>
          <w:ilvl w:val="0"/>
          <w:numId w:val="2"/>
        </w:numPr>
        <w:spacing w:after="80" w:line="276"/>
      </w:pPr>
      <w:r>
        <w:rPr>
          <w:rFonts w:ascii="Arial" w:cs="Arial" w:eastAsia="Arial" w:hAnsi="Arial"/>
          <w:color w:val="333333"/>
          <w:sz w:val="20"/>
          <w:szCs w:val="20"/>
        </w:rPr>
        <w:t xml:space="preserve">If seeking a PSP license later, the Payment Systems Act requires at least 30% Ghanaian equity participation.</w:t>
      </w:r>
    </w:p>
    <w:p>
      <w:pPr>
        <w:pStyle w:val="ListParagraph"/>
        <w:numPr>
          <w:ilvl w:val="0"/>
          <w:numId w:val="2"/>
        </w:numPr>
        <w:spacing w:after="80" w:line="276"/>
      </w:pPr>
      <w:r>
        <w:rPr>
          <w:rFonts w:ascii="Arial" w:cs="Arial" w:eastAsia="Arial" w:hAnsi="Arial"/>
          <w:color w:val="333333"/>
          <w:sz w:val="20"/>
          <w:szCs w:val="20"/>
        </w:rPr>
        <w:t xml:space="preserve">Practical implication: a Ghanaian co-founder or local partner simplifies the entity structure significantly.</w:t>
      </w:r>
    </w:p>
    <w:p>
      <w:pPr>
        <w:spacing w:after="0"/>
      </w:pPr>
    </w:p>
    <w:p>
      <w:pPr>
        <w:spacing w:after="120" w:before="200"/>
      </w:pPr>
      <w:r>
        <w:rPr>
          <w:rFonts w:ascii="Arial" w:cs="Arial" w:eastAsia="Arial" w:hAnsi="Arial"/>
          <w:b/>
          <w:bCs/>
          <w:color w:val="4A4A47"/>
          <w:sz w:val="22"/>
          <w:szCs w:val="22"/>
        </w:rPr>
        <w:t xml:space="preserve">Inter-Company Agreement</w:t>
      </w:r>
    </w:p>
    <w:p>
      <w:pPr>
        <w:pStyle w:val="ListParagraph"/>
        <w:numPr>
          <w:ilvl w:val="0"/>
          <w:numId w:val="2"/>
        </w:numPr>
        <w:spacing w:after="80" w:line="276"/>
      </w:pPr>
      <w:r>
        <w:rPr>
          <w:rFonts w:ascii="Arial" w:cs="Arial" w:eastAsia="Arial" w:hAnsi="Arial"/>
          <w:color w:val="333333"/>
          <w:sz w:val="20"/>
          <w:szCs w:val="20"/>
        </w:rPr>
        <w:t xml:space="preserve">Manti Labs LLC (Delaware) licenses EyeOnSite IP to EyeOnSite Ltd (Ghana) via an IP license agreement.</w:t>
      </w:r>
    </w:p>
    <w:p>
      <w:pPr>
        <w:pStyle w:val="ListParagraph"/>
        <w:numPr>
          <w:ilvl w:val="0"/>
          <w:numId w:val="2"/>
        </w:numPr>
        <w:spacing w:after="80" w:line="276"/>
      </w:pPr>
      <w:r>
        <w:rPr>
          <w:rFonts w:ascii="Arial" w:cs="Arial" w:eastAsia="Arial" w:hAnsi="Arial"/>
          <w:color w:val="333333"/>
          <w:sz w:val="20"/>
          <w:szCs w:val="20"/>
        </w:rPr>
        <w:t xml:space="preserve">Stripe Connect payments flow through Manti Labs LLC (diaspora payments) and through EyeOnSite Ltd Ghana (local Flutterwave payments).</w:t>
      </w:r>
    </w:p>
    <w:p>
      <w:pPr>
        <w:pStyle w:val="ListParagraph"/>
        <w:numPr>
          <w:ilvl w:val="0"/>
          <w:numId w:val="2"/>
        </w:numPr>
        <w:spacing w:after="80" w:line="276"/>
      </w:pPr>
      <w:r>
        <w:rPr>
          <w:rFonts w:ascii="Arial" w:cs="Arial" w:eastAsia="Arial" w:hAnsi="Arial"/>
          <w:color w:val="333333"/>
          <w:sz w:val="20"/>
          <w:szCs w:val="20"/>
        </w:rPr>
        <w:t xml:space="preserve">Transfer pricing: the IP license fee and any inter-company payments must be at arm's length to avoid transfer pricing challenges from GRA or IRS.</w:t>
      </w:r>
    </w:p>
    <w:p>
      <w:pPr>
        <w:pStyle w:val="Heading1"/>
        <w:spacing w:after="200" w:before="400"/>
      </w:pPr>
      <w:r>
        <w:rPr>
          <w:rFonts w:ascii="Arial" w:cs="Arial" w:eastAsia="Arial" w:hAnsi="Arial"/>
          <w:b/>
          <w:bCs/>
          <w:color w:val="022B1E"/>
          <w:sz w:val="28"/>
          <w:szCs w:val="28"/>
        </w:rPr>
        <w:t xml:space="preserve">6. Consumer Protection and Liability</w:t>
      </w:r>
    </w:p>
    <w:p>
      <w:pPr>
        <w:spacing w:after="0"/>
      </w:pPr>
    </w:p>
    <w:p>
      <w:pPr>
        <w:pStyle w:val="Heading2"/>
        <w:spacing w:after="160" w:before="300"/>
      </w:pPr>
      <w:r>
        <w:rPr>
          <w:rFonts w:ascii="Arial" w:cs="Arial" w:eastAsia="Arial" w:hAnsi="Arial"/>
          <w:b/>
          <w:bCs/>
          <w:color w:val="0B6E4F"/>
          <w:sz w:val="24"/>
          <w:szCs w:val="24"/>
        </w:rPr>
        <w:t xml:space="preserve">6.1 The Critical Disclaimer</w:t>
      </w:r>
    </w:p>
    <w:p>
      <w:pPr>
        <w:spacing w:after="140" w:line="276"/>
      </w:pPr>
      <w:r>
        <w:rPr>
          <w:rFonts w:ascii="Arial" w:cs="Arial" w:eastAsia="Arial" w:hAnsi="Arial"/>
          <w:color w:val="333333"/>
          <w:sz w:val="20"/>
          <w:szCs w:val="20"/>
        </w:rPr>
        <w:t xml:space="preserve">EyeOnSite's most important legal protection: Evidence Packages are observational reports by independent contractors. They are NOT professional engineering assessments, legal surveys, structural evaluations, property valuations, or investment advice.</w:t>
      </w:r>
    </w:p>
    <w:p>
      <w:pPr>
        <w:spacing w:after="0"/>
      </w:pPr>
    </w:p>
    <w:p>
      <w:pPr>
        <w:pBdr>
          <w:left w:val="single" w:color="E8593C" w:sz="12" w:space="8"/>
        </w:pBdr>
        <w:shd w:fill="FEF2F2" w:val="clear"/>
        <w:spacing w:after="200" w:before="120"/>
      </w:pPr>
      <w:r>
        <w:rPr>
          <w:rFonts w:ascii="Arial" w:cs="Arial" w:eastAsia="Arial" w:hAnsi="Arial"/>
          <w:color w:val="333333"/>
          <w:sz w:val="20"/>
          <w:szCs w:val="20"/>
        </w:rPr>
        <w:t xml:space="preserve">This disclaimer must be: (1) In the Terms of Service (Section 10 — already included). (2) Prominently displayed in the app at the point of task creation ('Important: This inspection is a visual check, not a professional assessment'). (3) Included in every Evidence Package delivered to the client. (4) Reiterated in marketing materials — never imply that EyeOnSite replaces professional engineering or surveying services. If a client relies solely on an EyeOnSite inspection to make a $30,000 investment decision and the building collapses, this disclaimer is the primary defense against liability. It must be impossible to miss.</w:t>
      </w:r>
    </w:p>
    <w:p>
      <w:pPr>
        <w:spacing w:after="0"/>
      </w:pPr>
    </w:p>
    <w:p>
      <w:pPr>
        <w:pStyle w:val="Heading2"/>
        <w:spacing w:after="160" w:before="300"/>
      </w:pPr>
      <w:r>
        <w:rPr>
          <w:rFonts w:ascii="Arial" w:cs="Arial" w:eastAsia="Arial" w:hAnsi="Arial"/>
          <w:b/>
          <w:bCs/>
          <w:color w:val="0B6E4F"/>
          <w:sz w:val="24"/>
          <w:szCs w:val="24"/>
        </w:rPr>
        <w:t xml:space="preserve">6.2 Platform Liability</w:t>
      </w:r>
    </w:p>
    <w:p>
      <w:pPr>
        <w:pStyle w:val="ListParagraph"/>
        <w:numPr>
          <w:ilvl w:val="0"/>
          <w:numId w:val="2"/>
        </w:numPr>
        <w:spacing w:after="80" w:line="276"/>
      </w:pPr>
      <w:r>
        <w:rPr>
          <w:rFonts w:ascii="Arial" w:cs="Arial" w:eastAsia="Arial" w:hAnsi="Arial"/>
          <w:color w:val="333333"/>
          <w:sz w:val="20"/>
          <w:szCs w:val="20"/>
        </w:rPr>
        <w:t xml:space="preserve">EyeOnSite is a technology marketplace connecting clients with independent inspectors. We are not a party to the inspection itself.</w:t>
      </w:r>
    </w:p>
    <w:p>
      <w:pPr>
        <w:pStyle w:val="ListParagraph"/>
        <w:numPr>
          <w:ilvl w:val="0"/>
          <w:numId w:val="2"/>
        </w:numPr>
        <w:spacing w:after="80" w:line="276"/>
      </w:pPr>
      <w:r>
        <w:rPr>
          <w:rFonts w:ascii="Arial" w:cs="Arial" w:eastAsia="Arial" w:hAnsi="Arial"/>
          <w:color w:val="333333"/>
          <w:sz w:val="20"/>
          <w:szCs w:val="20"/>
        </w:rPr>
        <w:t xml:space="preserve">TOS limits EyeOnSite's aggregate liability to the total fees paid by the user in the preceding 12 months.</w:t>
      </w:r>
    </w:p>
    <w:p>
      <w:pPr>
        <w:pStyle w:val="ListParagraph"/>
        <w:numPr>
          <w:ilvl w:val="0"/>
          <w:numId w:val="2"/>
        </w:numPr>
        <w:spacing w:after="80" w:line="276"/>
      </w:pPr>
      <w:r>
        <w:rPr>
          <w:rFonts w:ascii="Arial" w:cs="Arial" w:eastAsia="Arial" w:hAnsi="Arial"/>
          <w:color w:val="333333"/>
          <w:sz w:val="20"/>
          <w:szCs w:val="20"/>
        </w:rPr>
        <w:t xml:space="preserve">Inspectors are independent contractors — EyeOnSite is not vicariously liable for inspector actions (e.g., trespass, property damage, harassment).</w:t>
      </w:r>
    </w:p>
    <w:p>
      <w:pPr>
        <w:pStyle w:val="ListParagraph"/>
        <w:numPr>
          <w:ilvl w:val="0"/>
          <w:numId w:val="2"/>
        </w:numPr>
        <w:spacing w:after="80" w:line="276"/>
      </w:pPr>
      <w:r>
        <w:rPr>
          <w:rFonts w:ascii="Arial" w:cs="Arial" w:eastAsia="Arial" w:hAnsi="Arial"/>
          <w:color w:val="333333"/>
          <w:sz w:val="20"/>
          <w:szCs w:val="20"/>
        </w:rPr>
        <w:t xml:space="preserve">However: if EyeOnSite knew or should have known of inspector misconduct and failed to act, platform liability could arise. Maintain a robust reporting, review, and deactivation process.</w:t>
      </w:r>
    </w:p>
    <w:p>
      <w:pPr>
        <w:spacing w:after="0"/>
      </w:pPr>
    </w:p>
    <w:p>
      <w:pPr>
        <w:pStyle w:val="Heading2"/>
        <w:spacing w:after="160" w:before="300"/>
      </w:pPr>
      <w:r>
        <w:rPr>
          <w:rFonts w:ascii="Arial" w:cs="Arial" w:eastAsia="Arial" w:hAnsi="Arial"/>
          <w:b/>
          <w:bCs/>
          <w:color w:val="0B6E4F"/>
          <w:sz w:val="24"/>
          <w:szCs w:val="24"/>
        </w:rPr>
        <w:t xml:space="preserve">6.3 Dispute Resolution</w:t>
      </w:r>
    </w:p>
    <w:p>
      <w:pPr>
        <w:pStyle w:val="ListParagraph"/>
        <w:numPr>
          <w:ilvl w:val="0"/>
          <w:numId w:val="2"/>
        </w:numPr>
        <w:spacing w:after="80" w:line="276"/>
      </w:pPr>
      <w:r>
        <w:rPr>
          <w:rFonts w:ascii="Arial" w:cs="Arial" w:eastAsia="Arial" w:hAnsi="Arial"/>
          <w:color w:val="333333"/>
          <w:sz w:val="20"/>
          <w:szCs w:val="20"/>
        </w:rPr>
        <w:t xml:space="preserve">Three-tier dispute resolution: (1) automated quality checks, (2) platform mediation, (3) external arbitration (as specified in TOS).</w:t>
      </w:r>
    </w:p>
    <w:p>
      <w:pPr>
        <w:pStyle w:val="ListParagraph"/>
        <w:numPr>
          <w:ilvl w:val="0"/>
          <w:numId w:val="2"/>
        </w:numPr>
        <w:spacing w:after="80" w:line="276"/>
      </w:pPr>
      <w:r>
        <w:rPr>
          <w:rFonts w:ascii="Arial" w:cs="Arial" w:eastAsia="Arial" w:hAnsi="Arial"/>
          <w:color w:val="333333"/>
          <w:sz w:val="20"/>
          <w:szCs w:val="20"/>
        </w:rPr>
        <w:t xml:space="preserve">48-hour auto-accept mechanism protects inspectors from non-responsive clients.</w:t>
      </w:r>
    </w:p>
    <w:p>
      <w:pPr>
        <w:pStyle w:val="ListParagraph"/>
        <w:numPr>
          <w:ilvl w:val="0"/>
          <w:numId w:val="2"/>
        </w:numPr>
        <w:spacing w:after="80" w:line="276"/>
      </w:pPr>
      <w:r>
        <w:rPr>
          <w:rFonts w:ascii="Arial" w:cs="Arial" w:eastAsia="Arial" w:hAnsi="Arial"/>
          <w:color w:val="333333"/>
          <w:sz w:val="20"/>
          <w:szCs w:val="20"/>
        </w:rPr>
        <w:t xml:space="preserve">Refund policy clearly stated in TOS and in the app.</w:t>
      </w:r>
    </w:p>
    <w:p>
      <w:pPr>
        <w:pStyle w:val="ListParagraph"/>
        <w:numPr>
          <w:ilvl w:val="0"/>
          <w:numId w:val="2"/>
        </w:numPr>
        <w:spacing w:after="80" w:line="276"/>
      </w:pPr>
      <w:r>
        <w:rPr>
          <w:rFonts w:ascii="Arial" w:cs="Arial" w:eastAsia="Arial" w:hAnsi="Arial"/>
          <w:color w:val="333333"/>
          <w:sz w:val="20"/>
          <w:szCs w:val="20"/>
        </w:rPr>
        <w:t xml:space="preserve">Maintain a written record of all disputes and resolutions for regulatory compliance and pattern detection.</w:t>
      </w:r>
    </w:p>
    <w:p>
      <w:pPr>
        <w:pStyle w:val="Heading1"/>
        <w:spacing w:after="200" w:before="400"/>
      </w:pPr>
      <w:r>
        <w:rPr>
          <w:rFonts w:ascii="Arial" w:cs="Arial" w:eastAsia="Arial" w:hAnsi="Arial"/>
          <w:b/>
          <w:bCs/>
          <w:color w:val="022B1E"/>
          <w:sz w:val="28"/>
          <w:szCs w:val="28"/>
        </w:rPr>
        <w:t xml:space="preserve">7. Tax Obligations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shd w:fill="022B1E" w:val="clear"/>
          </w:tcPr>
          <w:p>
            <w:pPr>
              <w:spacing w:after="0"/>
            </w:pPr>
            <w:r>
              <w:rPr>
                <w:rFonts w:ascii="Arial" w:cs="Arial" w:eastAsia="Arial" w:hAnsi="Arial"/>
                <w:b/>
                <w:bCs/>
                <w:color w:val="FFFFFF"/>
                <w:sz w:val="18"/>
                <w:szCs w:val="18"/>
              </w:rPr>
              <w:t xml:space="preserve">Tax</w:t>
            </w:r>
          </w:p>
        </w:tc>
        <w:tc>
          <w:tcPr>
            <w:tcW w:type="dxa" w:w="1800"/>
            <w:shd w:fill="022B1E" w:val="clear"/>
          </w:tcPr>
          <w:p>
            <w:pPr>
              <w:spacing w:after="0"/>
            </w:pPr>
            <w:r>
              <w:rPr>
                <w:rFonts w:ascii="Arial" w:cs="Arial" w:eastAsia="Arial" w:hAnsi="Arial"/>
                <w:b/>
                <w:bCs/>
                <w:color w:val="FFFFFF"/>
                <w:sz w:val="18"/>
                <w:szCs w:val="18"/>
              </w:rPr>
              <w:t xml:space="preserve">Ghana</w:t>
            </w:r>
          </w:p>
        </w:tc>
        <w:tc>
          <w:tcPr>
            <w:tcW w:type="dxa" w:w="1800"/>
            <w:shd w:fill="022B1E" w:val="clear"/>
          </w:tcPr>
          <w:p>
            <w:pPr>
              <w:spacing w:after="0"/>
            </w:pPr>
            <w:r>
              <w:rPr>
                <w:rFonts w:ascii="Arial" w:cs="Arial" w:eastAsia="Arial" w:hAnsi="Arial"/>
                <w:b/>
                <w:bCs/>
                <w:color w:val="FFFFFF"/>
                <w:sz w:val="18"/>
                <w:szCs w:val="18"/>
              </w:rPr>
              <w:t xml:space="preserve">Nigeria</w:t>
            </w:r>
          </w:p>
        </w:tc>
        <w:tc>
          <w:tcPr>
            <w:tcW w:type="dxa" w:w="1600"/>
            <w:shd w:fill="022B1E" w:val="clear"/>
          </w:tcPr>
          <w:p>
            <w:pPr>
              <w:spacing w:after="0"/>
            </w:pPr>
            <w:r>
              <w:rPr>
                <w:rFonts w:ascii="Arial" w:cs="Arial" w:eastAsia="Arial" w:hAnsi="Arial"/>
                <w:b/>
                <w:bCs/>
                <w:color w:val="FFFFFF"/>
                <w:sz w:val="18"/>
                <w:szCs w:val="18"/>
              </w:rPr>
              <w:t xml:space="preserve">Kenya</w:t>
            </w:r>
          </w:p>
        </w:tc>
        <w:tc>
          <w:tcPr>
            <w:tcW w:type="dxa" w:w="1960"/>
            <w:shd w:fill="022B1E" w:val="clear"/>
          </w:tcPr>
          <w:p>
            <w:pPr>
              <w:spacing w:after="0"/>
            </w:pPr>
            <w:r>
              <w:rPr>
                <w:rFonts w:ascii="Arial" w:cs="Arial" w:eastAsia="Arial" w:hAnsi="Arial"/>
                <w:b/>
                <w:bCs/>
                <w:color w:val="FFFFFF"/>
                <w:sz w:val="18"/>
                <w:szCs w:val="18"/>
              </w:rPr>
              <w:t xml:space="preserve">USA (Delaware)</w:t>
            </w:r>
          </w:p>
        </w:tc>
      </w:tr>
      <w:tr>
        <w:tc>
          <w:tcPr>
            <w:tcW w:type="dxa" w:w="2200"/>
            <w:shd w:fill="F5F4F0" w:val="clear"/>
          </w:tcPr>
          <w:p>
            <w:pPr>
              <w:spacing w:after="0"/>
            </w:pPr>
            <w:r>
              <w:rPr>
                <w:rFonts w:ascii="Arial" w:cs="Arial" w:eastAsia="Arial" w:hAnsi="Arial"/>
                <w:color w:val="333333"/>
                <w:sz w:val="18"/>
                <w:szCs w:val="18"/>
              </w:rPr>
              <w:t xml:space="preserve">Corporate income tax</w:t>
            </w:r>
          </w:p>
        </w:tc>
        <w:tc>
          <w:tcPr>
            <w:tcW w:type="dxa" w:w="1800"/>
            <w:shd w:fill="F5F4F0" w:val="clear"/>
          </w:tcPr>
          <w:p>
            <w:pPr>
              <w:spacing w:after="0"/>
            </w:pPr>
            <w:r>
              <w:rPr>
                <w:rFonts w:ascii="Arial" w:cs="Arial" w:eastAsia="Arial" w:hAnsi="Arial"/>
                <w:color w:val="333333"/>
                <w:sz w:val="18"/>
                <w:szCs w:val="18"/>
              </w:rPr>
              <w:t xml:space="preserve">25%</w:t>
            </w:r>
          </w:p>
        </w:tc>
        <w:tc>
          <w:tcPr>
            <w:tcW w:type="dxa" w:w="1800"/>
            <w:shd w:fill="F5F4F0" w:val="clear"/>
          </w:tcPr>
          <w:p>
            <w:pPr>
              <w:spacing w:after="0"/>
            </w:pPr>
            <w:r>
              <w:rPr>
                <w:rFonts w:ascii="Arial" w:cs="Arial" w:eastAsia="Arial" w:hAnsi="Arial"/>
                <w:color w:val="333333"/>
                <w:sz w:val="18"/>
                <w:szCs w:val="18"/>
              </w:rPr>
              <w:t xml:space="preserve">30% (0% year 1, 20% years 2-3 for small co.)</w:t>
            </w:r>
          </w:p>
        </w:tc>
        <w:tc>
          <w:tcPr>
            <w:tcW w:type="dxa" w:w="1600"/>
            <w:shd w:fill="F5F4F0" w:val="clear"/>
          </w:tcPr>
          <w:p>
            <w:pPr>
              <w:spacing w:after="0"/>
            </w:pPr>
            <w:r>
              <w:rPr>
                <w:rFonts w:ascii="Arial" w:cs="Arial" w:eastAsia="Arial" w:hAnsi="Arial"/>
                <w:color w:val="333333"/>
                <w:sz w:val="18"/>
                <w:szCs w:val="18"/>
              </w:rPr>
              <w:t xml:space="preserve">30%</w:t>
            </w:r>
          </w:p>
        </w:tc>
        <w:tc>
          <w:tcPr>
            <w:tcW w:type="dxa" w:w="1960"/>
            <w:shd w:fill="F5F4F0" w:val="clear"/>
          </w:tcPr>
          <w:p>
            <w:pPr>
              <w:spacing w:after="0"/>
            </w:pPr>
            <w:r>
              <w:rPr>
                <w:rFonts w:ascii="Arial" w:cs="Arial" w:eastAsia="Arial" w:hAnsi="Arial"/>
                <w:color w:val="333333"/>
                <w:sz w:val="18"/>
                <w:szCs w:val="18"/>
              </w:rPr>
              <w:t xml:space="preserve">No Delaware state tax; US federal if applicable</w:t>
            </w:r>
          </w:p>
        </w:tc>
      </w:tr>
      <w:tr>
        <w:tc>
          <w:tcPr>
            <w:tcW w:type="dxa" w:w="2200"/>
            <w:shd w:fill="FFFFFF" w:val="clear"/>
          </w:tcPr>
          <w:p>
            <w:pPr>
              <w:spacing w:after="0"/>
            </w:pPr>
            <w:r>
              <w:rPr>
                <w:rFonts w:ascii="Arial" w:cs="Arial" w:eastAsia="Arial" w:hAnsi="Arial"/>
                <w:color w:val="333333"/>
                <w:sz w:val="18"/>
                <w:szCs w:val="18"/>
              </w:rPr>
              <w:t xml:space="preserve">VAT/GST</w:t>
            </w:r>
          </w:p>
        </w:tc>
        <w:tc>
          <w:tcPr>
            <w:tcW w:type="dxa" w:w="1800"/>
            <w:shd w:fill="FFFFFF" w:val="clear"/>
          </w:tcPr>
          <w:p>
            <w:pPr>
              <w:spacing w:after="0"/>
            </w:pPr>
            <w:r>
              <w:rPr>
                <w:rFonts w:ascii="Arial" w:cs="Arial" w:eastAsia="Arial" w:hAnsi="Arial"/>
                <w:color w:val="333333"/>
                <w:sz w:val="18"/>
                <w:szCs w:val="18"/>
              </w:rPr>
              <w:t xml:space="preserve">15% (if turnover &gt;GHS 200K)</w:t>
            </w:r>
          </w:p>
        </w:tc>
        <w:tc>
          <w:tcPr>
            <w:tcW w:type="dxa" w:w="1800"/>
            <w:shd w:fill="FFFFFF" w:val="clear"/>
          </w:tcPr>
          <w:p>
            <w:pPr>
              <w:spacing w:after="0"/>
            </w:pPr>
            <w:r>
              <w:rPr>
                <w:rFonts w:ascii="Arial" w:cs="Arial" w:eastAsia="Arial" w:hAnsi="Arial"/>
                <w:color w:val="333333"/>
                <w:sz w:val="18"/>
                <w:szCs w:val="18"/>
              </w:rPr>
              <w:t xml:space="preserve">7.5%</w:t>
            </w:r>
          </w:p>
        </w:tc>
        <w:tc>
          <w:tcPr>
            <w:tcW w:type="dxa" w:w="1600"/>
            <w:shd w:fill="FFFFFF" w:val="clear"/>
          </w:tcPr>
          <w:p>
            <w:pPr>
              <w:spacing w:after="0"/>
            </w:pPr>
            <w:r>
              <w:rPr>
                <w:rFonts w:ascii="Arial" w:cs="Arial" w:eastAsia="Arial" w:hAnsi="Arial"/>
                <w:color w:val="333333"/>
                <w:sz w:val="18"/>
                <w:szCs w:val="18"/>
              </w:rPr>
              <w:t xml:space="preserve">16%</w:t>
            </w:r>
          </w:p>
        </w:tc>
        <w:tc>
          <w:tcPr>
            <w:tcW w:type="dxa" w:w="1960"/>
            <w:shd w:fill="FFFFFF" w:val="clear"/>
          </w:tcPr>
          <w:p>
            <w:pPr>
              <w:spacing w:after="0"/>
            </w:pPr>
            <w:r>
              <w:rPr>
                <w:rFonts w:ascii="Arial" w:cs="Arial" w:eastAsia="Arial" w:hAnsi="Arial"/>
                <w:color w:val="333333"/>
                <w:sz w:val="18"/>
                <w:szCs w:val="18"/>
              </w:rPr>
              <w:t xml:space="preserve">No federal VAT; state sales tax varies</w:t>
            </w:r>
          </w:p>
        </w:tc>
      </w:tr>
      <w:tr>
        <w:tc>
          <w:tcPr>
            <w:tcW w:type="dxa" w:w="2200"/>
            <w:shd w:fill="F5F4F0" w:val="clear"/>
          </w:tcPr>
          <w:p>
            <w:pPr>
              <w:spacing w:after="0"/>
            </w:pPr>
            <w:r>
              <w:rPr>
                <w:rFonts w:ascii="Arial" w:cs="Arial" w:eastAsia="Arial" w:hAnsi="Arial"/>
                <w:color w:val="333333"/>
                <w:sz w:val="18"/>
                <w:szCs w:val="18"/>
              </w:rPr>
              <w:t xml:space="preserve">Withholding on contractors</w:t>
            </w:r>
          </w:p>
        </w:tc>
        <w:tc>
          <w:tcPr>
            <w:tcW w:type="dxa" w:w="1800"/>
            <w:shd w:fill="F5F4F0" w:val="clear"/>
          </w:tcPr>
          <w:p>
            <w:pPr>
              <w:spacing w:after="0"/>
            </w:pPr>
            <w:r>
              <w:rPr>
                <w:rFonts w:ascii="Arial" w:cs="Arial" w:eastAsia="Arial" w:hAnsi="Arial"/>
                <w:color w:val="333333"/>
                <w:sz w:val="18"/>
                <w:szCs w:val="18"/>
              </w:rPr>
              <w:t xml:space="preserve">5% on service payments</w:t>
            </w:r>
          </w:p>
        </w:tc>
        <w:tc>
          <w:tcPr>
            <w:tcW w:type="dxa" w:w="1800"/>
            <w:shd w:fill="F5F4F0" w:val="clear"/>
          </w:tcPr>
          <w:p>
            <w:pPr>
              <w:spacing w:after="0"/>
            </w:pPr>
            <w:r>
              <w:rPr>
                <w:rFonts w:ascii="Arial" w:cs="Arial" w:eastAsia="Arial" w:hAnsi="Arial"/>
                <w:color w:val="333333"/>
                <w:sz w:val="18"/>
                <w:szCs w:val="18"/>
              </w:rPr>
              <w:t xml:space="preserve">10% on payments to contractors</w:t>
            </w:r>
          </w:p>
        </w:tc>
        <w:tc>
          <w:tcPr>
            <w:tcW w:type="dxa" w:w="1600"/>
            <w:shd w:fill="F5F4F0" w:val="clear"/>
          </w:tcPr>
          <w:p>
            <w:pPr>
              <w:spacing w:after="0"/>
            </w:pPr>
            <w:r>
              <w:rPr>
                <w:rFonts w:ascii="Arial" w:cs="Arial" w:eastAsia="Arial" w:hAnsi="Arial"/>
                <w:color w:val="333333"/>
                <w:sz w:val="18"/>
                <w:szCs w:val="18"/>
              </w:rPr>
              <w:t xml:space="preserve">5% on payments to residents</w:t>
            </w:r>
          </w:p>
        </w:tc>
        <w:tc>
          <w:tcPr>
            <w:tcW w:type="dxa" w:w="1960"/>
            <w:shd w:fill="F5F4F0" w:val="clear"/>
          </w:tcPr>
          <w:p>
            <w:pPr>
              <w:spacing w:after="0"/>
            </w:pPr>
            <w:r>
              <w:rPr>
                <w:rFonts w:ascii="Arial" w:cs="Arial" w:eastAsia="Arial" w:hAnsi="Arial"/>
                <w:color w:val="333333"/>
                <w:sz w:val="18"/>
                <w:szCs w:val="18"/>
              </w:rPr>
              <w:t xml:space="preserve">1099 reporting if US-based contractors</w:t>
            </w:r>
          </w:p>
        </w:tc>
      </w:tr>
      <w:tr>
        <w:tc>
          <w:tcPr>
            <w:tcW w:type="dxa" w:w="2200"/>
            <w:shd w:fill="FFFFFF" w:val="clear"/>
          </w:tcPr>
          <w:p>
            <w:pPr>
              <w:spacing w:after="0"/>
            </w:pPr>
            <w:r>
              <w:rPr>
                <w:rFonts w:ascii="Arial" w:cs="Arial" w:eastAsia="Arial" w:hAnsi="Arial"/>
                <w:color w:val="333333"/>
                <w:sz w:val="18"/>
                <w:szCs w:val="18"/>
              </w:rPr>
              <w:t xml:space="preserve">Digital services tax</w:t>
            </w:r>
          </w:p>
        </w:tc>
        <w:tc>
          <w:tcPr>
            <w:tcW w:type="dxa" w:w="1800"/>
            <w:shd w:fill="FFFFFF" w:val="clear"/>
          </w:tcPr>
          <w:p>
            <w:pPr>
              <w:spacing w:after="0"/>
            </w:pPr>
            <w:r>
              <w:rPr>
                <w:rFonts w:ascii="Arial" w:cs="Arial" w:eastAsia="Arial" w:hAnsi="Arial"/>
                <w:color w:val="333333"/>
                <w:sz w:val="18"/>
                <w:szCs w:val="18"/>
              </w:rPr>
              <w:t xml:space="preserve">Under consideration</w:t>
            </w:r>
          </w:p>
        </w:tc>
        <w:tc>
          <w:tcPr>
            <w:tcW w:type="dxa" w:w="1800"/>
            <w:shd w:fill="FFFFFF" w:val="clear"/>
          </w:tcPr>
          <w:p>
            <w:pPr>
              <w:spacing w:after="0"/>
            </w:pPr>
            <w:r>
              <w:rPr>
                <w:rFonts w:ascii="Arial" w:cs="Arial" w:eastAsia="Arial" w:hAnsi="Arial"/>
                <w:color w:val="333333"/>
                <w:sz w:val="18"/>
                <w:szCs w:val="18"/>
              </w:rPr>
              <w:t xml:space="preserve">Significant Economic Presence Tax</w:t>
            </w:r>
          </w:p>
        </w:tc>
        <w:tc>
          <w:tcPr>
            <w:tcW w:type="dxa" w:w="1600"/>
            <w:shd w:fill="FFFFFF" w:val="clear"/>
          </w:tcPr>
          <w:p>
            <w:pPr>
              <w:spacing w:after="0"/>
            </w:pPr>
            <w:r>
              <w:rPr>
                <w:rFonts w:ascii="Arial" w:cs="Arial" w:eastAsia="Arial" w:hAnsi="Arial"/>
                <w:color w:val="333333"/>
                <w:sz w:val="18"/>
                <w:szCs w:val="18"/>
              </w:rPr>
              <w:t xml:space="preserve">1.5% DST (being reviewed)</w:t>
            </w:r>
          </w:p>
        </w:tc>
        <w:tc>
          <w:tcPr>
            <w:tcW w:type="dxa" w:w="1960"/>
            <w:shd w:fill="FFFFFF" w:val="clear"/>
          </w:tcPr>
          <w:p>
            <w:pPr>
              <w:spacing w:after="0"/>
            </w:pPr>
            <w:r>
              <w:rPr>
                <w:rFonts w:ascii="Arial" w:cs="Arial" w:eastAsia="Arial" w:hAnsi="Arial"/>
                <w:color w:val="333333"/>
                <w:sz w:val="18"/>
                <w:szCs w:val="18"/>
              </w:rPr>
              <w:t xml:space="preserve">N/A</w:t>
            </w:r>
          </w:p>
        </w:tc>
      </w:tr>
      <w:tr>
        <w:tc>
          <w:tcPr>
            <w:tcW w:type="dxa" w:w="2200"/>
            <w:shd w:fill="F5F4F0" w:val="clear"/>
          </w:tcPr>
          <w:p>
            <w:pPr>
              <w:spacing w:after="0"/>
            </w:pPr>
            <w:r>
              <w:rPr>
                <w:rFonts w:ascii="Arial" w:cs="Arial" w:eastAsia="Arial" w:hAnsi="Arial"/>
                <w:color w:val="333333"/>
                <w:sz w:val="18"/>
                <w:szCs w:val="18"/>
              </w:rPr>
              <w:t xml:space="preserve">Inspector tax responsibility</w:t>
            </w:r>
          </w:p>
        </w:tc>
        <w:tc>
          <w:tcPr>
            <w:tcW w:type="dxa" w:w="1800"/>
            <w:shd w:fill="F5F4F0" w:val="clear"/>
          </w:tcPr>
          <w:p>
            <w:pPr>
              <w:spacing w:after="0"/>
            </w:pPr>
            <w:r>
              <w:rPr>
                <w:rFonts w:ascii="Arial" w:cs="Arial" w:eastAsia="Arial" w:hAnsi="Arial"/>
                <w:color w:val="333333"/>
                <w:sz w:val="18"/>
                <w:szCs w:val="18"/>
              </w:rPr>
              <w:t xml:space="preserve">Inspector files own returns</w:t>
            </w:r>
          </w:p>
        </w:tc>
        <w:tc>
          <w:tcPr>
            <w:tcW w:type="dxa" w:w="1800"/>
            <w:shd w:fill="F5F4F0" w:val="clear"/>
          </w:tcPr>
          <w:p>
            <w:pPr>
              <w:spacing w:after="0"/>
            </w:pPr>
            <w:r>
              <w:rPr>
                <w:rFonts w:ascii="Arial" w:cs="Arial" w:eastAsia="Arial" w:hAnsi="Arial"/>
                <w:color w:val="333333"/>
                <w:sz w:val="18"/>
                <w:szCs w:val="18"/>
              </w:rPr>
              <w:t xml:space="preserve">Inspector files own returns</w:t>
            </w:r>
          </w:p>
        </w:tc>
        <w:tc>
          <w:tcPr>
            <w:tcW w:type="dxa" w:w="1600"/>
            <w:shd w:fill="F5F4F0" w:val="clear"/>
          </w:tcPr>
          <w:p>
            <w:pPr>
              <w:spacing w:after="0"/>
            </w:pPr>
            <w:r>
              <w:rPr>
                <w:rFonts w:ascii="Arial" w:cs="Arial" w:eastAsia="Arial" w:hAnsi="Arial"/>
                <w:color w:val="333333"/>
                <w:sz w:val="18"/>
                <w:szCs w:val="18"/>
              </w:rPr>
              <w:t xml:space="preserve">Inspector files own returns</w:t>
            </w:r>
          </w:p>
        </w:tc>
        <w:tc>
          <w:tcPr>
            <w:tcW w:type="dxa" w:w="1960"/>
            <w:shd w:fill="F5F4F0" w:val="clear"/>
          </w:tcPr>
          <w:p>
            <w:pPr>
              <w:spacing w:after="0"/>
            </w:pPr>
            <w:r>
              <w:rPr>
                <w:rFonts w:ascii="Arial" w:cs="Arial" w:eastAsia="Arial" w:hAnsi="Arial"/>
                <w:color w:val="333333"/>
                <w:sz w:val="18"/>
                <w:szCs w:val="18"/>
              </w:rPr>
              <w:t xml:space="preserve">N/A (inspectors are African-based)</w:t>
            </w:r>
          </w:p>
        </w:tc>
      </w:tr>
    </w:tbl>
    <w:p>
      <w:pPr>
        <w:spacing w:after="0"/>
      </w:pPr>
    </w:p>
    <w:p>
      <w:pPr>
        <w:spacing w:after="120" w:before="200"/>
      </w:pPr>
      <w:r>
        <w:rPr>
          <w:rFonts w:ascii="Arial" w:cs="Arial" w:eastAsia="Arial" w:hAnsi="Arial"/>
          <w:b/>
          <w:bCs/>
          <w:color w:val="4A4A47"/>
          <w:sz w:val="22"/>
          <w:szCs w:val="22"/>
        </w:rPr>
        <w:t xml:space="preserve">VAT Implications</w:t>
      </w:r>
    </w:p>
    <w:p>
      <w:pPr>
        <w:pStyle w:val="ListParagraph"/>
        <w:numPr>
          <w:ilvl w:val="0"/>
          <w:numId w:val="2"/>
        </w:numPr>
        <w:spacing w:after="80" w:line="276"/>
      </w:pPr>
      <w:r>
        <w:rPr>
          <w:rFonts w:ascii="Arial" w:cs="Arial" w:eastAsia="Arial" w:hAnsi="Arial"/>
          <w:color w:val="333333"/>
          <w:sz w:val="20"/>
          <w:szCs w:val="20"/>
        </w:rPr>
        <w:t xml:space="preserve">Ghana: VAT registration required when annual turnover exceeds GHS 200,000. At V2 volume (~$18,000/month revenue = ~GHS 230,000+/month), VAT registration is triggered.</w:t>
      </w:r>
    </w:p>
    <w:p>
      <w:pPr>
        <w:pStyle w:val="ListParagraph"/>
        <w:numPr>
          <w:ilvl w:val="0"/>
          <w:numId w:val="2"/>
        </w:numPr>
        <w:spacing w:after="80" w:line="276"/>
      </w:pPr>
      <w:r>
        <w:rPr>
          <w:rFonts w:ascii="Arial" w:cs="Arial" w:eastAsia="Arial" w:hAnsi="Arial"/>
          <w:color w:val="333333"/>
          <w:sz w:val="20"/>
          <w:szCs w:val="20"/>
        </w:rPr>
        <w:t xml:space="preserve">VAT applies to the platform fee (18% of task value), not the full task value. On an $80 task, VAT would apply to the $14.40 platform fee, not the full $80.</w:t>
      </w:r>
    </w:p>
    <w:p>
      <w:pPr>
        <w:pStyle w:val="ListParagraph"/>
        <w:numPr>
          <w:ilvl w:val="0"/>
          <w:numId w:val="2"/>
        </w:numPr>
        <w:spacing w:after="80" w:line="276"/>
      </w:pPr>
      <w:r>
        <w:rPr>
          <w:rFonts w:ascii="Arial" w:cs="Arial" w:eastAsia="Arial" w:hAnsi="Arial"/>
          <w:color w:val="333333"/>
          <w:sz w:val="20"/>
          <w:szCs w:val="20"/>
        </w:rPr>
        <w:t xml:space="preserve">VAT collection and remittance adds administrative complexity. Consider engaging a tax agent in each jurisdiction.</w:t>
      </w:r>
    </w:p>
    <w:p>
      <w:pPr>
        <w:spacing w:after="0"/>
      </w:pPr>
    </w:p>
    <w:p>
      <w:pPr>
        <w:spacing w:after="120" w:before="200"/>
      </w:pPr>
      <w:r>
        <w:rPr>
          <w:rFonts w:ascii="Arial" w:cs="Arial" w:eastAsia="Arial" w:hAnsi="Arial"/>
          <w:b/>
          <w:bCs/>
          <w:color w:val="4A4A47"/>
          <w:sz w:val="22"/>
          <w:szCs w:val="22"/>
        </w:rPr>
        <w:t xml:space="preserve">Inspector Withholding Tax</w:t>
      </w:r>
    </w:p>
    <w:p>
      <w:pPr>
        <w:pStyle w:val="ListParagraph"/>
        <w:numPr>
          <w:ilvl w:val="0"/>
          <w:numId w:val="2"/>
        </w:numPr>
        <w:spacing w:after="80" w:line="276"/>
      </w:pPr>
      <w:r>
        <w:rPr>
          <w:rFonts w:ascii="Arial" w:cs="Arial" w:eastAsia="Arial" w:hAnsi="Arial"/>
          <w:color w:val="333333"/>
          <w:sz w:val="20"/>
          <w:szCs w:val="20"/>
        </w:rPr>
        <w:t xml:space="preserve">Ghana: 5% withholding tax on service payments to independent contractors. EyeOnSite may be required to withhold and remit 5% of inspector payouts to the GRA.</w:t>
      </w:r>
    </w:p>
    <w:p>
      <w:pPr>
        <w:pStyle w:val="ListParagraph"/>
        <w:numPr>
          <w:ilvl w:val="0"/>
          <w:numId w:val="2"/>
        </w:numPr>
        <w:spacing w:after="80" w:line="276"/>
      </w:pPr>
      <w:r>
        <w:rPr>
          <w:rFonts w:ascii="Arial" w:cs="Arial" w:eastAsia="Arial" w:hAnsi="Arial"/>
          <w:color w:val="333333"/>
          <w:sz w:val="20"/>
          <w:szCs w:val="20"/>
        </w:rPr>
        <w:t xml:space="preserve">This reduces inspector take-home from $62.23 to approximately $59.12 per Standard task ($80). Inspectors can offset this against their annual tax liability.</w:t>
      </w:r>
    </w:p>
    <w:p>
      <w:pPr>
        <w:pStyle w:val="ListParagraph"/>
        <w:numPr>
          <w:ilvl w:val="0"/>
          <w:numId w:val="2"/>
        </w:numPr>
        <w:spacing w:after="80" w:line="276"/>
      </w:pPr>
      <w:r>
        <w:rPr>
          <w:rFonts w:ascii="Arial" w:cs="Arial" w:eastAsia="Arial" w:hAnsi="Arial"/>
          <w:color w:val="333333"/>
          <w:sz w:val="20"/>
          <w:szCs w:val="20"/>
        </w:rPr>
        <w:t xml:space="preserve">Administrative burden: requires EyeOnSite to issue withholding tax certificates to inspectors and file remittances with GRA.</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ACTION REQUIRED: Engage a Ghanaian tax advisor to confirm VAT registration thresholds, withholding tax obligations on inspector payouts, and transfer pricing requirements for the Manti Labs LLC-to-EyeOnSite Ltd inter-company arrangement. Budget: $1,000-2,000.</w:t>
      </w:r>
    </w:p>
    <w:p>
      <w:pPr>
        <w:pStyle w:val="Heading1"/>
        <w:spacing w:after="200" w:before="400"/>
      </w:pPr>
      <w:r>
        <w:rPr>
          <w:rFonts w:ascii="Arial" w:cs="Arial" w:eastAsia="Arial" w:hAnsi="Arial"/>
          <w:b/>
          <w:bCs/>
          <w:color w:val="022B1E"/>
          <w:sz w:val="28"/>
          <w:szCs w:val="28"/>
        </w:rPr>
        <w:t xml:space="preserve">8. Sector-Specific Regulations</w:t>
      </w:r>
    </w:p>
    <w:p>
      <w:pPr>
        <w:spacing w:after="0"/>
      </w:pPr>
    </w:p>
    <w:p>
      <w:pPr>
        <w:pStyle w:val="Heading2"/>
        <w:spacing w:after="160" w:before="300"/>
      </w:pPr>
      <w:r>
        <w:rPr>
          <w:rFonts w:ascii="Arial" w:cs="Arial" w:eastAsia="Arial" w:hAnsi="Arial"/>
          <w:b/>
          <w:bCs/>
          <w:color w:val="0B6E4F"/>
          <w:sz w:val="24"/>
          <w:szCs w:val="24"/>
        </w:rPr>
        <w:t xml:space="preserve">8.1 Property and Construction Verification</w:t>
      </w:r>
    </w:p>
    <w:p>
      <w:pPr>
        <w:pStyle w:val="ListParagraph"/>
        <w:numPr>
          <w:ilvl w:val="0"/>
          <w:numId w:val="2"/>
        </w:numPr>
        <w:spacing w:after="80" w:line="276"/>
      </w:pPr>
      <w:r>
        <w:rPr>
          <w:rFonts w:ascii="Arial" w:cs="Arial" w:eastAsia="Arial" w:hAnsi="Arial"/>
          <w:color w:val="333333"/>
          <w:sz w:val="20"/>
          <w:szCs w:val="20"/>
        </w:rPr>
        <w:t xml:space="preserve">Ghana does not require a license to conduct informal property inspections, visual site visits, or progress photography.</w:t>
      </w:r>
    </w:p>
    <w:p>
      <w:pPr>
        <w:pStyle w:val="ListParagraph"/>
        <w:numPr>
          <w:ilvl w:val="0"/>
          <w:numId w:val="2"/>
        </w:numPr>
        <w:spacing w:after="80" w:line="276"/>
      </w:pPr>
      <w:r>
        <w:rPr>
          <w:rFonts w:ascii="Arial" w:cs="Arial" w:eastAsia="Arial" w:hAnsi="Arial"/>
          <w:color w:val="333333"/>
          <w:sz w:val="20"/>
          <w:szCs w:val="20"/>
        </w:rPr>
        <w:t xml:space="preserve">Professional structural assessments, property valuations, and engineering surveys require licensed professionals (Ghana Institution of Engineers, Ghana Institution of Surveyors).</w:t>
      </w:r>
    </w:p>
    <w:p>
      <w:pPr>
        <w:pStyle w:val="ListParagraph"/>
        <w:numPr>
          <w:ilvl w:val="0"/>
          <w:numId w:val="2"/>
        </w:numPr>
        <w:spacing w:after="80" w:line="276"/>
      </w:pPr>
      <w:r>
        <w:rPr>
          <w:rFonts w:ascii="Arial" w:cs="Arial" w:eastAsia="Arial" w:hAnsi="Arial"/>
          <w:color w:val="333333"/>
          <w:sz w:val="20"/>
          <w:szCs w:val="20"/>
        </w:rPr>
        <w:t xml:space="preserve">EyeOnSite explicitly does NOT provide professional assessments — this distinction must be maintained in all marketing, UI, and documentation.</w:t>
      </w:r>
    </w:p>
    <w:p>
      <w:pPr>
        <w:pStyle w:val="ListParagraph"/>
        <w:numPr>
          <w:ilvl w:val="0"/>
          <w:numId w:val="2"/>
        </w:numPr>
        <w:spacing w:after="80" w:line="276"/>
      </w:pPr>
      <w:r>
        <w:rPr>
          <w:rFonts w:ascii="Arial" w:cs="Arial" w:eastAsia="Arial" w:hAnsi="Arial"/>
          <w:color w:val="333333"/>
          <w:sz w:val="20"/>
          <w:szCs w:val="20"/>
        </w:rPr>
        <w:t xml:space="preserve">If expanding into formal property valuation (V4+), partnership with licensed surveyors would be required rather than in-house capability.</w:t>
      </w:r>
    </w:p>
    <w:p>
      <w:pPr>
        <w:spacing w:after="0"/>
      </w:pPr>
    </w:p>
    <w:p>
      <w:pPr>
        <w:pStyle w:val="Heading2"/>
        <w:spacing w:after="160" w:before="300"/>
      </w:pPr>
      <w:r>
        <w:rPr>
          <w:rFonts w:ascii="Arial" w:cs="Arial" w:eastAsia="Arial" w:hAnsi="Arial"/>
          <w:b/>
          <w:bCs/>
          <w:color w:val="0B6E4F"/>
          <w:sz w:val="24"/>
          <w:szCs w:val="24"/>
        </w:rPr>
        <w:t xml:space="preserve">8.2 Insurance Assessment (V3+)</w:t>
      </w:r>
    </w:p>
    <w:p>
      <w:pPr>
        <w:pStyle w:val="ListParagraph"/>
        <w:numPr>
          <w:ilvl w:val="0"/>
          <w:numId w:val="2"/>
        </w:numPr>
        <w:spacing w:after="80" w:line="276"/>
      </w:pPr>
      <w:r>
        <w:rPr>
          <w:rFonts w:ascii="Arial" w:cs="Arial" w:eastAsia="Arial" w:hAnsi="Arial"/>
          <w:color w:val="333333"/>
          <w:sz w:val="20"/>
          <w:szCs w:val="20"/>
        </w:rPr>
        <w:t xml:space="preserve">If EyeOnSite provides inspection services to insurance companies, National Insurance Commission (NIC) regulations may apply.</w:t>
      </w:r>
    </w:p>
    <w:p>
      <w:pPr>
        <w:pStyle w:val="ListParagraph"/>
        <w:numPr>
          <w:ilvl w:val="0"/>
          <w:numId w:val="2"/>
        </w:numPr>
        <w:spacing w:after="80" w:line="276"/>
      </w:pPr>
      <w:r>
        <w:rPr>
          <w:rFonts w:ascii="Arial" w:cs="Arial" w:eastAsia="Arial" w:hAnsi="Arial"/>
          <w:color w:val="333333"/>
          <w:sz w:val="20"/>
          <w:szCs w:val="20"/>
        </w:rPr>
        <w:t xml:space="preserve">Insurance loss adjusters and assessors in Ghana must be licensed by the NIC under the Insurance Act 2021 (Act 1061).</w:t>
      </w:r>
    </w:p>
    <w:p>
      <w:pPr>
        <w:pStyle w:val="ListParagraph"/>
        <w:numPr>
          <w:ilvl w:val="0"/>
          <w:numId w:val="2"/>
        </w:numPr>
        <w:spacing w:after="80" w:line="276"/>
      </w:pPr>
      <w:r>
        <w:rPr>
          <w:rFonts w:ascii="Arial" w:cs="Arial" w:eastAsia="Arial" w:hAnsi="Arial"/>
          <w:color w:val="333333"/>
          <w:sz w:val="20"/>
          <w:szCs w:val="20"/>
        </w:rPr>
        <w:t xml:space="preserve">EyeOnSite would not be acting as a loss adjuster — we provide photographic evidence, not loss assessment. But the line is fine and requires legal clarity before entering the insurance vertical.</w:t>
      </w:r>
    </w:p>
    <w:p>
      <w:pPr>
        <w:spacing w:after="0"/>
      </w:pPr>
    </w:p>
    <w:p>
      <w:pPr>
        <w:pStyle w:val="Heading2"/>
        <w:spacing w:after="160" w:before="300"/>
      </w:pPr>
      <w:r>
        <w:rPr>
          <w:rFonts w:ascii="Arial" w:cs="Arial" w:eastAsia="Arial" w:hAnsi="Arial"/>
          <w:b/>
          <w:bCs/>
          <w:color w:val="0B6E4F"/>
          <w:sz w:val="24"/>
          <w:szCs w:val="24"/>
        </w:rPr>
        <w:t xml:space="preserve">8.3 Drone/Aerial Imagery (V4+)</w:t>
      </w:r>
    </w:p>
    <w:p>
      <w:pPr>
        <w:pStyle w:val="ListParagraph"/>
        <w:numPr>
          <w:ilvl w:val="0"/>
          <w:numId w:val="2"/>
        </w:numPr>
        <w:spacing w:after="80" w:line="276"/>
      </w:pPr>
      <w:r>
        <w:rPr>
          <w:rFonts w:ascii="Arial" w:cs="Arial" w:eastAsia="Arial" w:hAnsi="Arial"/>
          <w:color w:val="333333"/>
          <w:sz w:val="20"/>
          <w:szCs w:val="20"/>
        </w:rPr>
        <w:t xml:space="preserve">Ghana Civil Aviation Authority (GCAA) regulates drone operations.</w:t>
      </w:r>
    </w:p>
    <w:p>
      <w:pPr>
        <w:pStyle w:val="ListParagraph"/>
        <w:numPr>
          <w:ilvl w:val="0"/>
          <w:numId w:val="2"/>
        </w:numPr>
        <w:spacing w:after="80" w:line="276"/>
      </w:pPr>
      <w:r>
        <w:rPr>
          <w:rFonts w:ascii="Arial" w:cs="Arial" w:eastAsia="Arial" w:hAnsi="Arial"/>
          <w:color w:val="333333"/>
          <w:sz w:val="20"/>
          <w:szCs w:val="20"/>
        </w:rPr>
        <w:t xml:space="preserve">Commercial drone operators require a Remotely Piloted Aircraft System (RPAS) operator certificate.</w:t>
      </w:r>
    </w:p>
    <w:p>
      <w:pPr>
        <w:pStyle w:val="ListParagraph"/>
        <w:numPr>
          <w:ilvl w:val="0"/>
          <w:numId w:val="2"/>
        </w:numPr>
        <w:spacing w:after="80" w:line="276"/>
      </w:pPr>
      <w:r>
        <w:rPr>
          <w:rFonts w:ascii="Arial" w:cs="Arial" w:eastAsia="Arial" w:hAnsi="Arial"/>
          <w:color w:val="333333"/>
          <w:sz w:val="20"/>
          <w:szCs w:val="20"/>
        </w:rPr>
        <w:t xml:space="preserve">Weight restrictions, altitude limits, and no-fly zones (near airports, military installations) apply.</w:t>
      </w:r>
    </w:p>
    <w:p>
      <w:pPr>
        <w:pStyle w:val="ListParagraph"/>
        <w:numPr>
          <w:ilvl w:val="0"/>
          <w:numId w:val="2"/>
        </w:numPr>
        <w:spacing w:after="80" w:line="276"/>
      </w:pPr>
      <w:r>
        <w:rPr>
          <w:rFonts w:ascii="Arial" w:cs="Arial" w:eastAsia="Arial" w:hAnsi="Arial"/>
          <w:color w:val="333333"/>
          <w:sz w:val="20"/>
          <w:szCs w:val="20"/>
        </w:rPr>
        <w:t xml:space="preserve">Not relevant for V1-V3 (all inspections are ground-based smartphone photography), but must be addressed if aerial evidence capture is added.</w:t>
      </w:r>
    </w:p>
    <w:p>
      <w:pPr>
        <w:spacing w:after="0"/>
      </w:pPr>
    </w:p>
    <w:p>
      <w:pPr>
        <w:pStyle w:val="Heading2"/>
        <w:spacing w:after="160" w:before="300"/>
      </w:pPr>
      <w:r>
        <w:rPr>
          <w:rFonts w:ascii="Arial" w:cs="Arial" w:eastAsia="Arial" w:hAnsi="Arial"/>
          <w:b/>
          <w:bCs/>
          <w:color w:val="0B6E4F"/>
          <w:sz w:val="24"/>
          <w:szCs w:val="24"/>
        </w:rPr>
        <w:t xml:space="preserve">8.4 Cybersecurity — Ghana Cybersecurity Act 2020 (Act 1038)</w:t>
      </w:r>
    </w:p>
    <w:p>
      <w:pPr>
        <w:pStyle w:val="ListParagraph"/>
        <w:numPr>
          <w:ilvl w:val="0"/>
          <w:numId w:val="2"/>
        </w:numPr>
        <w:spacing w:after="80" w:line="276"/>
      </w:pPr>
      <w:r>
        <w:rPr>
          <w:rFonts w:ascii="Arial" w:cs="Arial" w:eastAsia="Arial" w:hAnsi="Arial"/>
          <w:color w:val="333333"/>
          <w:sz w:val="20"/>
          <w:szCs w:val="20"/>
        </w:rPr>
        <w:t xml:space="preserve">Establishes the Cyber Security Authority (CSA) to regulate cybersecurity in Ghana.</w:t>
      </w:r>
    </w:p>
    <w:p>
      <w:pPr>
        <w:pStyle w:val="ListParagraph"/>
        <w:numPr>
          <w:ilvl w:val="0"/>
          <w:numId w:val="2"/>
        </w:numPr>
        <w:spacing w:after="80" w:line="276"/>
      </w:pPr>
      <w:r>
        <w:rPr>
          <w:rFonts w:ascii="Arial" w:cs="Arial" w:eastAsia="Arial" w:hAnsi="Arial"/>
          <w:color w:val="333333"/>
          <w:sz w:val="20"/>
          <w:szCs w:val="20"/>
        </w:rPr>
        <w:t xml:space="preserve">Requires 'critical information infrastructure' operators to implement cybersecurity measures.</w:t>
      </w:r>
    </w:p>
    <w:p>
      <w:pPr>
        <w:pStyle w:val="ListParagraph"/>
        <w:numPr>
          <w:ilvl w:val="0"/>
          <w:numId w:val="2"/>
        </w:numPr>
        <w:spacing w:after="80" w:line="276"/>
      </w:pPr>
      <w:r>
        <w:rPr>
          <w:rFonts w:ascii="Arial" w:cs="Arial" w:eastAsia="Arial" w:hAnsi="Arial"/>
          <w:color w:val="333333"/>
          <w:sz w:val="20"/>
          <w:szCs w:val="20"/>
        </w:rPr>
        <w:t xml:space="preserve">EyeOnSite may not qualify as critical infrastructure at V1 scale, but data security obligations apply to all entities processing personal data.</w:t>
      </w:r>
    </w:p>
    <w:p>
      <w:pPr>
        <w:pStyle w:val="ListParagraph"/>
        <w:numPr>
          <w:ilvl w:val="0"/>
          <w:numId w:val="2"/>
        </w:numPr>
        <w:spacing w:after="80" w:line="276"/>
      </w:pPr>
      <w:r>
        <w:rPr>
          <w:rFonts w:ascii="Arial" w:cs="Arial" w:eastAsia="Arial" w:hAnsi="Arial"/>
          <w:color w:val="333333"/>
          <w:sz w:val="20"/>
          <w:szCs w:val="20"/>
        </w:rPr>
        <w:t xml:space="preserve">Practical: our Google Cloud/Firebase infrastructure is SOC 2 and ISO 27001 certified, which satisfies most cybersecurity requirements.</w:t>
      </w:r>
    </w:p>
    <w:p>
      <w:pPr>
        <w:pStyle w:val="Heading1"/>
        <w:spacing w:after="200" w:before="400"/>
      </w:pPr>
      <w:r>
        <w:rPr>
          <w:rFonts w:ascii="Arial" w:cs="Arial" w:eastAsia="Arial" w:hAnsi="Arial"/>
          <w:b/>
          <w:bCs/>
          <w:color w:val="022B1E"/>
          <w:sz w:val="28"/>
          <w:szCs w:val="28"/>
        </w:rPr>
        <w:t xml:space="preserve">9. Compliance Action Plan</w:t>
      </w:r>
    </w:p>
    <w:p>
      <w:pPr>
        <w:spacing w:after="0"/>
      </w:pPr>
    </w:p>
    <w:p>
      <w:pPr>
        <w:pStyle w:val="Heading2"/>
        <w:spacing w:after="160" w:before="300"/>
      </w:pPr>
      <w:r>
        <w:rPr>
          <w:rFonts w:ascii="Arial" w:cs="Arial" w:eastAsia="Arial" w:hAnsi="Arial"/>
          <w:b/>
          <w:bCs/>
          <w:color w:val="0B6E4F"/>
          <w:sz w:val="24"/>
          <w:szCs w:val="24"/>
        </w:rPr>
        <w:t xml:space="preserve">9.1 Immediate — Before V1 Launch (Accra)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400"/>
            <w:shd w:fill="022B1E" w:val="clear"/>
          </w:tcPr>
          <w:p>
            <w:pPr>
              <w:spacing w:after="0"/>
            </w:pPr>
            <w:r>
              <w:rPr>
                <w:rFonts w:ascii="Arial" w:cs="Arial" w:eastAsia="Arial" w:hAnsi="Arial"/>
                <w:b/>
                <w:bCs/>
                <w:color w:val="FFFFFF"/>
                <w:sz w:val="18"/>
                <w:szCs w:val="18"/>
              </w:rPr>
              <w:t xml:space="preserve">Est. Cost</w:t>
            </w:r>
          </w:p>
        </w:tc>
        <w:tc>
          <w:tcPr>
            <w:tcW w:type="dxa" w:w="1200"/>
            <w:shd w:fill="022B1E" w:val="clear"/>
          </w:tcPr>
          <w:p>
            <w:pPr>
              <w:spacing w:after="0"/>
            </w:pPr>
            <w:r>
              <w:rPr>
                <w:rFonts w:ascii="Arial" w:cs="Arial" w:eastAsia="Arial" w:hAnsi="Arial"/>
                <w:b/>
                <w:bCs/>
                <w:color w:val="FFFFFF"/>
                <w:sz w:val="18"/>
                <w:szCs w:val="18"/>
              </w:rPr>
              <w:t xml:space="preserve">Timeline</w:t>
            </w:r>
          </w:p>
        </w:tc>
        <w:tc>
          <w:tcPr>
            <w:tcW w:type="dxa" w:w="2360"/>
            <w:shd w:fill="022B1E" w:val="clear"/>
          </w:tcPr>
          <w:p>
            <w:pPr>
              <w:spacing w:after="0"/>
            </w:pPr>
            <w:r>
              <w:rPr>
                <w:rFonts w:ascii="Arial" w:cs="Arial" w:eastAsia="Arial" w:hAnsi="Arial"/>
                <w:b/>
                <w:bCs/>
                <w:color w:val="FFFFFF"/>
                <w:sz w:val="18"/>
                <w:szCs w:val="18"/>
              </w:rPr>
              <w:t xml:space="preserve">Priority</w:t>
            </w:r>
          </w:p>
        </w:tc>
      </w:tr>
      <w:tr>
        <w:tc>
          <w:tcPr>
            <w:tcW w:type="dxa" w:w="2600"/>
            <w:shd w:fill="F5F4F0" w:val="clear"/>
          </w:tcPr>
          <w:p>
            <w:pPr>
              <w:spacing w:after="0"/>
            </w:pPr>
            <w:r>
              <w:rPr>
                <w:rFonts w:ascii="Arial" w:cs="Arial" w:eastAsia="Arial" w:hAnsi="Arial"/>
                <w:color w:val="333333"/>
                <w:sz w:val="18"/>
                <w:szCs w:val="18"/>
              </w:rPr>
              <w:t xml:space="preserve">Register with Ghana DPC as data controller</w:t>
            </w:r>
          </w:p>
        </w:tc>
        <w:tc>
          <w:tcPr>
            <w:tcW w:type="dxa" w:w="1800"/>
            <w:shd w:fill="F5F4F0" w:val="clear"/>
          </w:tcPr>
          <w:p>
            <w:pPr>
              <w:spacing w:after="0"/>
            </w:pPr>
            <w:r>
              <w:rPr>
                <w:rFonts w:ascii="Arial" w:cs="Arial" w:eastAsia="Arial" w:hAnsi="Arial"/>
                <w:color w:val="333333"/>
                <w:sz w:val="18"/>
                <w:szCs w:val="18"/>
              </w:rPr>
              <w:t xml:space="preserve">Data Protection Commission</w:t>
            </w:r>
          </w:p>
        </w:tc>
        <w:tc>
          <w:tcPr>
            <w:tcW w:type="dxa" w:w="1400"/>
            <w:shd w:fill="F5F4F0" w:val="clear"/>
          </w:tcPr>
          <w:p>
            <w:pPr>
              <w:spacing w:after="0"/>
            </w:pPr>
            <w:r>
              <w:rPr>
                <w:rFonts w:ascii="Arial" w:cs="Arial" w:eastAsia="Arial" w:hAnsi="Arial"/>
                <w:color w:val="333333"/>
                <w:sz w:val="18"/>
                <w:szCs w:val="18"/>
              </w:rPr>
              <w:t xml:space="preserve">GHS 500-1,000</w:t>
            </w:r>
          </w:p>
        </w:tc>
        <w:tc>
          <w:tcPr>
            <w:tcW w:type="dxa" w:w="1200"/>
            <w:shd w:fill="F5F4F0" w:val="clear"/>
          </w:tcPr>
          <w:p>
            <w:pPr>
              <w:spacing w:after="0"/>
            </w:pPr>
            <w:r>
              <w:rPr>
                <w:rFonts w:ascii="Arial" w:cs="Arial" w:eastAsia="Arial" w:hAnsi="Arial"/>
                <w:color w:val="333333"/>
                <w:sz w:val="18"/>
                <w:szCs w:val="18"/>
              </w:rPr>
              <w:t xml:space="preserve">2-4 weeks</w:t>
            </w:r>
          </w:p>
        </w:tc>
        <w:tc>
          <w:tcPr>
            <w:tcW w:type="dxa" w:w="23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Legal opinion: PSP license requirement</w:t>
            </w:r>
          </w:p>
        </w:tc>
        <w:tc>
          <w:tcPr>
            <w:tcW w:type="dxa" w:w="1800"/>
            <w:shd w:fill="FFFFFF" w:val="clear"/>
          </w:tcPr>
          <w:p>
            <w:pPr>
              <w:spacing w:after="0"/>
            </w:pPr>
            <w:r>
              <w:rPr>
                <w:rFonts w:ascii="Arial" w:cs="Arial" w:eastAsia="Arial" w:hAnsi="Arial"/>
                <w:color w:val="333333"/>
                <w:sz w:val="18"/>
                <w:szCs w:val="18"/>
              </w:rPr>
              <w:t xml:space="preserve">Fintech lawyer</w:t>
            </w:r>
          </w:p>
        </w:tc>
        <w:tc>
          <w:tcPr>
            <w:tcW w:type="dxa" w:w="1400"/>
            <w:shd w:fill="FFFFFF" w:val="clear"/>
          </w:tcPr>
          <w:p>
            <w:pPr>
              <w:spacing w:after="0"/>
            </w:pPr>
            <w:r>
              <w:rPr>
                <w:rFonts w:ascii="Arial" w:cs="Arial" w:eastAsia="Arial" w:hAnsi="Arial"/>
                <w:color w:val="333333"/>
                <w:sz w:val="18"/>
                <w:szCs w:val="18"/>
              </w:rPr>
              <w:t xml:space="preserve">$1,000-2,000</w:t>
            </w:r>
          </w:p>
        </w:tc>
        <w:tc>
          <w:tcPr>
            <w:tcW w:type="dxa" w:w="1200"/>
            <w:shd w:fill="FFFFFF" w:val="clear"/>
          </w:tcPr>
          <w:p>
            <w:pPr>
              <w:spacing w:after="0"/>
            </w:pPr>
            <w:r>
              <w:rPr>
                <w:rFonts w:ascii="Arial" w:cs="Arial" w:eastAsia="Arial" w:hAnsi="Arial"/>
                <w:color w:val="333333"/>
                <w:sz w:val="18"/>
                <w:szCs w:val="18"/>
              </w:rPr>
              <w:t xml:space="preserve">2-3 weeks</w:t>
            </w:r>
          </w:p>
        </w:tc>
        <w:tc>
          <w:tcPr>
            <w:tcW w:type="dxa" w:w="23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Register EyeOnSite Ltd (Ghana) or use Manti Labs Africa</w:t>
            </w:r>
          </w:p>
        </w:tc>
        <w:tc>
          <w:tcPr>
            <w:tcW w:type="dxa" w:w="1800"/>
            <w:shd w:fill="F5F4F0" w:val="clear"/>
          </w:tcPr>
          <w:p>
            <w:pPr>
              <w:spacing w:after="0"/>
            </w:pPr>
            <w:r>
              <w:rPr>
                <w:rFonts w:ascii="Arial" w:cs="Arial" w:eastAsia="Arial" w:hAnsi="Arial"/>
                <w:color w:val="333333"/>
                <w:sz w:val="18"/>
                <w:szCs w:val="18"/>
              </w:rPr>
              <w:t xml:space="preserve">Registrar General</w:t>
            </w:r>
          </w:p>
        </w:tc>
        <w:tc>
          <w:tcPr>
            <w:tcW w:type="dxa" w:w="1400"/>
            <w:shd w:fill="F5F4F0" w:val="clear"/>
          </w:tcPr>
          <w:p>
            <w:pPr>
              <w:spacing w:after="0"/>
            </w:pPr>
            <w:r>
              <w:rPr>
                <w:rFonts w:ascii="Arial" w:cs="Arial" w:eastAsia="Arial" w:hAnsi="Arial"/>
                <w:color w:val="333333"/>
                <w:sz w:val="18"/>
                <w:szCs w:val="18"/>
              </w:rPr>
              <w:t xml:space="preserve">GHS 500-1,000</w:t>
            </w:r>
          </w:p>
        </w:tc>
        <w:tc>
          <w:tcPr>
            <w:tcW w:type="dxa" w:w="1200"/>
            <w:shd w:fill="F5F4F0" w:val="clear"/>
          </w:tcPr>
          <w:p>
            <w:pPr>
              <w:spacing w:after="0"/>
            </w:pPr>
            <w:r>
              <w:rPr>
                <w:rFonts w:ascii="Arial" w:cs="Arial" w:eastAsia="Arial" w:hAnsi="Arial"/>
                <w:color w:val="333333"/>
                <w:sz w:val="18"/>
                <w:szCs w:val="18"/>
              </w:rPr>
              <w:t xml:space="preserve">1-2 weeks</w:t>
            </w:r>
          </w:p>
        </w:tc>
        <w:tc>
          <w:tcPr>
            <w:tcW w:type="dxa" w:w="23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Tax registration with GRA</w:t>
            </w:r>
          </w:p>
        </w:tc>
        <w:tc>
          <w:tcPr>
            <w:tcW w:type="dxa" w:w="1800"/>
            <w:shd w:fill="FFFFFF" w:val="clear"/>
          </w:tcPr>
          <w:p>
            <w:pPr>
              <w:spacing w:after="0"/>
            </w:pPr>
            <w:r>
              <w:rPr>
                <w:rFonts w:ascii="Arial" w:cs="Arial" w:eastAsia="Arial" w:hAnsi="Arial"/>
                <w:color w:val="333333"/>
                <w:sz w:val="18"/>
                <w:szCs w:val="18"/>
              </w:rPr>
              <w:t xml:space="preserve">Ghana Revenue Authority</w:t>
            </w:r>
          </w:p>
        </w:tc>
        <w:tc>
          <w:tcPr>
            <w:tcW w:type="dxa" w:w="1400"/>
            <w:shd w:fill="FFFFFF" w:val="clear"/>
          </w:tcPr>
          <w:p>
            <w:pPr>
              <w:spacing w:after="0"/>
            </w:pPr>
            <w:r>
              <w:rPr>
                <w:rFonts w:ascii="Arial" w:cs="Arial" w:eastAsia="Arial" w:hAnsi="Arial"/>
                <w:color w:val="333333"/>
                <w:sz w:val="18"/>
                <w:szCs w:val="18"/>
              </w:rPr>
              <w:t xml:space="preserve">Free</w:t>
            </w:r>
          </w:p>
        </w:tc>
        <w:tc>
          <w:tcPr>
            <w:tcW w:type="dxa" w:w="1200"/>
            <w:shd w:fill="FFFFFF" w:val="clear"/>
          </w:tcPr>
          <w:p>
            <w:pPr>
              <w:spacing w:after="0"/>
            </w:pPr>
            <w:r>
              <w:rPr>
                <w:rFonts w:ascii="Arial" w:cs="Arial" w:eastAsia="Arial" w:hAnsi="Arial"/>
                <w:color w:val="333333"/>
                <w:sz w:val="18"/>
                <w:szCs w:val="18"/>
              </w:rPr>
              <w:t xml:space="preserve">1-2 weeks</w:t>
            </w:r>
          </w:p>
        </w:tc>
        <w:tc>
          <w:tcPr>
            <w:tcW w:type="dxa" w:w="23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Lawyer review of TOS and Privacy Policy</w:t>
            </w:r>
          </w:p>
        </w:tc>
        <w:tc>
          <w:tcPr>
            <w:tcW w:type="dxa" w:w="1800"/>
            <w:shd w:fill="F5F4F0" w:val="clear"/>
          </w:tcPr>
          <w:p>
            <w:pPr>
              <w:spacing w:after="0"/>
            </w:pPr>
            <w:r>
              <w:rPr>
                <w:rFonts w:ascii="Arial" w:cs="Arial" w:eastAsia="Arial" w:hAnsi="Arial"/>
                <w:color w:val="333333"/>
                <w:sz w:val="18"/>
                <w:szCs w:val="18"/>
              </w:rPr>
              <w:t xml:space="preserve">Ghana lawyer + UK solicitor</w:t>
            </w:r>
          </w:p>
        </w:tc>
        <w:tc>
          <w:tcPr>
            <w:tcW w:type="dxa" w:w="1400"/>
            <w:shd w:fill="F5F4F0" w:val="clear"/>
          </w:tcPr>
          <w:p>
            <w:pPr>
              <w:spacing w:after="0"/>
            </w:pPr>
            <w:r>
              <w:rPr>
                <w:rFonts w:ascii="Arial" w:cs="Arial" w:eastAsia="Arial" w:hAnsi="Arial"/>
                <w:color w:val="333333"/>
                <w:sz w:val="18"/>
                <w:szCs w:val="18"/>
              </w:rPr>
              <w:t xml:space="preserve">$2,000-3,000</w:t>
            </w:r>
          </w:p>
        </w:tc>
        <w:tc>
          <w:tcPr>
            <w:tcW w:type="dxa" w:w="1200"/>
            <w:shd w:fill="F5F4F0" w:val="clear"/>
          </w:tcPr>
          <w:p>
            <w:pPr>
              <w:spacing w:after="0"/>
            </w:pPr>
            <w:r>
              <w:rPr>
                <w:rFonts w:ascii="Arial" w:cs="Arial" w:eastAsia="Arial" w:hAnsi="Arial"/>
                <w:color w:val="333333"/>
                <w:sz w:val="18"/>
                <w:szCs w:val="18"/>
              </w:rPr>
              <w:t xml:space="preserve">2-4 weeks</w:t>
            </w:r>
          </w:p>
        </w:tc>
        <w:tc>
          <w:tcPr>
            <w:tcW w:type="dxa" w:w="23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Ensure evidence disclaimer is prominent in app</w:t>
            </w:r>
          </w:p>
        </w:tc>
        <w:tc>
          <w:tcPr>
            <w:tcW w:type="dxa" w:w="1800"/>
            <w:shd w:fill="FFFFFF" w:val="clear"/>
          </w:tcPr>
          <w:p>
            <w:pPr>
              <w:spacing w:after="0"/>
            </w:pPr>
            <w:r>
              <w:rPr>
                <w:rFonts w:ascii="Arial" w:cs="Arial" w:eastAsia="Arial" w:hAnsi="Arial"/>
                <w:color w:val="333333"/>
                <w:sz w:val="18"/>
                <w:szCs w:val="18"/>
              </w:rPr>
              <w:t xml:space="preserve">Internal (development)</w:t>
            </w:r>
          </w:p>
        </w:tc>
        <w:tc>
          <w:tcPr>
            <w:tcW w:type="dxa" w:w="1400"/>
            <w:shd w:fill="FFFFFF" w:val="clear"/>
          </w:tcPr>
          <w:p>
            <w:pPr>
              <w:spacing w:after="0"/>
            </w:pPr>
            <w:r>
              <w:rPr>
                <w:rFonts w:ascii="Arial" w:cs="Arial" w:eastAsia="Arial" w:hAnsi="Arial"/>
                <w:color w:val="333333"/>
                <w:sz w:val="18"/>
                <w:szCs w:val="18"/>
              </w:rPr>
              <w:t xml:space="preserve">$0</w:t>
            </w:r>
          </w:p>
        </w:tc>
        <w:tc>
          <w:tcPr>
            <w:tcW w:type="dxa" w:w="1200"/>
            <w:shd w:fill="FFFFFF" w:val="clear"/>
          </w:tcPr>
          <w:p>
            <w:pPr>
              <w:spacing w:after="0"/>
            </w:pPr>
            <w:r>
              <w:rPr>
                <w:rFonts w:ascii="Arial" w:cs="Arial" w:eastAsia="Arial" w:hAnsi="Arial"/>
                <w:color w:val="333333"/>
                <w:sz w:val="18"/>
                <w:szCs w:val="18"/>
              </w:rPr>
              <w:t xml:space="preserve">V1 build</w:t>
            </w:r>
          </w:p>
        </w:tc>
        <w:tc>
          <w:tcPr>
            <w:tcW w:type="dxa" w:w="23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Inspector contractor agreement template</w:t>
            </w:r>
          </w:p>
        </w:tc>
        <w:tc>
          <w:tcPr>
            <w:tcW w:type="dxa" w:w="1800"/>
            <w:shd w:fill="F5F4F0" w:val="clear"/>
          </w:tcPr>
          <w:p>
            <w:pPr>
              <w:spacing w:after="0"/>
            </w:pPr>
            <w:r>
              <w:rPr>
                <w:rFonts w:ascii="Arial" w:cs="Arial" w:eastAsia="Arial" w:hAnsi="Arial"/>
                <w:color w:val="333333"/>
                <w:sz w:val="18"/>
                <w:szCs w:val="18"/>
              </w:rPr>
              <w:t xml:space="preserve">Employment lawyer</w:t>
            </w:r>
          </w:p>
        </w:tc>
        <w:tc>
          <w:tcPr>
            <w:tcW w:type="dxa" w:w="1400"/>
            <w:shd w:fill="F5F4F0" w:val="clear"/>
          </w:tcPr>
          <w:p>
            <w:pPr>
              <w:spacing w:after="0"/>
            </w:pPr>
            <w:r>
              <w:rPr>
                <w:rFonts w:ascii="Arial" w:cs="Arial" w:eastAsia="Arial" w:hAnsi="Arial"/>
                <w:color w:val="333333"/>
                <w:sz w:val="18"/>
                <w:szCs w:val="18"/>
              </w:rPr>
              <w:t xml:space="preserve">$500-1,000</w:t>
            </w:r>
          </w:p>
        </w:tc>
        <w:tc>
          <w:tcPr>
            <w:tcW w:type="dxa" w:w="1200"/>
            <w:shd w:fill="F5F4F0" w:val="clear"/>
          </w:tcPr>
          <w:p>
            <w:pPr>
              <w:spacing w:after="0"/>
            </w:pPr>
            <w:r>
              <w:rPr>
                <w:rFonts w:ascii="Arial" w:cs="Arial" w:eastAsia="Arial" w:hAnsi="Arial"/>
                <w:color w:val="333333"/>
                <w:sz w:val="18"/>
                <w:szCs w:val="18"/>
              </w:rPr>
              <w:t xml:space="preserve">2-3 weeks</w:t>
            </w:r>
          </w:p>
        </w:tc>
        <w:tc>
          <w:tcPr>
            <w:tcW w:type="dxa" w:w="2360"/>
            <w:shd w:fill="F5F4F0" w:val="clear"/>
          </w:tcPr>
          <w:p>
            <w:pPr>
              <w:spacing w:after="0"/>
            </w:pPr>
            <w:r>
              <w:rPr>
                <w:rFonts w:ascii="Arial" w:cs="Arial" w:eastAsia="Arial" w:hAnsi="Arial"/>
                <w:color w:val="333333"/>
                <w:sz w:val="18"/>
                <w:szCs w:val="18"/>
              </w:rPr>
              <w:t xml:space="preserve">MEDIUM</w:t>
            </w:r>
          </w:p>
        </w:tc>
      </w:tr>
    </w:tbl>
    <w:p>
      <w:pPr>
        <w:spacing w:after="0"/>
      </w:pPr>
    </w:p>
    <w:p>
      <w:pPr>
        <w:spacing w:after="140" w:line="276"/>
      </w:pPr>
      <w:r>
        <w:rPr>
          <w:rFonts w:ascii="Arial" w:cs="Arial" w:eastAsia="Arial" w:hAnsi="Arial"/>
          <w:b/>
          <w:bCs/>
          <w:color w:val="333333"/>
          <w:sz w:val="20"/>
          <w:szCs w:val="20"/>
        </w:rPr>
        <w:t xml:space="preserve">Total V1 compliance budget: </w:t>
      </w:r>
      <w:r>
        <w:rPr>
          <w:rFonts w:ascii="Arial" w:cs="Arial" w:eastAsia="Arial" w:hAnsi="Arial"/>
          <w:color w:val="333333"/>
          <w:sz w:val="20"/>
          <w:szCs w:val="20"/>
        </w:rPr>
        <w:t xml:space="preserve">$5,000-8,000</w:t>
      </w:r>
    </w:p>
    <w:p>
      <w:pPr>
        <w:spacing w:after="0"/>
      </w:pPr>
    </w:p>
    <w:p>
      <w:pPr>
        <w:pStyle w:val="Heading2"/>
        <w:spacing w:after="160" w:before="300"/>
      </w:pPr>
      <w:r>
        <w:rPr>
          <w:rFonts w:ascii="Arial" w:cs="Arial" w:eastAsia="Arial" w:hAnsi="Arial"/>
          <w:b/>
          <w:bCs/>
          <w:color w:val="0B6E4F"/>
          <w:sz w:val="24"/>
          <w:szCs w:val="24"/>
        </w:rPr>
        <w:t xml:space="preserve">9.2 Before V2 Expansion (Lagos + Nairobi)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500"/>
            <w:shd w:fill="022B1E" w:val="clear"/>
          </w:tcPr>
          <w:p>
            <w:pPr>
              <w:spacing w:after="0"/>
            </w:pPr>
            <w:r>
              <w:rPr>
                <w:rFonts w:ascii="Arial" w:cs="Arial" w:eastAsia="Arial" w:hAnsi="Arial"/>
                <w:b/>
                <w:bCs/>
                <w:color w:val="FFFFFF"/>
                <w:sz w:val="18"/>
                <w:szCs w:val="18"/>
              </w:rPr>
              <w:t xml:space="preserve">Est. Cost</w:t>
            </w:r>
          </w:p>
        </w:tc>
        <w:tc>
          <w:tcPr>
            <w:tcW w:type="dxa" w:w="1200"/>
            <w:shd w:fill="022B1E" w:val="clear"/>
          </w:tcPr>
          <w:p>
            <w:pPr>
              <w:spacing w:after="0"/>
            </w:pPr>
            <w:r>
              <w:rPr>
                <w:rFonts w:ascii="Arial" w:cs="Arial" w:eastAsia="Arial" w:hAnsi="Arial"/>
                <w:b/>
                <w:bCs/>
                <w:color w:val="FFFFFF"/>
                <w:sz w:val="18"/>
                <w:szCs w:val="18"/>
              </w:rPr>
              <w:t xml:space="preserve">Timeline</w:t>
            </w:r>
          </w:p>
        </w:tc>
        <w:tc>
          <w:tcPr>
            <w:tcW w:type="dxa" w:w="2260"/>
            <w:shd w:fill="022B1E" w:val="clear"/>
          </w:tcPr>
          <w:p>
            <w:pPr>
              <w:spacing w:after="0"/>
            </w:pPr>
            <w:r>
              <w:rPr>
                <w:rFonts w:ascii="Arial" w:cs="Arial" w:eastAsia="Arial" w:hAnsi="Arial"/>
                <w:b/>
                <w:bCs/>
                <w:color w:val="FFFFFF"/>
                <w:sz w:val="18"/>
                <w:szCs w:val="18"/>
              </w:rPr>
              <w:t xml:space="preserve">Priority</w:t>
            </w:r>
          </w:p>
        </w:tc>
      </w:tr>
      <w:tr>
        <w:tc>
          <w:tcPr>
            <w:tcW w:type="dxa" w:w="2600"/>
            <w:shd w:fill="F5F4F0" w:val="clear"/>
          </w:tcPr>
          <w:p>
            <w:pPr>
              <w:spacing w:after="0"/>
            </w:pPr>
            <w:r>
              <w:rPr>
                <w:rFonts w:ascii="Arial" w:cs="Arial" w:eastAsia="Arial" w:hAnsi="Arial"/>
                <w:color w:val="333333"/>
                <w:sz w:val="18"/>
                <w:szCs w:val="18"/>
              </w:rPr>
              <w:t xml:space="preserve">Register with Nigeria NDPC</w:t>
            </w:r>
          </w:p>
        </w:tc>
        <w:tc>
          <w:tcPr>
            <w:tcW w:type="dxa" w:w="1800"/>
            <w:shd w:fill="F5F4F0" w:val="clear"/>
          </w:tcPr>
          <w:p>
            <w:pPr>
              <w:spacing w:after="0"/>
            </w:pPr>
            <w:r>
              <w:rPr>
                <w:rFonts w:ascii="Arial" w:cs="Arial" w:eastAsia="Arial" w:hAnsi="Arial"/>
                <w:color w:val="333333"/>
                <w:sz w:val="18"/>
                <w:szCs w:val="18"/>
              </w:rPr>
              <w:t xml:space="preserve">Nigeria Data Protection Commission</w:t>
            </w:r>
          </w:p>
        </w:tc>
        <w:tc>
          <w:tcPr>
            <w:tcW w:type="dxa" w:w="1500"/>
            <w:shd w:fill="F5F4F0" w:val="clear"/>
          </w:tcPr>
          <w:p>
            <w:pPr>
              <w:spacing w:after="0"/>
            </w:pPr>
            <w:r>
              <w:rPr>
                <w:rFonts w:ascii="Arial" w:cs="Arial" w:eastAsia="Arial" w:hAnsi="Arial"/>
                <w:color w:val="333333"/>
                <w:sz w:val="18"/>
                <w:szCs w:val="18"/>
              </w:rPr>
              <w:t xml:space="preserve">NGN 50K-200K ($30-130)</w:t>
            </w:r>
          </w:p>
        </w:tc>
        <w:tc>
          <w:tcPr>
            <w:tcW w:type="dxa" w:w="1200"/>
            <w:shd w:fill="F5F4F0" w:val="clear"/>
          </w:tcPr>
          <w:p>
            <w:pPr>
              <w:spacing w:after="0"/>
            </w:pPr>
            <w:r>
              <w:rPr>
                <w:rFonts w:ascii="Arial" w:cs="Arial" w:eastAsia="Arial" w:hAnsi="Arial"/>
                <w:color w:val="333333"/>
                <w:sz w:val="18"/>
                <w:szCs w:val="18"/>
              </w:rPr>
              <w:t xml:space="preserve">4-6 weeks</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Register with Kenya ODPC</w:t>
            </w:r>
          </w:p>
        </w:tc>
        <w:tc>
          <w:tcPr>
            <w:tcW w:type="dxa" w:w="1800"/>
            <w:shd w:fill="FFFFFF" w:val="clear"/>
          </w:tcPr>
          <w:p>
            <w:pPr>
              <w:spacing w:after="0"/>
            </w:pPr>
            <w:r>
              <w:rPr>
                <w:rFonts w:ascii="Arial" w:cs="Arial" w:eastAsia="Arial" w:hAnsi="Arial"/>
                <w:color w:val="333333"/>
                <w:sz w:val="18"/>
                <w:szCs w:val="18"/>
              </w:rPr>
              <w:t xml:space="preserve">Office of Data Protection Commissioner</w:t>
            </w:r>
          </w:p>
        </w:tc>
        <w:tc>
          <w:tcPr>
            <w:tcW w:type="dxa" w:w="1500"/>
            <w:shd w:fill="FFFFFF" w:val="clear"/>
          </w:tcPr>
          <w:p>
            <w:pPr>
              <w:spacing w:after="0"/>
            </w:pPr>
            <w:r>
              <w:rPr>
                <w:rFonts w:ascii="Arial" w:cs="Arial" w:eastAsia="Arial" w:hAnsi="Arial"/>
                <w:color w:val="333333"/>
                <w:sz w:val="18"/>
                <w:szCs w:val="18"/>
              </w:rPr>
              <w:t xml:space="preserve">KES 10K-50K ($80-400)</w:t>
            </w:r>
          </w:p>
        </w:tc>
        <w:tc>
          <w:tcPr>
            <w:tcW w:type="dxa" w:w="1200"/>
            <w:shd w:fill="FFFFFF" w:val="clear"/>
          </w:tcPr>
          <w:p>
            <w:pPr>
              <w:spacing w:after="0"/>
            </w:pPr>
            <w:r>
              <w:rPr>
                <w:rFonts w:ascii="Arial" w:cs="Arial" w:eastAsia="Arial" w:hAnsi="Arial"/>
                <w:color w:val="333333"/>
                <w:sz w:val="18"/>
                <w:szCs w:val="18"/>
              </w:rPr>
              <w:t xml:space="preserve">4-6 weeks</w:t>
            </w:r>
          </w:p>
        </w:tc>
        <w:tc>
          <w:tcPr>
            <w:tcW w:type="dxa" w:w="22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Nigeria DPIA</w:t>
            </w:r>
          </w:p>
        </w:tc>
        <w:tc>
          <w:tcPr>
            <w:tcW w:type="dxa" w:w="1800"/>
            <w:shd w:fill="F5F4F0" w:val="clear"/>
          </w:tcPr>
          <w:p>
            <w:pPr>
              <w:spacing w:after="0"/>
            </w:pPr>
            <w:r>
              <w:rPr>
                <w:rFonts w:ascii="Arial" w:cs="Arial" w:eastAsia="Arial" w:hAnsi="Arial"/>
                <w:color w:val="333333"/>
                <w:sz w:val="18"/>
                <w:szCs w:val="18"/>
              </w:rPr>
              <w:t xml:space="preserve">Internal + legal review</w:t>
            </w:r>
          </w:p>
        </w:tc>
        <w:tc>
          <w:tcPr>
            <w:tcW w:type="dxa" w:w="1500"/>
            <w:shd w:fill="F5F4F0" w:val="clear"/>
          </w:tcPr>
          <w:p>
            <w:pPr>
              <w:spacing w:after="0"/>
            </w:pPr>
            <w:r>
              <w:rPr>
                <w:rFonts w:ascii="Arial" w:cs="Arial" w:eastAsia="Arial" w:hAnsi="Arial"/>
                <w:color w:val="333333"/>
                <w:sz w:val="18"/>
                <w:szCs w:val="18"/>
              </w:rPr>
              <w:t xml:space="preserve">$1,000-1,500</w:t>
            </w:r>
          </w:p>
        </w:tc>
        <w:tc>
          <w:tcPr>
            <w:tcW w:type="dxa" w:w="1200"/>
            <w:shd w:fill="F5F4F0" w:val="clear"/>
          </w:tcPr>
          <w:p>
            <w:pPr>
              <w:spacing w:after="0"/>
            </w:pPr>
            <w:r>
              <w:rPr>
                <w:rFonts w:ascii="Arial" w:cs="Arial" w:eastAsia="Arial" w:hAnsi="Arial"/>
                <w:color w:val="333333"/>
                <w:sz w:val="18"/>
                <w:szCs w:val="18"/>
              </w:rPr>
              <w:t xml:space="preserve">4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Kenya DPIA</w:t>
            </w:r>
          </w:p>
        </w:tc>
        <w:tc>
          <w:tcPr>
            <w:tcW w:type="dxa" w:w="1800"/>
            <w:shd w:fill="FFFFFF" w:val="clear"/>
          </w:tcPr>
          <w:p>
            <w:pPr>
              <w:spacing w:after="0"/>
            </w:pPr>
            <w:r>
              <w:rPr>
                <w:rFonts w:ascii="Arial" w:cs="Arial" w:eastAsia="Arial" w:hAnsi="Arial"/>
                <w:color w:val="333333"/>
                <w:sz w:val="18"/>
                <w:szCs w:val="18"/>
              </w:rPr>
              <w:t xml:space="preserve">Internal + legal review</w:t>
            </w:r>
          </w:p>
        </w:tc>
        <w:tc>
          <w:tcPr>
            <w:tcW w:type="dxa" w:w="1500"/>
            <w:shd w:fill="FFFFFF" w:val="clear"/>
          </w:tcPr>
          <w:p>
            <w:pPr>
              <w:spacing w:after="0"/>
            </w:pPr>
            <w:r>
              <w:rPr>
                <w:rFonts w:ascii="Arial" w:cs="Arial" w:eastAsia="Arial" w:hAnsi="Arial"/>
                <w:color w:val="333333"/>
                <w:sz w:val="18"/>
                <w:szCs w:val="18"/>
              </w:rPr>
              <w:t xml:space="preserve">$1,000-1,500</w:t>
            </w:r>
          </w:p>
        </w:tc>
        <w:tc>
          <w:tcPr>
            <w:tcW w:type="dxa" w:w="1200"/>
            <w:shd w:fill="FFFFFF" w:val="clear"/>
          </w:tcPr>
          <w:p>
            <w:pPr>
              <w:spacing w:after="0"/>
            </w:pPr>
            <w:r>
              <w:rPr>
                <w:rFonts w:ascii="Arial" w:cs="Arial" w:eastAsia="Arial" w:hAnsi="Arial"/>
                <w:color w:val="333333"/>
                <w:sz w:val="18"/>
                <w:szCs w:val="18"/>
              </w:rPr>
              <w:t xml:space="preserve">4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Multi-jurisdiction tax advisory</w:t>
            </w:r>
          </w:p>
        </w:tc>
        <w:tc>
          <w:tcPr>
            <w:tcW w:type="dxa" w:w="1800"/>
            <w:shd w:fill="F5F4F0" w:val="clear"/>
          </w:tcPr>
          <w:p>
            <w:pPr>
              <w:spacing w:after="0"/>
            </w:pPr>
            <w:r>
              <w:rPr>
                <w:rFonts w:ascii="Arial" w:cs="Arial" w:eastAsia="Arial" w:hAnsi="Arial"/>
                <w:color w:val="333333"/>
                <w:sz w:val="18"/>
                <w:szCs w:val="18"/>
              </w:rPr>
              <w:t xml:space="preserve">Tax advisor</w:t>
            </w:r>
          </w:p>
        </w:tc>
        <w:tc>
          <w:tcPr>
            <w:tcW w:type="dxa" w:w="1500"/>
            <w:shd w:fill="F5F4F0" w:val="clear"/>
          </w:tcPr>
          <w:p>
            <w:pPr>
              <w:spacing w:after="0"/>
            </w:pPr>
            <w:r>
              <w:rPr>
                <w:rFonts w:ascii="Arial" w:cs="Arial" w:eastAsia="Arial" w:hAnsi="Arial"/>
                <w:color w:val="333333"/>
                <w:sz w:val="18"/>
                <w:szCs w:val="18"/>
              </w:rPr>
              <w:t xml:space="preserve">$2,000-3,000</w:t>
            </w:r>
          </w:p>
        </w:tc>
        <w:tc>
          <w:tcPr>
            <w:tcW w:type="dxa" w:w="1200"/>
            <w:shd w:fill="F5F4F0" w:val="clear"/>
          </w:tcPr>
          <w:p>
            <w:pPr>
              <w:spacing w:after="0"/>
            </w:pPr>
            <w:r>
              <w:rPr>
                <w:rFonts w:ascii="Arial" w:cs="Arial" w:eastAsia="Arial" w:hAnsi="Arial"/>
                <w:color w:val="333333"/>
                <w:sz w:val="18"/>
                <w:szCs w:val="18"/>
              </w:rPr>
              <w:t xml:space="preserve">4-6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Ghana VAT registration (if turnover threshold met)</w:t>
            </w:r>
          </w:p>
        </w:tc>
        <w:tc>
          <w:tcPr>
            <w:tcW w:type="dxa" w:w="1800"/>
            <w:shd w:fill="FFFFFF" w:val="clear"/>
          </w:tcPr>
          <w:p>
            <w:pPr>
              <w:spacing w:after="0"/>
            </w:pPr>
            <w:r>
              <w:rPr>
                <w:rFonts w:ascii="Arial" w:cs="Arial" w:eastAsia="Arial" w:hAnsi="Arial"/>
                <w:color w:val="333333"/>
                <w:sz w:val="18"/>
                <w:szCs w:val="18"/>
              </w:rPr>
              <w:t xml:space="preserve">GRA</w:t>
            </w:r>
          </w:p>
        </w:tc>
        <w:tc>
          <w:tcPr>
            <w:tcW w:type="dxa" w:w="1500"/>
            <w:shd w:fill="FFFFFF" w:val="clear"/>
          </w:tcPr>
          <w:p>
            <w:pPr>
              <w:spacing w:after="0"/>
            </w:pPr>
            <w:r>
              <w:rPr>
                <w:rFonts w:ascii="Arial" w:cs="Arial" w:eastAsia="Arial" w:hAnsi="Arial"/>
                <w:color w:val="333333"/>
                <w:sz w:val="18"/>
                <w:szCs w:val="18"/>
              </w:rPr>
              <w:t xml:space="preserve">Free</w:t>
            </w:r>
          </w:p>
        </w:tc>
        <w:tc>
          <w:tcPr>
            <w:tcW w:type="dxa" w:w="1200"/>
            <w:shd w:fill="FFFFFF" w:val="clear"/>
          </w:tcPr>
          <w:p>
            <w:pPr>
              <w:spacing w:after="0"/>
            </w:pPr>
            <w:r>
              <w:rPr>
                <w:rFonts w:ascii="Arial" w:cs="Arial" w:eastAsia="Arial" w:hAnsi="Arial"/>
                <w:color w:val="333333"/>
                <w:sz w:val="18"/>
                <w:szCs w:val="18"/>
              </w:rPr>
              <w:t xml:space="preserve">2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Inspector contractor agreement (Nigeria, Kenya versions)</w:t>
            </w:r>
          </w:p>
        </w:tc>
        <w:tc>
          <w:tcPr>
            <w:tcW w:type="dxa" w:w="1800"/>
            <w:shd w:fill="F5F4F0" w:val="clear"/>
          </w:tcPr>
          <w:p>
            <w:pPr>
              <w:spacing w:after="0"/>
            </w:pPr>
            <w:r>
              <w:rPr>
                <w:rFonts w:ascii="Arial" w:cs="Arial" w:eastAsia="Arial" w:hAnsi="Arial"/>
                <w:color w:val="333333"/>
                <w:sz w:val="18"/>
                <w:szCs w:val="18"/>
              </w:rPr>
              <w:t xml:space="preserve">Local employment lawyers</w:t>
            </w:r>
          </w:p>
        </w:tc>
        <w:tc>
          <w:tcPr>
            <w:tcW w:type="dxa" w:w="1500"/>
            <w:shd w:fill="F5F4F0" w:val="clear"/>
          </w:tcPr>
          <w:p>
            <w:pPr>
              <w:spacing w:after="0"/>
            </w:pPr>
            <w:r>
              <w:rPr>
                <w:rFonts w:ascii="Arial" w:cs="Arial" w:eastAsia="Arial" w:hAnsi="Arial"/>
                <w:color w:val="333333"/>
                <w:sz w:val="18"/>
                <w:szCs w:val="18"/>
              </w:rPr>
              <w:t xml:space="preserve">$1,000-2,000 per country</w:t>
            </w:r>
          </w:p>
        </w:tc>
        <w:tc>
          <w:tcPr>
            <w:tcW w:type="dxa" w:w="1200"/>
            <w:shd w:fill="F5F4F0" w:val="clear"/>
          </w:tcPr>
          <w:p>
            <w:pPr>
              <w:spacing w:after="0"/>
            </w:pPr>
            <w:r>
              <w:rPr>
                <w:rFonts w:ascii="Arial" w:cs="Arial" w:eastAsia="Arial" w:hAnsi="Arial"/>
                <w:color w:val="333333"/>
                <w:sz w:val="18"/>
                <w:szCs w:val="18"/>
              </w:rPr>
              <w:t xml:space="preserve">3-4 weeks</w:t>
            </w:r>
          </w:p>
        </w:tc>
        <w:tc>
          <w:tcPr>
            <w:tcW w:type="dxa" w:w="2260"/>
            <w:shd w:fill="F5F4F0" w:val="clear"/>
          </w:tcPr>
          <w:p>
            <w:pPr>
              <w:spacing w:after="0"/>
            </w:pPr>
            <w:r>
              <w:rPr>
                <w:rFonts w:ascii="Arial" w:cs="Arial" w:eastAsia="Arial" w:hAnsi="Arial"/>
                <w:color w:val="333333"/>
                <w:sz w:val="18"/>
                <w:szCs w:val="18"/>
              </w:rPr>
              <w:t xml:space="preserve">MEDIUM</w:t>
            </w:r>
          </w:p>
        </w:tc>
      </w:tr>
      <w:tr>
        <w:tc>
          <w:tcPr>
            <w:tcW w:type="dxa" w:w="2600"/>
            <w:shd w:fill="FFFFFF" w:val="clear"/>
          </w:tcPr>
          <w:p>
            <w:pPr>
              <w:spacing w:after="0"/>
            </w:pPr>
            <w:r>
              <w:rPr>
                <w:rFonts w:ascii="Arial" w:cs="Arial" w:eastAsia="Arial" w:hAnsi="Arial"/>
                <w:color w:val="333333"/>
                <w:sz w:val="18"/>
                <w:szCs w:val="18"/>
              </w:rPr>
              <w:t xml:space="preserve">Monitor Kenya commission cap applicability</w:t>
            </w:r>
          </w:p>
        </w:tc>
        <w:tc>
          <w:tcPr>
            <w:tcW w:type="dxa" w:w="1800"/>
            <w:shd w:fill="FFFFFF" w:val="clear"/>
          </w:tcPr>
          <w:p>
            <w:pPr>
              <w:spacing w:after="0"/>
            </w:pPr>
            <w:r>
              <w:rPr>
                <w:rFonts w:ascii="Arial" w:cs="Arial" w:eastAsia="Arial" w:hAnsi="Arial"/>
                <w:color w:val="333333"/>
                <w:sz w:val="18"/>
                <w:szCs w:val="18"/>
              </w:rPr>
              <w:t xml:space="preserve">Legal monitoring</w:t>
            </w:r>
          </w:p>
        </w:tc>
        <w:tc>
          <w:tcPr>
            <w:tcW w:type="dxa" w:w="1500"/>
            <w:shd w:fill="FFFFFF" w:val="clear"/>
          </w:tcPr>
          <w:p>
            <w:pPr>
              <w:spacing w:after="0"/>
            </w:pPr>
            <w:r>
              <w:rPr>
                <w:rFonts w:ascii="Arial" w:cs="Arial" w:eastAsia="Arial" w:hAnsi="Arial"/>
                <w:color w:val="333333"/>
                <w:sz w:val="18"/>
                <w:szCs w:val="18"/>
              </w:rPr>
              <w:t xml:space="preserve">Ongoing</w:t>
            </w:r>
          </w:p>
        </w:tc>
        <w:tc>
          <w:tcPr>
            <w:tcW w:type="dxa" w:w="1200"/>
            <w:shd w:fill="FFFFFF" w:val="clear"/>
          </w:tcPr>
          <w:p>
            <w:pPr>
              <w:spacing w:after="0"/>
            </w:pPr>
            <w:r>
              <w:rPr>
                <w:rFonts w:ascii="Arial" w:cs="Arial" w:eastAsia="Arial" w:hAnsi="Arial"/>
                <w:color w:val="333333"/>
                <w:sz w:val="18"/>
                <w:szCs w:val="18"/>
              </w:rPr>
              <w:t xml:space="preserve">Ongoing</w:t>
            </w:r>
          </w:p>
        </w:tc>
        <w:tc>
          <w:tcPr>
            <w:tcW w:type="dxa" w:w="2260"/>
            <w:shd w:fill="FFFFFF" w:val="clear"/>
          </w:tcPr>
          <w:p>
            <w:pPr>
              <w:spacing w:after="0"/>
            </w:pPr>
            <w:r>
              <w:rPr>
                <w:rFonts w:ascii="Arial" w:cs="Arial" w:eastAsia="Arial" w:hAnsi="Arial"/>
                <w:color w:val="333333"/>
                <w:sz w:val="18"/>
                <w:szCs w:val="18"/>
              </w:rPr>
              <w:t xml:space="preserve">MEDIUM</w:t>
            </w:r>
          </w:p>
        </w:tc>
      </w:tr>
    </w:tbl>
    <w:p>
      <w:pPr>
        <w:spacing w:after="0"/>
      </w:pPr>
    </w:p>
    <w:p>
      <w:pPr>
        <w:spacing w:after="140" w:line="276"/>
      </w:pPr>
      <w:r>
        <w:rPr>
          <w:rFonts w:ascii="Arial" w:cs="Arial" w:eastAsia="Arial" w:hAnsi="Arial"/>
          <w:b/>
          <w:bCs/>
          <w:color w:val="333333"/>
          <w:sz w:val="20"/>
          <w:szCs w:val="20"/>
        </w:rPr>
        <w:t xml:space="preserve">Total V2 compliance budget: </w:t>
      </w:r>
      <w:r>
        <w:rPr>
          <w:rFonts w:ascii="Arial" w:cs="Arial" w:eastAsia="Arial" w:hAnsi="Arial"/>
          <w:color w:val="333333"/>
          <w:sz w:val="20"/>
          <w:szCs w:val="20"/>
        </w:rPr>
        <w:t xml:space="preserve">$7,000-12,000 (additional to V1)</w:t>
      </w:r>
    </w:p>
    <w:p>
      <w:pPr>
        <w:spacing w:after="0"/>
      </w:pPr>
    </w:p>
    <w:p>
      <w:pPr>
        <w:pStyle w:val="Heading2"/>
        <w:spacing w:after="160" w:before="300"/>
      </w:pPr>
      <w:r>
        <w:rPr>
          <w:rFonts w:ascii="Arial" w:cs="Arial" w:eastAsia="Arial" w:hAnsi="Arial"/>
          <w:b/>
          <w:bCs/>
          <w:color w:val="0B6E4F"/>
          <w:sz w:val="24"/>
          <w:szCs w:val="24"/>
        </w:rPr>
        <w:t xml:space="preserve">9.3 V3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700"/>
            <w:shd w:fill="022B1E" w:val="clear"/>
          </w:tcPr>
          <w:p>
            <w:pPr>
              <w:spacing w:after="0"/>
            </w:pPr>
            <w:r>
              <w:rPr>
                <w:rFonts w:ascii="Arial" w:cs="Arial" w:eastAsia="Arial" w:hAnsi="Arial"/>
                <w:b/>
                <w:bCs/>
                <w:color w:val="FFFFFF"/>
                <w:sz w:val="18"/>
                <w:szCs w:val="18"/>
              </w:rPr>
              <w:t xml:space="preserve">Est. Cost</w:t>
            </w:r>
          </w:p>
        </w:tc>
        <w:tc>
          <w:tcPr>
            <w:tcW w:type="dxa" w:w="1200"/>
            <w:shd w:fill="022B1E" w:val="clear"/>
          </w:tcPr>
          <w:p>
            <w:pPr>
              <w:spacing w:after="0"/>
            </w:pPr>
            <w:r>
              <w:rPr>
                <w:rFonts w:ascii="Arial" w:cs="Arial" w:eastAsia="Arial" w:hAnsi="Arial"/>
                <w:b/>
                <w:bCs/>
                <w:color w:val="FFFFFF"/>
                <w:sz w:val="18"/>
                <w:szCs w:val="18"/>
              </w:rPr>
              <w:t xml:space="preserve">Timeline</w:t>
            </w:r>
          </w:p>
        </w:tc>
        <w:tc>
          <w:tcPr>
            <w:tcW w:type="dxa" w:w="1860"/>
            <w:shd w:fill="022B1E" w:val="clear"/>
          </w:tcPr>
          <w:p>
            <w:pPr>
              <w:spacing w:after="0"/>
            </w:pPr>
            <w:r>
              <w:rPr>
                <w:rFonts w:ascii="Arial" w:cs="Arial" w:eastAsia="Arial" w:hAnsi="Arial"/>
                <w:b/>
                <w:bCs/>
                <w:color w:val="FFFFFF"/>
                <w:sz w:val="18"/>
                <w:szCs w:val="18"/>
              </w:rPr>
              <w:t xml:space="preserve">Priority</w:t>
            </w:r>
          </w:p>
        </w:tc>
      </w:tr>
      <w:tr>
        <w:tc>
          <w:tcPr>
            <w:tcW w:type="dxa" w:w="2800"/>
            <w:shd w:fill="F5F4F0" w:val="clear"/>
          </w:tcPr>
          <w:p>
            <w:pPr>
              <w:spacing w:after="0"/>
            </w:pPr>
            <w:r>
              <w:rPr>
                <w:rFonts w:ascii="Arial" w:cs="Arial" w:eastAsia="Arial" w:hAnsi="Arial"/>
                <w:color w:val="333333"/>
                <w:sz w:val="18"/>
                <w:szCs w:val="18"/>
              </w:rPr>
              <w:t xml:space="preserve">UK GDPR representative appointment</w:t>
            </w:r>
          </w:p>
        </w:tc>
        <w:tc>
          <w:tcPr>
            <w:tcW w:type="dxa" w:w="1800"/>
            <w:shd w:fill="F5F4F0" w:val="clear"/>
          </w:tcPr>
          <w:p>
            <w:pPr>
              <w:spacing w:after="0"/>
            </w:pPr>
            <w:r>
              <w:rPr>
                <w:rFonts w:ascii="Arial" w:cs="Arial" w:eastAsia="Arial" w:hAnsi="Arial"/>
                <w:color w:val="333333"/>
                <w:sz w:val="18"/>
                <w:szCs w:val="18"/>
              </w:rPr>
              <w:t xml:space="preserve">Representative service</w:t>
            </w:r>
          </w:p>
        </w:tc>
        <w:tc>
          <w:tcPr>
            <w:tcW w:type="dxa" w:w="1700"/>
            <w:shd w:fill="F5F4F0" w:val="clear"/>
          </w:tcPr>
          <w:p>
            <w:pPr>
              <w:spacing w:after="0"/>
            </w:pPr>
            <w:r>
              <w:rPr>
                <w:rFonts w:ascii="Arial" w:cs="Arial" w:eastAsia="Arial" w:hAnsi="Arial"/>
                <w:color w:val="333333"/>
                <w:sz w:val="18"/>
                <w:szCs w:val="18"/>
              </w:rPr>
              <w:t xml:space="preserve">£1,000-3,000/year</w:t>
            </w:r>
          </w:p>
        </w:tc>
        <w:tc>
          <w:tcPr>
            <w:tcW w:type="dxa" w:w="1200"/>
            <w:shd w:fill="F5F4F0" w:val="clear"/>
          </w:tcPr>
          <w:p>
            <w:pPr>
              <w:spacing w:after="0"/>
            </w:pPr>
            <w:r>
              <w:rPr>
                <w:rFonts w:ascii="Arial" w:cs="Arial" w:eastAsia="Arial" w:hAnsi="Arial"/>
                <w:color w:val="333333"/>
                <w:sz w:val="18"/>
                <w:szCs w:val="18"/>
              </w:rPr>
              <w:t xml:space="preserve">2 weeks</w:t>
            </w:r>
          </w:p>
        </w:tc>
        <w:tc>
          <w:tcPr>
            <w:tcW w:type="dxa" w:w="1860"/>
            <w:shd w:fill="F5F4F0" w:val="clear"/>
          </w:tcPr>
          <w:p>
            <w:pPr>
              <w:spacing w:after="0"/>
            </w:pPr>
            <w:r>
              <w:rPr>
                <w:rFonts w:ascii="Arial" w:cs="Arial" w:eastAsia="Arial" w:hAnsi="Arial"/>
                <w:color w:val="333333"/>
                <w:sz w:val="18"/>
                <w:szCs w:val="18"/>
              </w:rPr>
              <w:t xml:space="preserve">HIGH (if significant UK client base)</w:t>
            </w:r>
          </w:p>
        </w:tc>
      </w:tr>
      <w:tr>
        <w:tc>
          <w:tcPr>
            <w:tcW w:type="dxa" w:w="2800"/>
            <w:shd w:fill="FFFFFF" w:val="clear"/>
          </w:tcPr>
          <w:p>
            <w:pPr>
              <w:spacing w:after="0"/>
            </w:pPr>
            <w:r>
              <w:rPr>
                <w:rFonts w:ascii="Arial" w:cs="Arial" w:eastAsia="Arial" w:hAnsi="Arial"/>
                <w:color w:val="333333"/>
                <w:sz w:val="18"/>
                <w:szCs w:val="18"/>
              </w:rPr>
              <w:t xml:space="preserve">Insurance sector licensing assessment (if entering vertical)</w:t>
            </w:r>
          </w:p>
        </w:tc>
        <w:tc>
          <w:tcPr>
            <w:tcW w:type="dxa" w:w="1800"/>
            <w:shd w:fill="FFFFFF" w:val="clear"/>
          </w:tcPr>
          <w:p>
            <w:pPr>
              <w:spacing w:after="0"/>
            </w:pPr>
            <w:r>
              <w:rPr>
                <w:rFonts w:ascii="Arial" w:cs="Arial" w:eastAsia="Arial" w:hAnsi="Arial"/>
                <w:color w:val="333333"/>
                <w:sz w:val="18"/>
                <w:szCs w:val="18"/>
              </w:rPr>
              <w:t xml:space="preserve">National Insurance Commission</w:t>
            </w:r>
          </w:p>
        </w:tc>
        <w:tc>
          <w:tcPr>
            <w:tcW w:type="dxa" w:w="1700"/>
            <w:shd w:fill="FFFFFF" w:val="clear"/>
          </w:tcPr>
          <w:p>
            <w:pPr>
              <w:spacing w:after="0"/>
            </w:pPr>
            <w:r>
              <w:rPr>
                <w:rFonts w:ascii="Arial" w:cs="Arial" w:eastAsia="Arial" w:hAnsi="Arial"/>
                <w:color w:val="333333"/>
                <w:sz w:val="18"/>
                <w:szCs w:val="18"/>
              </w:rPr>
              <w:t xml:space="preserve">$2,000-3,000 legal review</w:t>
            </w:r>
          </w:p>
        </w:tc>
        <w:tc>
          <w:tcPr>
            <w:tcW w:type="dxa" w:w="1200"/>
            <w:shd w:fill="FFFFFF" w:val="clear"/>
          </w:tcPr>
          <w:p>
            <w:pPr>
              <w:spacing w:after="0"/>
            </w:pPr>
            <w:r>
              <w:rPr>
                <w:rFonts w:ascii="Arial" w:cs="Arial" w:eastAsia="Arial" w:hAnsi="Arial"/>
                <w:color w:val="333333"/>
                <w:sz w:val="18"/>
                <w:szCs w:val="18"/>
              </w:rPr>
              <w:t xml:space="preserve">6-8 weeks</w:t>
            </w:r>
          </w:p>
        </w:tc>
        <w:tc>
          <w:tcPr>
            <w:tcW w:type="dxa" w:w="1860"/>
            <w:shd w:fill="FFFFFF" w:val="clear"/>
          </w:tcPr>
          <w:p>
            <w:pPr>
              <w:spacing w:after="0"/>
            </w:pPr>
            <w:r>
              <w:rPr>
                <w:rFonts w:ascii="Arial" w:cs="Arial" w:eastAsia="Arial" w:hAnsi="Arial"/>
                <w:color w:val="333333"/>
                <w:sz w:val="18"/>
                <w:szCs w:val="18"/>
              </w:rPr>
              <w:t xml:space="preserve">MEDIUM</w:t>
            </w:r>
          </w:p>
        </w:tc>
      </w:tr>
      <w:tr>
        <w:tc>
          <w:tcPr>
            <w:tcW w:type="dxa" w:w="2800"/>
            <w:shd w:fill="F5F4F0" w:val="clear"/>
          </w:tcPr>
          <w:p>
            <w:pPr>
              <w:spacing w:after="0"/>
            </w:pPr>
            <w:r>
              <w:rPr>
                <w:rFonts w:ascii="Arial" w:cs="Arial" w:eastAsia="Arial" w:hAnsi="Arial"/>
                <w:color w:val="333333"/>
                <w:sz w:val="18"/>
                <w:szCs w:val="18"/>
              </w:rPr>
              <w:t xml:space="preserve">IP assignment from Manti Labs to EyeOnSite (if fundraising)</w:t>
            </w:r>
          </w:p>
        </w:tc>
        <w:tc>
          <w:tcPr>
            <w:tcW w:type="dxa" w:w="1800"/>
            <w:shd w:fill="F5F4F0" w:val="clear"/>
          </w:tcPr>
          <w:p>
            <w:pPr>
              <w:spacing w:after="0"/>
            </w:pPr>
            <w:r>
              <w:rPr>
                <w:rFonts w:ascii="Arial" w:cs="Arial" w:eastAsia="Arial" w:hAnsi="Arial"/>
                <w:color w:val="333333"/>
                <w:sz w:val="18"/>
                <w:szCs w:val="18"/>
              </w:rPr>
              <w:t xml:space="preserve">IP lawyer</w:t>
            </w:r>
          </w:p>
        </w:tc>
        <w:tc>
          <w:tcPr>
            <w:tcW w:type="dxa" w:w="1700"/>
            <w:shd w:fill="F5F4F0" w:val="clear"/>
          </w:tcPr>
          <w:p>
            <w:pPr>
              <w:spacing w:after="0"/>
            </w:pPr>
            <w:r>
              <w:rPr>
                <w:rFonts w:ascii="Arial" w:cs="Arial" w:eastAsia="Arial" w:hAnsi="Arial"/>
                <w:color w:val="333333"/>
                <w:sz w:val="18"/>
                <w:szCs w:val="18"/>
              </w:rPr>
              <w:t xml:space="preserve">$3,000-5,000</w:t>
            </w:r>
          </w:p>
        </w:tc>
        <w:tc>
          <w:tcPr>
            <w:tcW w:type="dxa" w:w="1200"/>
            <w:shd w:fill="F5F4F0" w:val="clear"/>
          </w:tcPr>
          <w:p>
            <w:pPr>
              <w:spacing w:after="0"/>
            </w:pPr>
            <w:r>
              <w:rPr>
                <w:rFonts w:ascii="Arial" w:cs="Arial" w:eastAsia="Arial" w:hAnsi="Arial"/>
                <w:color w:val="333333"/>
                <w:sz w:val="18"/>
                <w:szCs w:val="18"/>
              </w:rPr>
              <w:t xml:space="preserve">4-6 weeks</w:t>
            </w:r>
          </w:p>
        </w:tc>
        <w:tc>
          <w:tcPr>
            <w:tcW w:type="dxa" w:w="1860"/>
            <w:shd w:fill="F5F4F0" w:val="clear"/>
          </w:tcPr>
          <w:p>
            <w:pPr>
              <w:spacing w:after="0"/>
            </w:pPr>
            <w:r>
              <w:rPr>
                <w:rFonts w:ascii="Arial" w:cs="Arial" w:eastAsia="Arial" w:hAnsi="Arial"/>
                <w:color w:val="333333"/>
                <w:sz w:val="18"/>
                <w:szCs w:val="18"/>
              </w:rPr>
              <w:t xml:space="preserve">DEPENDS ON FUNDRAISE</w:t>
            </w:r>
          </w:p>
        </w:tc>
      </w:tr>
      <w:tr>
        <w:tc>
          <w:tcPr>
            <w:tcW w:type="dxa" w:w="2800"/>
            <w:shd w:fill="FFFFFF" w:val="clear"/>
          </w:tcPr>
          <w:p>
            <w:pPr>
              <w:spacing w:after="0"/>
            </w:pPr>
            <w:r>
              <w:rPr>
                <w:rFonts w:ascii="Arial" w:cs="Arial" w:eastAsia="Arial" w:hAnsi="Arial"/>
                <w:color w:val="333333"/>
                <w:sz w:val="18"/>
                <w:szCs w:val="18"/>
              </w:rPr>
              <w:t xml:space="preserve">Transfer pricing documentation</w:t>
            </w:r>
          </w:p>
        </w:tc>
        <w:tc>
          <w:tcPr>
            <w:tcW w:type="dxa" w:w="1800"/>
            <w:shd w:fill="FFFFFF" w:val="clear"/>
          </w:tcPr>
          <w:p>
            <w:pPr>
              <w:spacing w:after="0"/>
            </w:pPr>
            <w:r>
              <w:rPr>
                <w:rFonts w:ascii="Arial" w:cs="Arial" w:eastAsia="Arial" w:hAnsi="Arial"/>
                <w:color w:val="333333"/>
                <w:sz w:val="18"/>
                <w:szCs w:val="18"/>
              </w:rPr>
              <w:t xml:space="preserve">Tax advisor</w:t>
            </w:r>
          </w:p>
        </w:tc>
        <w:tc>
          <w:tcPr>
            <w:tcW w:type="dxa" w:w="1700"/>
            <w:shd w:fill="FFFFFF" w:val="clear"/>
          </w:tcPr>
          <w:p>
            <w:pPr>
              <w:spacing w:after="0"/>
            </w:pPr>
            <w:r>
              <w:rPr>
                <w:rFonts w:ascii="Arial" w:cs="Arial" w:eastAsia="Arial" w:hAnsi="Arial"/>
                <w:color w:val="333333"/>
                <w:sz w:val="18"/>
                <w:szCs w:val="18"/>
              </w:rPr>
              <w:t xml:space="preserve">$2,000-4,000</w:t>
            </w:r>
          </w:p>
        </w:tc>
        <w:tc>
          <w:tcPr>
            <w:tcW w:type="dxa" w:w="1200"/>
            <w:shd w:fill="FFFFFF" w:val="clear"/>
          </w:tcPr>
          <w:p>
            <w:pPr>
              <w:spacing w:after="0"/>
            </w:pPr>
            <w:r>
              <w:rPr>
                <w:rFonts w:ascii="Arial" w:cs="Arial" w:eastAsia="Arial" w:hAnsi="Arial"/>
                <w:color w:val="333333"/>
                <w:sz w:val="18"/>
                <w:szCs w:val="18"/>
              </w:rPr>
              <w:t xml:space="preserve">4-6 weeks</w:t>
            </w:r>
          </w:p>
        </w:tc>
        <w:tc>
          <w:tcPr>
            <w:tcW w:type="dxa" w:w="1860"/>
            <w:shd w:fill="FFFFFF" w:val="clear"/>
          </w:tcPr>
          <w:p>
            <w:pPr>
              <w:spacing w:after="0"/>
            </w:pPr>
            <w:r>
              <w:rPr>
                <w:rFonts w:ascii="Arial" w:cs="Arial" w:eastAsia="Arial" w:hAnsi="Arial"/>
                <w:color w:val="333333"/>
                <w:sz w:val="18"/>
                <w:szCs w:val="18"/>
              </w:rPr>
              <w:t xml:space="preserve">HIGH (when revenue is significant)</w:t>
            </w:r>
          </w:p>
        </w:tc>
      </w:tr>
      <w:tr>
        <w:tc>
          <w:tcPr>
            <w:tcW w:type="dxa" w:w="2800"/>
            <w:shd w:fill="F5F4F0" w:val="clear"/>
          </w:tcPr>
          <w:p>
            <w:pPr>
              <w:spacing w:after="0"/>
            </w:pPr>
            <w:r>
              <w:rPr>
                <w:rFonts w:ascii="Arial" w:cs="Arial" w:eastAsia="Arial" w:hAnsi="Arial"/>
                <w:color w:val="333333"/>
                <w:sz w:val="18"/>
                <w:szCs w:val="18"/>
              </w:rPr>
              <w:t xml:space="preserve">Formal data processing agreements with all vendors</w:t>
            </w:r>
          </w:p>
        </w:tc>
        <w:tc>
          <w:tcPr>
            <w:tcW w:type="dxa" w:w="1800"/>
            <w:shd w:fill="F5F4F0" w:val="clear"/>
          </w:tcPr>
          <w:p>
            <w:pPr>
              <w:spacing w:after="0"/>
            </w:pPr>
            <w:r>
              <w:rPr>
                <w:rFonts w:ascii="Arial" w:cs="Arial" w:eastAsia="Arial" w:hAnsi="Arial"/>
                <w:color w:val="333333"/>
                <w:sz w:val="18"/>
                <w:szCs w:val="18"/>
              </w:rPr>
              <w:t xml:space="preserve">Legal review</w:t>
            </w:r>
          </w:p>
        </w:tc>
        <w:tc>
          <w:tcPr>
            <w:tcW w:type="dxa" w:w="1700"/>
            <w:shd w:fill="F5F4F0" w:val="clear"/>
          </w:tcPr>
          <w:p>
            <w:pPr>
              <w:spacing w:after="0"/>
            </w:pPr>
            <w:r>
              <w:rPr>
                <w:rFonts w:ascii="Arial" w:cs="Arial" w:eastAsia="Arial" w:hAnsi="Arial"/>
                <w:color w:val="333333"/>
                <w:sz w:val="18"/>
                <w:szCs w:val="18"/>
              </w:rPr>
              <w:t xml:space="preserve">$1,000-2,000</w:t>
            </w:r>
          </w:p>
        </w:tc>
        <w:tc>
          <w:tcPr>
            <w:tcW w:type="dxa" w:w="1200"/>
            <w:shd w:fill="F5F4F0" w:val="clear"/>
          </w:tcPr>
          <w:p>
            <w:pPr>
              <w:spacing w:after="0"/>
            </w:pPr>
            <w:r>
              <w:rPr>
                <w:rFonts w:ascii="Arial" w:cs="Arial" w:eastAsia="Arial" w:hAnsi="Arial"/>
                <w:color w:val="333333"/>
                <w:sz w:val="18"/>
                <w:szCs w:val="18"/>
              </w:rPr>
              <w:t xml:space="preserve">4 weeks</w:t>
            </w:r>
          </w:p>
        </w:tc>
        <w:tc>
          <w:tcPr>
            <w:tcW w:type="dxa" w:w="1860"/>
            <w:shd w:fill="F5F4F0" w:val="clear"/>
          </w:tcPr>
          <w:p>
            <w:pPr>
              <w:spacing w:after="0"/>
            </w:pPr>
            <w:r>
              <w:rPr>
                <w:rFonts w:ascii="Arial" w:cs="Arial" w:eastAsia="Arial" w:hAnsi="Arial"/>
                <w:color w:val="333333"/>
                <w:sz w:val="18"/>
                <w:szCs w:val="18"/>
              </w:rPr>
              <w:t xml:space="preserve">MEDIUM</w:t>
            </w:r>
          </w:p>
        </w:tc>
      </w:tr>
    </w:tbl>
    <w:p>
      <w:pPr>
        <w:spacing w:after="0"/>
      </w:pPr>
    </w:p>
    <w:p>
      <w:pPr>
        <w:spacing w:after="140" w:line="276"/>
      </w:pPr>
      <w:r>
        <w:rPr>
          <w:rFonts w:ascii="Arial" w:cs="Arial" w:eastAsia="Arial" w:hAnsi="Arial"/>
          <w:b/>
          <w:bCs/>
          <w:color w:val="333333"/>
          <w:sz w:val="20"/>
          <w:szCs w:val="20"/>
        </w:rPr>
        <w:t xml:space="preserve">Total V3 compliance budget: </w:t>
      </w:r>
      <w:r>
        <w:rPr>
          <w:rFonts w:ascii="Arial" w:cs="Arial" w:eastAsia="Arial" w:hAnsi="Arial"/>
          <w:color w:val="333333"/>
          <w:sz w:val="20"/>
          <w:szCs w:val="20"/>
        </w:rPr>
        <w:t xml:space="preserve">$9,000-17,000 (additional)</w:t>
      </w:r>
    </w:p>
    <w:p>
      <w:pPr>
        <w:pStyle w:val="Heading1"/>
        <w:spacing w:after="200" w:before="400"/>
      </w:pPr>
      <w:r>
        <w:rPr>
          <w:rFonts w:ascii="Arial" w:cs="Arial" w:eastAsia="Arial" w:hAnsi="Arial"/>
          <w:b/>
          <w:bCs/>
          <w:color w:val="022B1E"/>
          <w:sz w:val="28"/>
          <w:szCs w:val="28"/>
        </w:rPr>
        <w:t xml:space="preserve">10. Regulatory Risk Register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022B1E" w:val="clear"/>
          </w:tcPr>
          <w:p>
            <w:pPr>
              <w:spacing w:after="0"/>
            </w:pPr>
            <w:r>
              <w:rPr>
                <w:rFonts w:ascii="Arial" w:cs="Arial" w:eastAsia="Arial" w:hAnsi="Arial"/>
                <w:b/>
                <w:bCs/>
                <w:color w:val="FFFFFF"/>
                <w:sz w:val="18"/>
                <w:szCs w:val="18"/>
              </w:rPr>
              <w:t xml:space="preserve">Risk</w:t>
            </w:r>
          </w:p>
        </w:tc>
        <w:tc>
          <w:tcPr>
            <w:tcW w:type="dxa" w:w="1100"/>
            <w:shd w:fill="022B1E" w:val="clear"/>
          </w:tcPr>
          <w:p>
            <w:pPr>
              <w:spacing w:after="0"/>
            </w:pPr>
            <w:r>
              <w:rPr>
                <w:rFonts w:ascii="Arial" w:cs="Arial" w:eastAsia="Arial" w:hAnsi="Arial"/>
                <w:b/>
                <w:bCs/>
                <w:color w:val="FFFFFF"/>
                <w:sz w:val="18"/>
                <w:szCs w:val="18"/>
              </w:rPr>
              <w:t xml:space="preserve">Probability</w:t>
            </w:r>
          </w:p>
        </w:tc>
        <w:tc>
          <w:tcPr>
            <w:tcW w:type="dxa" w:w="1200"/>
            <w:shd w:fill="022B1E" w:val="clear"/>
          </w:tcPr>
          <w:p>
            <w:pPr>
              <w:spacing w:after="0"/>
            </w:pPr>
            <w:r>
              <w:rPr>
                <w:rFonts w:ascii="Arial" w:cs="Arial" w:eastAsia="Arial" w:hAnsi="Arial"/>
                <w:b/>
                <w:bCs/>
                <w:color w:val="FFFFFF"/>
                <w:sz w:val="18"/>
                <w:szCs w:val="18"/>
              </w:rPr>
              <w:t xml:space="preserve">Impact</w:t>
            </w:r>
          </w:p>
        </w:tc>
        <w:tc>
          <w:tcPr>
            <w:tcW w:type="dxa" w:w="1400"/>
            <w:shd w:fill="022B1E" w:val="clear"/>
          </w:tcPr>
          <w:p>
            <w:pPr>
              <w:spacing w:after="0"/>
            </w:pPr>
            <w:r>
              <w:rPr>
                <w:rFonts w:ascii="Arial" w:cs="Arial" w:eastAsia="Arial" w:hAnsi="Arial"/>
                <w:b/>
                <w:bCs/>
                <w:color w:val="FFFFFF"/>
                <w:sz w:val="18"/>
                <w:szCs w:val="18"/>
              </w:rPr>
              <w:t xml:space="preserve">Jurisdiction</w:t>
            </w:r>
          </w:p>
        </w:tc>
        <w:tc>
          <w:tcPr>
            <w:tcW w:type="dxa" w:w="3860"/>
            <w:shd w:fill="022B1E" w:val="clear"/>
          </w:tcPr>
          <w:p>
            <w:pPr>
              <w:spacing w:after="0"/>
            </w:pPr>
            <w:r>
              <w:rPr>
                <w:rFonts w:ascii="Arial" w:cs="Arial" w:eastAsia="Arial" w:hAnsi="Arial"/>
                <w:b/>
                <w:bCs/>
                <w:color w:val="FFFFFF"/>
                <w:sz w:val="18"/>
                <w:szCs w:val="18"/>
              </w:rPr>
              <w:t xml:space="preserve">Mitigation</w:t>
            </w:r>
          </w:p>
        </w:tc>
      </w:tr>
      <w:tr>
        <w:tc>
          <w:tcPr>
            <w:tcW w:type="dxa" w:w="1800"/>
            <w:shd w:fill="F5F4F0" w:val="clear"/>
          </w:tcPr>
          <w:p>
            <w:pPr>
              <w:spacing w:after="0"/>
            </w:pPr>
            <w:r>
              <w:rPr>
                <w:rFonts w:ascii="Arial" w:cs="Arial" w:eastAsia="Arial" w:hAnsi="Arial"/>
                <w:color w:val="333333"/>
                <w:sz w:val="18"/>
                <w:szCs w:val="18"/>
              </w:rPr>
              <w:t xml:space="preserve">Gig worker reclassification legislation</w:t>
            </w:r>
          </w:p>
        </w:tc>
        <w:tc>
          <w:tcPr>
            <w:tcW w:type="dxa" w:w="1100"/>
            <w:shd w:fill="F5F4F0" w:val="clear"/>
          </w:tcPr>
          <w:p>
            <w:pPr>
              <w:spacing w:after="0"/>
            </w:pPr>
            <w:r>
              <w:rPr>
                <w:rFonts w:ascii="Arial" w:cs="Arial" w:eastAsia="Arial" w:hAnsi="Arial"/>
                <w:color w:val="333333"/>
                <w:sz w:val="18"/>
                <w:szCs w:val="18"/>
              </w:rPr>
              <w:t xml:space="preserve">MEDIUM (2-5 years)</w:t>
            </w:r>
          </w:p>
        </w:tc>
        <w:tc>
          <w:tcPr>
            <w:tcW w:type="dxa" w:w="1200"/>
            <w:shd w:fill="F5F4F0" w:val="clear"/>
          </w:tcPr>
          <w:p>
            <w:pPr>
              <w:spacing w:after="0"/>
            </w:pPr>
            <w:r>
              <w:rPr>
                <w:rFonts w:ascii="Arial" w:cs="Arial" w:eastAsia="Arial" w:hAnsi="Arial"/>
                <w:color w:val="333333"/>
                <w:sz w:val="18"/>
                <w:szCs w:val="18"/>
              </w:rPr>
              <w:t xml:space="preserve">HIGH (18.5% payroll cost increase)</w:t>
            </w:r>
          </w:p>
        </w:tc>
        <w:tc>
          <w:tcPr>
            <w:tcW w:type="dxa" w:w="1400"/>
            <w:shd w:fill="F5F4F0" w:val="clear"/>
          </w:tcPr>
          <w:p>
            <w:pPr>
              <w:spacing w:after="0"/>
            </w:pPr>
            <w:r>
              <w:rPr>
                <w:rFonts w:ascii="Arial" w:cs="Arial" w:eastAsia="Arial" w:hAnsi="Arial"/>
                <w:color w:val="333333"/>
                <w:sz w:val="18"/>
                <w:szCs w:val="18"/>
              </w:rPr>
              <w:t xml:space="preserve">Ghana, Nigeria, Kenya</w:t>
            </w:r>
          </w:p>
        </w:tc>
        <w:tc>
          <w:tcPr>
            <w:tcW w:type="dxa" w:w="3860"/>
            <w:shd w:fill="F5F4F0" w:val="clear"/>
          </w:tcPr>
          <w:p>
            <w:pPr>
              <w:spacing w:after="0"/>
            </w:pPr>
            <w:r>
              <w:rPr>
                <w:rFonts w:ascii="Arial" w:cs="Arial" w:eastAsia="Arial" w:hAnsi="Arial"/>
                <w:color w:val="333333"/>
                <w:sz w:val="18"/>
                <w:szCs w:val="18"/>
              </w:rPr>
              <w:t xml:space="preserve">Maximize genuine contractor independence in platform design</w:t>
            </w:r>
          </w:p>
        </w:tc>
      </w:tr>
      <w:tr>
        <w:tc>
          <w:tcPr>
            <w:tcW w:type="dxa" w:w="1800"/>
            <w:shd w:fill="FFFFFF" w:val="clear"/>
          </w:tcPr>
          <w:p>
            <w:pPr>
              <w:spacing w:after="0"/>
            </w:pPr>
            <w:r>
              <w:rPr>
                <w:rFonts w:ascii="Arial" w:cs="Arial" w:eastAsia="Arial" w:hAnsi="Arial"/>
                <w:color w:val="333333"/>
                <w:sz w:val="18"/>
                <w:szCs w:val="18"/>
              </w:rPr>
              <w:t xml:space="preserve">PSP license requirement for escrow</w:t>
            </w:r>
          </w:p>
        </w:tc>
        <w:tc>
          <w:tcPr>
            <w:tcW w:type="dxa" w:w="1100"/>
            <w:shd w:fill="FFFFFF" w:val="clear"/>
          </w:tcPr>
          <w:p>
            <w:pPr>
              <w:spacing w:after="0"/>
            </w:pPr>
            <w:r>
              <w:rPr>
                <w:rFonts w:ascii="Arial" w:cs="Arial" w:eastAsia="Arial" w:hAnsi="Arial"/>
                <w:color w:val="333333"/>
                <w:sz w:val="18"/>
                <w:szCs w:val="18"/>
              </w:rPr>
              <w:t xml:space="preserve">MEDIUM</w:t>
            </w:r>
          </w:p>
        </w:tc>
        <w:tc>
          <w:tcPr>
            <w:tcW w:type="dxa" w:w="1200"/>
            <w:shd w:fill="FFFFFF" w:val="clear"/>
          </w:tcPr>
          <w:p>
            <w:pPr>
              <w:spacing w:after="0"/>
            </w:pPr>
            <w:r>
              <w:rPr>
                <w:rFonts w:ascii="Arial" w:cs="Arial" w:eastAsia="Arial" w:hAnsi="Arial"/>
                <w:color w:val="333333"/>
                <w:sz w:val="18"/>
                <w:szCs w:val="18"/>
              </w:rPr>
              <w:t xml:space="preserve">HIGH (capital requirements, delays)</w:t>
            </w:r>
          </w:p>
        </w:tc>
        <w:tc>
          <w:tcPr>
            <w:tcW w:type="dxa" w:w="1400"/>
            <w:shd w:fill="FFFFFF" w:val="clear"/>
          </w:tcPr>
          <w:p>
            <w:pPr>
              <w:spacing w:after="0"/>
            </w:pPr>
            <w:r>
              <w:rPr>
                <w:rFonts w:ascii="Arial" w:cs="Arial" w:eastAsia="Arial" w:hAnsi="Arial"/>
                <w:color w:val="333333"/>
                <w:sz w:val="18"/>
                <w:szCs w:val="18"/>
              </w:rPr>
              <w:t xml:space="preserve">Ghana</w:t>
            </w:r>
          </w:p>
        </w:tc>
        <w:tc>
          <w:tcPr>
            <w:tcW w:type="dxa" w:w="3860"/>
            <w:shd w:fill="FFFFFF" w:val="clear"/>
          </w:tcPr>
          <w:p>
            <w:pPr>
              <w:spacing w:after="0"/>
            </w:pPr>
            <w:r>
              <w:rPr>
                <w:rFonts w:ascii="Arial" w:cs="Arial" w:eastAsia="Arial" w:hAnsi="Arial"/>
                <w:color w:val="333333"/>
                <w:sz w:val="18"/>
                <w:szCs w:val="18"/>
              </w:rPr>
              <w:t xml:space="preserve">Legal opinion + Stripe Connect agency model</w:t>
            </w:r>
          </w:p>
        </w:tc>
      </w:tr>
      <w:tr>
        <w:tc>
          <w:tcPr>
            <w:tcW w:type="dxa" w:w="1800"/>
            <w:shd w:fill="F5F4F0" w:val="clear"/>
          </w:tcPr>
          <w:p>
            <w:pPr>
              <w:spacing w:after="0"/>
            </w:pPr>
            <w:r>
              <w:rPr>
                <w:rFonts w:ascii="Arial" w:cs="Arial" w:eastAsia="Arial" w:hAnsi="Arial"/>
                <w:color w:val="333333"/>
                <w:sz w:val="18"/>
                <w:szCs w:val="18"/>
              </w:rPr>
              <w:t xml:space="preserve">Data breach / DPC enforcement action</w:t>
            </w:r>
          </w:p>
        </w:tc>
        <w:tc>
          <w:tcPr>
            <w:tcW w:type="dxa" w:w="1100"/>
            <w:shd w:fill="F5F4F0" w:val="clear"/>
          </w:tcPr>
          <w:p>
            <w:pPr>
              <w:spacing w:after="0"/>
            </w:pPr>
            <w:r>
              <w:rPr>
                <w:rFonts w:ascii="Arial" w:cs="Arial" w:eastAsia="Arial" w:hAnsi="Arial"/>
                <w:color w:val="333333"/>
                <w:sz w:val="18"/>
                <w:szCs w:val="18"/>
              </w:rPr>
              <w:t xml:space="preserve">LOW-MEDIUM</w:t>
            </w:r>
          </w:p>
        </w:tc>
        <w:tc>
          <w:tcPr>
            <w:tcW w:type="dxa" w:w="1200"/>
            <w:shd w:fill="F5F4F0" w:val="clear"/>
          </w:tcPr>
          <w:p>
            <w:pPr>
              <w:spacing w:after="0"/>
            </w:pPr>
            <w:r>
              <w:rPr>
                <w:rFonts w:ascii="Arial" w:cs="Arial" w:eastAsia="Arial" w:hAnsi="Arial"/>
                <w:color w:val="333333"/>
                <w:sz w:val="18"/>
                <w:szCs w:val="18"/>
              </w:rPr>
              <w:t xml:space="preserve">HIGH (fines, reputation)</w:t>
            </w:r>
          </w:p>
        </w:tc>
        <w:tc>
          <w:tcPr>
            <w:tcW w:type="dxa" w:w="1400"/>
            <w:shd w:fill="F5F4F0" w:val="clear"/>
          </w:tcPr>
          <w:p>
            <w:pPr>
              <w:spacing w:after="0"/>
            </w:pPr>
            <w:r>
              <w:rPr>
                <w:rFonts w:ascii="Arial" w:cs="Arial" w:eastAsia="Arial" w:hAnsi="Arial"/>
                <w:color w:val="333333"/>
                <w:sz w:val="18"/>
                <w:szCs w:val="18"/>
              </w:rPr>
              <w:t xml:space="preserve">All</w:t>
            </w:r>
          </w:p>
        </w:tc>
        <w:tc>
          <w:tcPr>
            <w:tcW w:type="dxa" w:w="3860"/>
            <w:shd w:fill="F5F4F0" w:val="clear"/>
          </w:tcPr>
          <w:p>
            <w:pPr>
              <w:spacing w:after="0"/>
            </w:pPr>
            <w:r>
              <w:rPr>
                <w:rFonts w:ascii="Arial" w:cs="Arial" w:eastAsia="Arial" w:hAnsi="Arial"/>
                <w:color w:val="333333"/>
                <w:sz w:val="18"/>
                <w:szCs w:val="18"/>
              </w:rPr>
              <w:t xml:space="preserve">Encryption, access controls, breach response plan, DPC registration</w:t>
            </w:r>
          </w:p>
        </w:tc>
      </w:tr>
      <w:tr>
        <w:tc>
          <w:tcPr>
            <w:tcW w:type="dxa" w:w="1800"/>
            <w:shd w:fill="FFFFFF" w:val="clear"/>
          </w:tcPr>
          <w:p>
            <w:pPr>
              <w:spacing w:after="0"/>
            </w:pPr>
            <w:r>
              <w:rPr>
                <w:rFonts w:ascii="Arial" w:cs="Arial" w:eastAsia="Arial" w:hAnsi="Arial"/>
                <w:color w:val="333333"/>
                <w:sz w:val="18"/>
                <w:szCs w:val="18"/>
              </w:rPr>
              <w:t xml:space="preserve">Kenya commission cap extended to gig marketplaces</w:t>
            </w:r>
          </w:p>
        </w:tc>
        <w:tc>
          <w:tcPr>
            <w:tcW w:type="dxa" w:w="1100"/>
            <w:shd w:fill="FFFFFF" w:val="clear"/>
          </w:tcPr>
          <w:p>
            <w:pPr>
              <w:spacing w:after="0"/>
            </w:pPr>
            <w:r>
              <w:rPr>
                <w:rFonts w:ascii="Arial" w:cs="Arial" w:eastAsia="Arial" w:hAnsi="Arial"/>
                <w:color w:val="333333"/>
                <w:sz w:val="18"/>
                <w:szCs w:val="18"/>
              </w:rPr>
              <w:t xml:space="preserve">MEDIUM</w:t>
            </w:r>
          </w:p>
        </w:tc>
        <w:tc>
          <w:tcPr>
            <w:tcW w:type="dxa" w:w="1200"/>
            <w:shd w:fill="FFFFFF" w:val="clear"/>
          </w:tcPr>
          <w:p>
            <w:pPr>
              <w:spacing w:after="0"/>
            </w:pPr>
            <w:r>
              <w:rPr>
                <w:rFonts w:ascii="Arial" w:cs="Arial" w:eastAsia="Arial" w:hAnsi="Arial"/>
                <w:color w:val="333333"/>
                <w:sz w:val="18"/>
                <w:szCs w:val="18"/>
              </w:rPr>
              <w:t xml:space="preserve">MEDIUM (already at 18%)</w:t>
            </w:r>
          </w:p>
        </w:tc>
        <w:tc>
          <w:tcPr>
            <w:tcW w:type="dxa" w:w="1400"/>
            <w:shd w:fill="FFFFFF" w:val="clear"/>
          </w:tcPr>
          <w:p>
            <w:pPr>
              <w:spacing w:after="0"/>
            </w:pPr>
            <w:r>
              <w:rPr>
                <w:rFonts w:ascii="Arial" w:cs="Arial" w:eastAsia="Arial" w:hAnsi="Arial"/>
                <w:color w:val="333333"/>
                <w:sz w:val="18"/>
                <w:szCs w:val="18"/>
              </w:rPr>
              <w:t xml:space="preserve">Kenya</w:t>
            </w:r>
          </w:p>
        </w:tc>
        <w:tc>
          <w:tcPr>
            <w:tcW w:type="dxa" w:w="3860"/>
            <w:shd w:fill="FFFFFF" w:val="clear"/>
          </w:tcPr>
          <w:p>
            <w:pPr>
              <w:spacing w:after="0"/>
            </w:pPr>
            <w:r>
              <w:rPr>
                <w:rFonts w:ascii="Arial" w:cs="Arial" w:eastAsia="Arial" w:hAnsi="Arial"/>
                <w:color w:val="333333"/>
                <w:sz w:val="18"/>
                <w:szCs w:val="18"/>
              </w:rPr>
              <w:t xml:space="preserve">18% take rate is already compliant</w:t>
            </w:r>
          </w:p>
        </w:tc>
      </w:tr>
      <w:tr>
        <w:tc>
          <w:tcPr>
            <w:tcW w:type="dxa" w:w="1800"/>
            <w:shd w:fill="F5F4F0" w:val="clear"/>
          </w:tcPr>
          <w:p>
            <w:pPr>
              <w:spacing w:after="0"/>
            </w:pPr>
            <w:r>
              <w:rPr>
                <w:rFonts w:ascii="Arial" w:cs="Arial" w:eastAsia="Arial" w:hAnsi="Arial"/>
                <w:color w:val="333333"/>
                <w:sz w:val="18"/>
                <w:szCs w:val="18"/>
              </w:rPr>
              <w:t xml:space="preserve">Nigeria CBN enforcement on unlicensed payment flows</w:t>
            </w:r>
          </w:p>
        </w:tc>
        <w:tc>
          <w:tcPr>
            <w:tcW w:type="dxa" w:w="1100"/>
            <w:shd w:fill="F5F4F0" w:val="clear"/>
          </w:tcPr>
          <w:p>
            <w:pPr>
              <w:spacing w:after="0"/>
            </w:pPr>
            <w:r>
              <w:rPr>
                <w:rFonts w:ascii="Arial" w:cs="Arial" w:eastAsia="Arial" w:hAnsi="Arial"/>
                <w:color w:val="333333"/>
                <w:sz w:val="18"/>
                <w:szCs w:val="18"/>
              </w:rPr>
              <w:t xml:space="preserve">LOW</w:t>
            </w:r>
          </w:p>
        </w:tc>
        <w:tc>
          <w:tcPr>
            <w:tcW w:type="dxa" w:w="1200"/>
            <w:shd w:fill="F5F4F0" w:val="clear"/>
          </w:tcPr>
          <w:p>
            <w:pPr>
              <w:spacing w:after="0"/>
            </w:pPr>
            <w:r>
              <w:rPr>
                <w:rFonts w:ascii="Arial" w:cs="Arial" w:eastAsia="Arial" w:hAnsi="Arial"/>
                <w:color w:val="333333"/>
                <w:sz w:val="18"/>
                <w:szCs w:val="18"/>
              </w:rPr>
              <w:t xml:space="preserve">HIGH</w:t>
            </w:r>
          </w:p>
        </w:tc>
        <w:tc>
          <w:tcPr>
            <w:tcW w:type="dxa" w:w="1400"/>
            <w:shd w:fill="F5F4F0" w:val="clear"/>
          </w:tcPr>
          <w:p>
            <w:pPr>
              <w:spacing w:after="0"/>
            </w:pPr>
            <w:r>
              <w:rPr>
                <w:rFonts w:ascii="Arial" w:cs="Arial" w:eastAsia="Arial" w:hAnsi="Arial"/>
                <w:color w:val="333333"/>
                <w:sz w:val="18"/>
                <w:szCs w:val="18"/>
              </w:rPr>
              <w:t xml:space="preserve">Nigeria</w:t>
            </w:r>
          </w:p>
        </w:tc>
        <w:tc>
          <w:tcPr>
            <w:tcW w:type="dxa" w:w="3860"/>
            <w:shd w:fill="F5F4F0" w:val="clear"/>
          </w:tcPr>
          <w:p>
            <w:pPr>
              <w:spacing w:after="0"/>
            </w:pPr>
            <w:r>
              <w:rPr>
                <w:rFonts w:ascii="Arial" w:cs="Arial" w:eastAsia="Arial" w:hAnsi="Arial"/>
                <w:color w:val="333333"/>
                <w:sz w:val="18"/>
                <w:szCs w:val="18"/>
              </w:rPr>
              <w:t xml:space="preserve">Route all flows through licensed Flutterwave/Paystack</w:t>
            </w:r>
          </w:p>
        </w:tc>
      </w:tr>
      <w:tr>
        <w:tc>
          <w:tcPr>
            <w:tcW w:type="dxa" w:w="1800"/>
            <w:shd w:fill="FFFFFF" w:val="clear"/>
          </w:tcPr>
          <w:p>
            <w:pPr>
              <w:spacing w:after="0"/>
            </w:pPr>
            <w:r>
              <w:rPr>
                <w:rFonts w:ascii="Arial" w:cs="Arial" w:eastAsia="Arial" w:hAnsi="Arial"/>
                <w:color w:val="333333"/>
                <w:sz w:val="18"/>
                <w:szCs w:val="18"/>
              </w:rPr>
              <w:t xml:space="preserve">Client sues over inspection quality leading to financial loss</w:t>
            </w:r>
          </w:p>
        </w:tc>
        <w:tc>
          <w:tcPr>
            <w:tcW w:type="dxa" w:w="1100"/>
            <w:shd w:fill="FFFFFF" w:val="clear"/>
          </w:tcPr>
          <w:p>
            <w:pPr>
              <w:spacing w:after="0"/>
            </w:pPr>
            <w:r>
              <w:rPr>
                <w:rFonts w:ascii="Arial" w:cs="Arial" w:eastAsia="Arial" w:hAnsi="Arial"/>
                <w:color w:val="333333"/>
                <w:sz w:val="18"/>
                <w:szCs w:val="18"/>
              </w:rPr>
              <w:t xml:space="preserve">MEDIUM</w:t>
            </w:r>
          </w:p>
        </w:tc>
        <w:tc>
          <w:tcPr>
            <w:tcW w:type="dxa" w:w="1200"/>
            <w:shd w:fill="FFFFFF" w:val="clear"/>
          </w:tcPr>
          <w:p>
            <w:pPr>
              <w:spacing w:after="0"/>
            </w:pPr>
            <w:r>
              <w:rPr>
                <w:rFonts w:ascii="Arial" w:cs="Arial" w:eastAsia="Arial" w:hAnsi="Arial"/>
                <w:color w:val="333333"/>
                <w:sz w:val="18"/>
                <w:szCs w:val="18"/>
              </w:rPr>
              <w:t xml:space="preserve">MEDIUM</w:t>
            </w:r>
          </w:p>
        </w:tc>
        <w:tc>
          <w:tcPr>
            <w:tcW w:type="dxa" w:w="1400"/>
            <w:shd w:fill="FFFFFF" w:val="clear"/>
          </w:tcPr>
          <w:p>
            <w:pPr>
              <w:spacing w:after="0"/>
            </w:pPr>
            <w:r>
              <w:rPr>
                <w:rFonts w:ascii="Arial" w:cs="Arial" w:eastAsia="Arial" w:hAnsi="Arial"/>
                <w:color w:val="333333"/>
                <w:sz w:val="18"/>
                <w:szCs w:val="18"/>
              </w:rPr>
              <w:t xml:space="preserve">All</w:t>
            </w:r>
          </w:p>
        </w:tc>
        <w:tc>
          <w:tcPr>
            <w:tcW w:type="dxa" w:w="3860"/>
            <w:shd w:fill="FFFFFF" w:val="clear"/>
          </w:tcPr>
          <w:p>
            <w:pPr>
              <w:spacing w:after="0"/>
            </w:pPr>
            <w:r>
              <w:rPr>
                <w:rFonts w:ascii="Arial" w:cs="Arial" w:eastAsia="Arial" w:hAnsi="Arial"/>
                <w:color w:val="333333"/>
                <w:sz w:val="18"/>
                <w:szCs w:val="18"/>
              </w:rPr>
              <w:t xml:space="preserve">Prominent disclaimer, liability cap in TOS, insurance</w:t>
            </w:r>
          </w:p>
        </w:tc>
      </w:tr>
      <w:tr>
        <w:tc>
          <w:tcPr>
            <w:tcW w:type="dxa" w:w="1800"/>
            <w:shd w:fill="F5F4F0" w:val="clear"/>
          </w:tcPr>
          <w:p>
            <w:pPr>
              <w:spacing w:after="0"/>
            </w:pPr>
            <w:r>
              <w:rPr>
                <w:rFonts w:ascii="Arial" w:cs="Arial" w:eastAsia="Arial" w:hAnsi="Arial"/>
                <w:color w:val="333333"/>
                <w:sz w:val="18"/>
                <w:szCs w:val="18"/>
              </w:rPr>
              <w:t xml:space="preserve">Inspector safety incident (trespass, assault, accident)</w:t>
            </w:r>
          </w:p>
        </w:tc>
        <w:tc>
          <w:tcPr>
            <w:tcW w:type="dxa" w:w="1100"/>
            <w:shd w:fill="F5F4F0" w:val="clear"/>
          </w:tcPr>
          <w:p>
            <w:pPr>
              <w:spacing w:after="0"/>
            </w:pPr>
            <w:r>
              <w:rPr>
                <w:rFonts w:ascii="Arial" w:cs="Arial" w:eastAsia="Arial" w:hAnsi="Arial"/>
                <w:color w:val="333333"/>
                <w:sz w:val="18"/>
                <w:szCs w:val="18"/>
              </w:rPr>
              <w:t xml:space="preserve">LOW-MEDIUM</w:t>
            </w:r>
          </w:p>
        </w:tc>
        <w:tc>
          <w:tcPr>
            <w:tcW w:type="dxa" w:w="1200"/>
            <w:shd w:fill="F5F4F0" w:val="clear"/>
          </w:tcPr>
          <w:p>
            <w:pPr>
              <w:spacing w:after="0"/>
            </w:pPr>
            <w:r>
              <w:rPr>
                <w:rFonts w:ascii="Arial" w:cs="Arial" w:eastAsia="Arial" w:hAnsi="Arial"/>
                <w:color w:val="333333"/>
                <w:sz w:val="18"/>
                <w:szCs w:val="18"/>
              </w:rPr>
              <w:t xml:space="preserve">HIGH (liability, reputation)</w:t>
            </w:r>
          </w:p>
        </w:tc>
        <w:tc>
          <w:tcPr>
            <w:tcW w:type="dxa" w:w="1400"/>
            <w:shd w:fill="F5F4F0" w:val="clear"/>
          </w:tcPr>
          <w:p>
            <w:pPr>
              <w:spacing w:after="0"/>
            </w:pPr>
            <w:r>
              <w:rPr>
                <w:rFonts w:ascii="Arial" w:cs="Arial" w:eastAsia="Arial" w:hAnsi="Arial"/>
                <w:color w:val="333333"/>
                <w:sz w:val="18"/>
                <w:szCs w:val="18"/>
              </w:rPr>
              <w:t xml:space="preserve">All</w:t>
            </w:r>
          </w:p>
        </w:tc>
        <w:tc>
          <w:tcPr>
            <w:tcW w:type="dxa" w:w="3860"/>
            <w:shd w:fill="F5F4F0" w:val="clear"/>
          </w:tcPr>
          <w:p>
            <w:pPr>
              <w:spacing w:after="0"/>
            </w:pPr>
            <w:r>
              <w:rPr>
                <w:rFonts w:ascii="Arial" w:cs="Arial" w:eastAsia="Arial" w:hAnsi="Arial"/>
                <w:color w:val="333333"/>
                <w:sz w:val="18"/>
                <w:szCs w:val="18"/>
              </w:rPr>
              <w:t xml:space="preserve">Safety protocols, background checks, incident response SOP</w:t>
            </w:r>
          </w:p>
        </w:tc>
      </w:tr>
      <w:tr>
        <w:tc>
          <w:tcPr>
            <w:tcW w:type="dxa" w:w="1800"/>
            <w:shd w:fill="FFFFFF" w:val="clear"/>
          </w:tcPr>
          <w:p>
            <w:pPr>
              <w:spacing w:after="0"/>
            </w:pPr>
            <w:r>
              <w:rPr>
                <w:rFonts w:ascii="Arial" w:cs="Arial" w:eastAsia="Arial" w:hAnsi="Arial"/>
                <w:color w:val="333333"/>
                <w:sz w:val="18"/>
                <w:szCs w:val="18"/>
              </w:rPr>
              <w:t xml:space="preserve">VAT collection obligation triggers</w:t>
            </w:r>
          </w:p>
        </w:tc>
        <w:tc>
          <w:tcPr>
            <w:tcW w:type="dxa" w:w="1100"/>
            <w:shd w:fill="FFFFFF" w:val="clear"/>
          </w:tcPr>
          <w:p>
            <w:pPr>
              <w:spacing w:after="0"/>
            </w:pPr>
            <w:r>
              <w:rPr>
                <w:rFonts w:ascii="Arial" w:cs="Arial" w:eastAsia="Arial" w:hAnsi="Arial"/>
                <w:color w:val="333333"/>
                <w:sz w:val="18"/>
                <w:szCs w:val="18"/>
              </w:rPr>
              <w:t xml:space="preserve">HIGH (at V2 scale)</w:t>
            </w:r>
          </w:p>
        </w:tc>
        <w:tc>
          <w:tcPr>
            <w:tcW w:type="dxa" w:w="1200"/>
            <w:shd w:fill="FFFFFF" w:val="clear"/>
          </w:tcPr>
          <w:p>
            <w:pPr>
              <w:spacing w:after="0"/>
            </w:pPr>
            <w:r>
              <w:rPr>
                <w:rFonts w:ascii="Arial" w:cs="Arial" w:eastAsia="Arial" w:hAnsi="Arial"/>
                <w:color w:val="333333"/>
                <w:sz w:val="18"/>
                <w:szCs w:val="18"/>
              </w:rPr>
              <w:t xml:space="preserve">LOW (administrative burden)</w:t>
            </w:r>
          </w:p>
        </w:tc>
        <w:tc>
          <w:tcPr>
            <w:tcW w:type="dxa" w:w="1400"/>
            <w:shd w:fill="FFFFFF" w:val="clear"/>
          </w:tcPr>
          <w:p>
            <w:pPr>
              <w:spacing w:after="0"/>
            </w:pPr>
            <w:r>
              <w:rPr>
                <w:rFonts w:ascii="Arial" w:cs="Arial" w:eastAsia="Arial" w:hAnsi="Arial"/>
                <w:color w:val="333333"/>
                <w:sz w:val="18"/>
                <w:szCs w:val="18"/>
              </w:rPr>
              <w:t xml:space="preserve">Ghana, Nigeria, Kenya</w:t>
            </w:r>
          </w:p>
        </w:tc>
        <w:tc>
          <w:tcPr>
            <w:tcW w:type="dxa" w:w="3860"/>
            <w:shd w:fill="FFFFFF" w:val="clear"/>
          </w:tcPr>
          <w:p>
            <w:pPr>
              <w:spacing w:after="0"/>
            </w:pPr>
            <w:r>
              <w:rPr>
                <w:rFonts w:ascii="Arial" w:cs="Arial" w:eastAsia="Arial" w:hAnsi="Arial"/>
                <w:color w:val="333333"/>
                <w:sz w:val="18"/>
                <w:szCs w:val="18"/>
              </w:rPr>
              <w:t xml:space="preserve">Engage tax agent, build VAT into pricing</w:t>
            </w:r>
          </w:p>
        </w:tc>
      </w:tr>
      <w:tr>
        <w:tc>
          <w:tcPr>
            <w:tcW w:type="dxa" w:w="1800"/>
            <w:shd w:fill="F5F4F0" w:val="clear"/>
          </w:tcPr>
          <w:p>
            <w:pPr>
              <w:spacing w:after="0"/>
            </w:pPr>
            <w:r>
              <w:rPr>
                <w:rFonts w:ascii="Arial" w:cs="Arial" w:eastAsia="Arial" w:hAnsi="Arial"/>
                <w:color w:val="333333"/>
                <w:sz w:val="18"/>
                <w:szCs w:val="18"/>
              </w:rPr>
              <w:t xml:space="preserve">Transfer pricing audit (inter-company flows)</w:t>
            </w:r>
          </w:p>
        </w:tc>
        <w:tc>
          <w:tcPr>
            <w:tcW w:type="dxa" w:w="1100"/>
            <w:shd w:fill="F5F4F0" w:val="clear"/>
          </w:tcPr>
          <w:p>
            <w:pPr>
              <w:spacing w:after="0"/>
            </w:pPr>
            <w:r>
              <w:rPr>
                <w:rFonts w:ascii="Arial" w:cs="Arial" w:eastAsia="Arial" w:hAnsi="Arial"/>
                <w:color w:val="333333"/>
                <w:sz w:val="18"/>
                <w:szCs w:val="18"/>
              </w:rPr>
              <w:t xml:space="preserve">LOW</w:t>
            </w:r>
          </w:p>
        </w:tc>
        <w:tc>
          <w:tcPr>
            <w:tcW w:type="dxa" w:w="1200"/>
            <w:shd w:fill="F5F4F0" w:val="clear"/>
          </w:tcPr>
          <w:p>
            <w:pPr>
              <w:spacing w:after="0"/>
            </w:pPr>
            <w:r>
              <w:rPr>
                <w:rFonts w:ascii="Arial" w:cs="Arial" w:eastAsia="Arial" w:hAnsi="Arial"/>
                <w:color w:val="333333"/>
                <w:sz w:val="18"/>
                <w:szCs w:val="18"/>
              </w:rPr>
              <w:t xml:space="preserve">MEDIUM</w:t>
            </w:r>
          </w:p>
        </w:tc>
        <w:tc>
          <w:tcPr>
            <w:tcW w:type="dxa" w:w="1400"/>
            <w:shd w:fill="F5F4F0" w:val="clear"/>
          </w:tcPr>
          <w:p>
            <w:pPr>
              <w:spacing w:after="0"/>
            </w:pPr>
            <w:r>
              <w:rPr>
                <w:rFonts w:ascii="Arial" w:cs="Arial" w:eastAsia="Arial" w:hAnsi="Arial"/>
                <w:color w:val="333333"/>
                <w:sz w:val="18"/>
                <w:szCs w:val="18"/>
              </w:rPr>
              <w:t xml:space="preserve">Ghana, USA</w:t>
            </w:r>
          </w:p>
        </w:tc>
        <w:tc>
          <w:tcPr>
            <w:tcW w:type="dxa" w:w="3860"/>
            <w:shd w:fill="F5F4F0" w:val="clear"/>
          </w:tcPr>
          <w:p>
            <w:pPr>
              <w:spacing w:after="0"/>
            </w:pPr>
            <w:r>
              <w:rPr>
                <w:rFonts w:ascii="Arial" w:cs="Arial" w:eastAsia="Arial" w:hAnsi="Arial"/>
                <w:color w:val="333333"/>
                <w:sz w:val="18"/>
                <w:szCs w:val="18"/>
              </w:rPr>
              <w:t xml:space="preserve">Arm's length documentation, tax advisor</w:t>
            </w:r>
          </w:p>
        </w:tc>
      </w:tr>
      <w:tr>
        <w:tc>
          <w:tcPr>
            <w:tcW w:type="dxa" w:w="1800"/>
            <w:shd w:fill="FFFFFF" w:val="clear"/>
          </w:tcPr>
          <w:p>
            <w:pPr>
              <w:spacing w:after="0"/>
            </w:pPr>
            <w:r>
              <w:rPr>
                <w:rFonts w:ascii="Arial" w:cs="Arial" w:eastAsia="Arial" w:hAnsi="Arial"/>
                <w:color w:val="333333"/>
                <w:sz w:val="18"/>
                <w:szCs w:val="18"/>
              </w:rPr>
              <w:t xml:space="preserve">UK/EU GDPR complaint from diaspora client</w:t>
            </w:r>
          </w:p>
        </w:tc>
        <w:tc>
          <w:tcPr>
            <w:tcW w:type="dxa" w:w="1100"/>
            <w:shd w:fill="FFFFFF" w:val="clear"/>
          </w:tcPr>
          <w:p>
            <w:pPr>
              <w:spacing w:after="0"/>
            </w:pPr>
            <w:r>
              <w:rPr>
                <w:rFonts w:ascii="Arial" w:cs="Arial" w:eastAsia="Arial" w:hAnsi="Arial"/>
                <w:color w:val="333333"/>
                <w:sz w:val="18"/>
                <w:szCs w:val="18"/>
              </w:rPr>
              <w:t xml:space="preserve">LOW</w:t>
            </w:r>
          </w:p>
        </w:tc>
        <w:tc>
          <w:tcPr>
            <w:tcW w:type="dxa" w:w="1200"/>
            <w:shd w:fill="FFFFFF" w:val="clear"/>
          </w:tcPr>
          <w:p>
            <w:pPr>
              <w:spacing w:after="0"/>
            </w:pPr>
            <w:r>
              <w:rPr>
                <w:rFonts w:ascii="Arial" w:cs="Arial" w:eastAsia="Arial" w:hAnsi="Arial"/>
                <w:color w:val="333333"/>
                <w:sz w:val="18"/>
                <w:szCs w:val="18"/>
              </w:rPr>
              <w:t xml:space="preserve">MEDIUM-HIGH</w:t>
            </w:r>
          </w:p>
        </w:tc>
        <w:tc>
          <w:tcPr>
            <w:tcW w:type="dxa" w:w="1400"/>
            <w:shd w:fill="FFFFFF" w:val="clear"/>
          </w:tcPr>
          <w:p>
            <w:pPr>
              <w:spacing w:after="0"/>
            </w:pPr>
            <w:r>
              <w:rPr>
                <w:rFonts w:ascii="Arial" w:cs="Arial" w:eastAsia="Arial" w:hAnsi="Arial"/>
                <w:color w:val="333333"/>
                <w:sz w:val="18"/>
                <w:szCs w:val="18"/>
              </w:rPr>
              <w:t xml:space="preserve">UK, EU</w:t>
            </w:r>
          </w:p>
        </w:tc>
        <w:tc>
          <w:tcPr>
            <w:tcW w:type="dxa" w:w="3860"/>
            <w:shd w:fill="FFFFFF" w:val="clear"/>
          </w:tcPr>
          <w:p>
            <w:pPr>
              <w:spacing w:after="0"/>
            </w:pPr>
            <w:r>
              <w:rPr>
                <w:rFonts w:ascii="Arial" w:cs="Arial" w:eastAsia="Arial" w:hAnsi="Arial"/>
                <w:color w:val="333333"/>
                <w:sz w:val="18"/>
                <w:szCs w:val="18"/>
              </w:rPr>
              <w:t xml:space="preserve">GDPR-compliant privacy policy, appoint representative, respond within 30 days</w:t>
            </w:r>
          </w:p>
        </w:tc>
      </w:tr>
    </w:tbl>
    <w:p>
      <w:pPr>
        <w:pStyle w:val="Heading1"/>
        <w:spacing w:after="200" w:before="400"/>
      </w:pPr>
      <w:r>
        <w:rPr>
          <w:rFonts w:ascii="Arial" w:cs="Arial" w:eastAsia="Arial" w:hAnsi="Arial"/>
          <w:b/>
          <w:bCs/>
          <w:color w:val="022B1E"/>
          <w:sz w:val="28"/>
          <w:szCs w:val="28"/>
        </w:rPr>
        <w:t xml:space="preserve">11. Recommended Legal Counsel (By Specialty)</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22B1E" w:val="clear"/>
          </w:tcPr>
          <w:p>
            <w:pPr>
              <w:spacing w:after="0"/>
            </w:pPr>
            <w:r>
              <w:rPr>
                <w:rFonts w:ascii="Arial" w:cs="Arial" w:eastAsia="Arial" w:hAnsi="Arial"/>
                <w:b/>
                <w:bCs/>
                <w:color w:val="FFFFFF"/>
                <w:sz w:val="18"/>
                <w:szCs w:val="18"/>
              </w:rPr>
              <w:t xml:space="preserve">Specialty</w:t>
            </w:r>
          </w:p>
        </w:tc>
        <w:tc>
          <w:tcPr>
            <w:tcW w:type="dxa" w:w="1600"/>
            <w:shd w:fill="022B1E" w:val="clear"/>
          </w:tcPr>
          <w:p>
            <w:pPr>
              <w:spacing w:after="0"/>
            </w:pPr>
            <w:r>
              <w:rPr>
                <w:rFonts w:ascii="Arial" w:cs="Arial" w:eastAsia="Arial" w:hAnsi="Arial"/>
                <w:b/>
                <w:bCs/>
                <w:color w:val="FFFFFF"/>
                <w:sz w:val="18"/>
                <w:szCs w:val="18"/>
              </w:rPr>
              <w:t xml:space="preserve">Jurisdiction</w:t>
            </w:r>
          </w:p>
        </w:tc>
        <w:tc>
          <w:tcPr>
            <w:tcW w:type="dxa" w:w="3200"/>
            <w:shd w:fill="022B1E" w:val="clear"/>
          </w:tcPr>
          <w:p>
            <w:pPr>
              <w:spacing w:after="0"/>
            </w:pPr>
            <w:r>
              <w:rPr>
                <w:rFonts w:ascii="Arial" w:cs="Arial" w:eastAsia="Arial" w:hAnsi="Arial"/>
                <w:b/>
                <w:bCs/>
                <w:color w:val="FFFFFF"/>
                <w:sz w:val="18"/>
                <w:szCs w:val="18"/>
              </w:rPr>
              <w:t xml:space="preserve">Purpose</w:t>
            </w:r>
          </w:p>
        </w:tc>
        <w:tc>
          <w:tcPr>
            <w:tcW w:type="dxa" w:w="2360"/>
            <w:shd w:fill="022B1E" w:val="clear"/>
          </w:tcPr>
          <w:p>
            <w:pPr>
              <w:spacing w:after="0"/>
            </w:pPr>
            <w:r>
              <w:rPr>
                <w:rFonts w:ascii="Arial" w:cs="Arial" w:eastAsia="Arial" w:hAnsi="Arial"/>
                <w:b/>
                <w:bCs/>
                <w:color w:val="FFFFFF"/>
                <w:sz w:val="18"/>
                <w:szCs w:val="18"/>
              </w:rPr>
              <w:t xml:space="preserve">Estimated Budget</w:t>
            </w:r>
          </w:p>
        </w:tc>
      </w:tr>
      <w:tr>
        <w:tc>
          <w:tcPr>
            <w:tcW w:type="dxa" w:w="2200"/>
            <w:shd w:fill="F5F4F0" w:val="clear"/>
          </w:tcPr>
          <w:p>
            <w:pPr>
              <w:spacing w:after="0"/>
            </w:pPr>
            <w:r>
              <w:rPr>
                <w:rFonts w:ascii="Arial" w:cs="Arial" w:eastAsia="Arial" w:hAnsi="Arial"/>
                <w:color w:val="333333"/>
                <w:sz w:val="18"/>
                <w:szCs w:val="18"/>
              </w:rPr>
              <w:t xml:space="preserve">Data protection / DPC registration</w:t>
            </w:r>
          </w:p>
        </w:tc>
        <w:tc>
          <w:tcPr>
            <w:tcW w:type="dxa" w:w="1600"/>
            <w:shd w:fill="F5F4F0" w:val="clear"/>
          </w:tcPr>
          <w:p>
            <w:pPr>
              <w:spacing w:after="0"/>
            </w:pPr>
            <w:r>
              <w:rPr>
                <w:rFonts w:ascii="Arial" w:cs="Arial" w:eastAsia="Arial" w:hAnsi="Arial"/>
                <w:color w:val="333333"/>
                <w:sz w:val="18"/>
                <w:szCs w:val="18"/>
              </w:rPr>
              <w:t xml:space="preserve">Ghana</w:t>
            </w:r>
          </w:p>
        </w:tc>
        <w:tc>
          <w:tcPr>
            <w:tcW w:type="dxa" w:w="3200"/>
            <w:shd w:fill="F5F4F0" w:val="clear"/>
          </w:tcPr>
          <w:p>
            <w:pPr>
              <w:spacing w:after="0"/>
            </w:pPr>
            <w:r>
              <w:rPr>
                <w:rFonts w:ascii="Arial" w:cs="Arial" w:eastAsia="Arial" w:hAnsi="Arial"/>
                <w:color w:val="333333"/>
                <w:sz w:val="18"/>
                <w:szCs w:val="18"/>
              </w:rPr>
              <w:t xml:space="preserve">DPC registration, DPIA, Privacy Policy review</w:t>
            </w:r>
          </w:p>
        </w:tc>
        <w:tc>
          <w:tcPr>
            <w:tcW w:type="dxa" w:w="2360"/>
            <w:shd w:fill="F5F4F0" w:val="clear"/>
          </w:tcPr>
          <w:p>
            <w:pPr>
              <w:spacing w:after="0"/>
            </w:pPr>
            <w:r>
              <w:rPr>
                <w:rFonts w:ascii="Arial" w:cs="Arial" w:eastAsia="Arial" w:hAnsi="Arial"/>
                <w:color w:val="333333"/>
                <w:sz w:val="18"/>
                <w:szCs w:val="18"/>
              </w:rPr>
              <w:t xml:space="preserve">$1,000-2,000</w:t>
            </w:r>
          </w:p>
        </w:tc>
      </w:tr>
      <w:tr>
        <w:tc>
          <w:tcPr>
            <w:tcW w:type="dxa" w:w="2200"/>
            <w:shd w:fill="FFFFFF" w:val="clear"/>
          </w:tcPr>
          <w:p>
            <w:pPr>
              <w:spacing w:after="0"/>
            </w:pPr>
            <w:r>
              <w:rPr>
                <w:rFonts w:ascii="Arial" w:cs="Arial" w:eastAsia="Arial" w:hAnsi="Arial"/>
                <w:color w:val="333333"/>
                <w:sz w:val="18"/>
                <w:szCs w:val="18"/>
              </w:rPr>
              <w:t xml:space="preserve">Fintech / payment licensing</w:t>
            </w:r>
          </w:p>
        </w:tc>
        <w:tc>
          <w:tcPr>
            <w:tcW w:type="dxa" w:w="1600"/>
            <w:shd w:fill="FFFFFF" w:val="clear"/>
          </w:tcPr>
          <w:p>
            <w:pPr>
              <w:spacing w:after="0"/>
            </w:pPr>
            <w:r>
              <w:rPr>
                <w:rFonts w:ascii="Arial" w:cs="Arial" w:eastAsia="Arial" w:hAnsi="Arial"/>
                <w:color w:val="333333"/>
                <w:sz w:val="18"/>
                <w:szCs w:val="18"/>
              </w:rPr>
              <w:t xml:space="preserve">Ghana</w:t>
            </w:r>
          </w:p>
        </w:tc>
        <w:tc>
          <w:tcPr>
            <w:tcW w:type="dxa" w:w="3200"/>
            <w:shd w:fill="FFFFFF" w:val="clear"/>
          </w:tcPr>
          <w:p>
            <w:pPr>
              <w:spacing w:after="0"/>
            </w:pPr>
            <w:r>
              <w:rPr>
                <w:rFonts w:ascii="Arial" w:cs="Arial" w:eastAsia="Arial" w:hAnsi="Arial"/>
                <w:color w:val="333333"/>
                <w:sz w:val="18"/>
                <w:szCs w:val="18"/>
              </w:rPr>
              <w:t xml:space="preserve">PSP license opinion, BoG compliance</w:t>
            </w:r>
          </w:p>
        </w:tc>
        <w:tc>
          <w:tcPr>
            <w:tcW w:type="dxa" w:w="2360"/>
            <w:shd w:fill="FFFFFF" w:val="clear"/>
          </w:tcPr>
          <w:p>
            <w:pPr>
              <w:spacing w:after="0"/>
            </w:pPr>
            <w:r>
              <w:rPr>
                <w:rFonts w:ascii="Arial" w:cs="Arial" w:eastAsia="Arial" w:hAnsi="Arial"/>
                <w:color w:val="333333"/>
                <w:sz w:val="18"/>
                <w:szCs w:val="18"/>
              </w:rPr>
              <w:t xml:space="preserve">$1,000-2,000</w:t>
            </w:r>
          </w:p>
        </w:tc>
      </w:tr>
      <w:tr>
        <w:tc>
          <w:tcPr>
            <w:tcW w:type="dxa" w:w="2200"/>
            <w:shd w:fill="F5F4F0" w:val="clear"/>
          </w:tcPr>
          <w:p>
            <w:pPr>
              <w:spacing w:after="0"/>
            </w:pPr>
            <w:r>
              <w:rPr>
                <w:rFonts w:ascii="Arial" w:cs="Arial" w:eastAsia="Arial" w:hAnsi="Arial"/>
                <w:color w:val="333333"/>
                <w:sz w:val="18"/>
                <w:szCs w:val="18"/>
              </w:rPr>
              <w:t xml:space="preserve">Corporate / entity formation</w:t>
            </w:r>
          </w:p>
        </w:tc>
        <w:tc>
          <w:tcPr>
            <w:tcW w:type="dxa" w:w="1600"/>
            <w:shd w:fill="F5F4F0" w:val="clear"/>
          </w:tcPr>
          <w:p>
            <w:pPr>
              <w:spacing w:after="0"/>
            </w:pPr>
            <w:r>
              <w:rPr>
                <w:rFonts w:ascii="Arial" w:cs="Arial" w:eastAsia="Arial" w:hAnsi="Arial"/>
                <w:color w:val="333333"/>
                <w:sz w:val="18"/>
                <w:szCs w:val="18"/>
              </w:rPr>
              <w:t xml:space="preserve">Ghana</w:t>
            </w:r>
          </w:p>
        </w:tc>
        <w:tc>
          <w:tcPr>
            <w:tcW w:type="dxa" w:w="3200"/>
            <w:shd w:fill="F5F4F0" w:val="clear"/>
          </w:tcPr>
          <w:p>
            <w:pPr>
              <w:spacing w:after="0"/>
            </w:pPr>
            <w:r>
              <w:rPr>
                <w:rFonts w:ascii="Arial" w:cs="Arial" w:eastAsia="Arial" w:hAnsi="Arial"/>
                <w:color w:val="333333"/>
                <w:sz w:val="18"/>
                <w:szCs w:val="18"/>
              </w:rPr>
              <w:t xml:space="preserve">EyeOnSite Ltd incorporation, GIPC registration</w:t>
            </w:r>
          </w:p>
        </w:tc>
        <w:tc>
          <w:tcPr>
            <w:tcW w:type="dxa" w:w="2360"/>
            <w:shd w:fill="F5F4F0" w:val="clear"/>
          </w:tcPr>
          <w:p>
            <w:pPr>
              <w:spacing w:after="0"/>
            </w:pPr>
            <w:r>
              <w:rPr>
                <w:rFonts w:ascii="Arial" w:cs="Arial" w:eastAsia="Arial" w:hAnsi="Arial"/>
                <w:color w:val="333333"/>
                <w:sz w:val="18"/>
                <w:szCs w:val="18"/>
              </w:rPr>
              <w:t xml:space="preserve">$500-1,000</w:t>
            </w:r>
          </w:p>
        </w:tc>
      </w:tr>
      <w:tr>
        <w:tc>
          <w:tcPr>
            <w:tcW w:type="dxa" w:w="2200"/>
            <w:shd w:fill="FFFFFF" w:val="clear"/>
          </w:tcPr>
          <w:p>
            <w:pPr>
              <w:spacing w:after="0"/>
            </w:pPr>
            <w:r>
              <w:rPr>
                <w:rFonts w:ascii="Arial" w:cs="Arial" w:eastAsia="Arial" w:hAnsi="Arial"/>
                <w:color w:val="333333"/>
                <w:sz w:val="18"/>
                <w:szCs w:val="18"/>
              </w:rPr>
              <w:t xml:space="preserve">Employment / contractor law</w:t>
            </w:r>
          </w:p>
        </w:tc>
        <w:tc>
          <w:tcPr>
            <w:tcW w:type="dxa" w:w="1600"/>
            <w:shd w:fill="FFFFFF" w:val="clear"/>
          </w:tcPr>
          <w:p>
            <w:pPr>
              <w:spacing w:after="0"/>
            </w:pPr>
            <w:r>
              <w:rPr>
                <w:rFonts w:ascii="Arial" w:cs="Arial" w:eastAsia="Arial" w:hAnsi="Arial"/>
                <w:color w:val="333333"/>
                <w:sz w:val="18"/>
                <w:szCs w:val="18"/>
              </w:rPr>
              <w:t xml:space="preserve">Ghana</w:t>
            </w:r>
          </w:p>
        </w:tc>
        <w:tc>
          <w:tcPr>
            <w:tcW w:type="dxa" w:w="3200"/>
            <w:shd w:fill="FFFFFF" w:val="clear"/>
          </w:tcPr>
          <w:p>
            <w:pPr>
              <w:spacing w:after="0"/>
            </w:pPr>
            <w:r>
              <w:rPr>
                <w:rFonts w:ascii="Arial" w:cs="Arial" w:eastAsia="Arial" w:hAnsi="Arial"/>
                <w:color w:val="333333"/>
                <w:sz w:val="18"/>
                <w:szCs w:val="18"/>
              </w:rPr>
              <w:t xml:space="preserve">Inspector contractor agreement, classification defense</w:t>
            </w:r>
          </w:p>
        </w:tc>
        <w:tc>
          <w:tcPr>
            <w:tcW w:type="dxa" w:w="2360"/>
            <w:shd w:fill="FFFFFF" w:val="clear"/>
          </w:tcPr>
          <w:p>
            <w:pPr>
              <w:spacing w:after="0"/>
            </w:pPr>
            <w:r>
              <w:rPr>
                <w:rFonts w:ascii="Arial" w:cs="Arial" w:eastAsia="Arial" w:hAnsi="Arial"/>
                <w:color w:val="333333"/>
                <w:sz w:val="18"/>
                <w:szCs w:val="18"/>
              </w:rPr>
              <w:t xml:space="preserve">$500-1,000</w:t>
            </w:r>
          </w:p>
        </w:tc>
      </w:tr>
      <w:tr>
        <w:tc>
          <w:tcPr>
            <w:tcW w:type="dxa" w:w="2200"/>
            <w:shd w:fill="F5F4F0" w:val="clear"/>
          </w:tcPr>
          <w:p>
            <w:pPr>
              <w:spacing w:after="0"/>
            </w:pPr>
            <w:r>
              <w:rPr>
                <w:rFonts w:ascii="Arial" w:cs="Arial" w:eastAsia="Arial" w:hAnsi="Arial"/>
                <w:color w:val="333333"/>
                <w:sz w:val="18"/>
                <w:szCs w:val="18"/>
              </w:rPr>
              <w:t xml:space="preserve">Tax advisory</w:t>
            </w:r>
          </w:p>
        </w:tc>
        <w:tc>
          <w:tcPr>
            <w:tcW w:type="dxa" w:w="1600"/>
            <w:shd w:fill="F5F4F0" w:val="clear"/>
          </w:tcPr>
          <w:p>
            <w:pPr>
              <w:spacing w:after="0"/>
            </w:pPr>
            <w:r>
              <w:rPr>
                <w:rFonts w:ascii="Arial" w:cs="Arial" w:eastAsia="Arial" w:hAnsi="Arial"/>
                <w:color w:val="333333"/>
                <w:sz w:val="18"/>
                <w:szCs w:val="18"/>
              </w:rPr>
              <w:t xml:space="preserve">Ghana + multi-jurisdiction</w:t>
            </w:r>
          </w:p>
        </w:tc>
        <w:tc>
          <w:tcPr>
            <w:tcW w:type="dxa" w:w="3200"/>
            <w:shd w:fill="F5F4F0" w:val="clear"/>
          </w:tcPr>
          <w:p>
            <w:pPr>
              <w:spacing w:after="0"/>
            </w:pPr>
            <w:r>
              <w:rPr>
                <w:rFonts w:ascii="Arial" w:cs="Arial" w:eastAsia="Arial" w:hAnsi="Arial"/>
                <w:color w:val="333333"/>
                <w:sz w:val="18"/>
                <w:szCs w:val="18"/>
              </w:rPr>
              <w:t xml:space="preserve">VAT, withholding tax, transfer pricing</w:t>
            </w:r>
          </w:p>
        </w:tc>
        <w:tc>
          <w:tcPr>
            <w:tcW w:type="dxa" w:w="2360"/>
            <w:shd w:fill="F5F4F0" w:val="clear"/>
          </w:tcPr>
          <w:p>
            <w:pPr>
              <w:spacing w:after="0"/>
            </w:pPr>
            <w:r>
              <w:rPr>
                <w:rFonts w:ascii="Arial" w:cs="Arial" w:eastAsia="Arial" w:hAnsi="Arial"/>
                <w:color w:val="333333"/>
                <w:sz w:val="18"/>
                <w:szCs w:val="18"/>
              </w:rPr>
              <w:t xml:space="preserve">$2,000-3,000</w:t>
            </w:r>
          </w:p>
        </w:tc>
      </w:tr>
      <w:tr>
        <w:tc>
          <w:tcPr>
            <w:tcW w:type="dxa" w:w="2200"/>
            <w:shd w:fill="FFFFFF" w:val="clear"/>
          </w:tcPr>
          <w:p>
            <w:pPr>
              <w:spacing w:after="0"/>
            </w:pPr>
            <w:r>
              <w:rPr>
                <w:rFonts w:ascii="Arial" w:cs="Arial" w:eastAsia="Arial" w:hAnsi="Arial"/>
                <w:color w:val="333333"/>
                <w:sz w:val="18"/>
                <w:szCs w:val="18"/>
              </w:rPr>
              <w:t xml:space="preserve">UK GDPR / data protection</w:t>
            </w:r>
          </w:p>
        </w:tc>
        <w:tc>
          <w:tcPr>
            <w:tcW w:type="dxa" w:w="1600"/>
            <w:shd w:fill="FFFFFF" w:val="clear"/>
          </w:tcPr>
          <w:p>
            <w:pPr>
              <w:spacing w:after="0"/>
            </w:pPr>
            <w:r>
              <w:rPr>
                <w:rFonts w:ascii="Arial" w:cs="Arial" w:eastAsia="Arial" w:hAnsi="Arial"/>
                <w:color w:val="333333"/>
                <w:sz w:val="18"/>
                <w:szCs w:val="18"/>
              </w:rPr>
              <w:t xml:space="preserve">United Kingdom</w:t>
            </w:r>
          </w:p>
        </w:tc>
        <w:tc>
          <w:tcPr>
            <w:tcW w:type="dxa" w:w="3200"/>
            <w:shd w:fill="FFFFFF" w:val="clear"/>
          </w:tcPr>
          <w:p>
            <w:pPr>
              <w:spacing w:after="0"/>
            </w:pPr>
            <w:r>
              <w:rPr>
                <w:rFonts w:ascii="Arial" w:cs="Arial" w:eastAsia="Arial" w:hAnsi="Arial"/>
                <w:color w:val="333333"/>
                <w:sz w:val="18"/>
                <w:szCs w:val="18"/>
              </w:rPr>
              <w:t xml:space="preserve">Privacy Policy review, representative appointment</w:t>
            </w:r>
          </w:p>
        </w:tc>
        <w:tc>
          <w:tcPr>
            <w:tcW w:type="dxa" w:w="2360"/>
            <w:shd w:fill="FFFFFF" w:val="clear"/>
          </w:tcPr>
          <w:p>
            <w:pPr>
              <w:spacing w:after="0"/>
            </w:pPr>
            <w:r>
              <w:rPr>
                <w:rFonts w:ascii="Arial" w:cs="Arial" w:eastAsia="Arial" w:hAnsi="Arial"/>
                <w:color w:val="333333"/>
                <w:sz w:val="18"/>
                <w:szCs w:val="18"/>
              </w:rPr>
              <w:t xml:space="preserve">$1,000-2,000</w:t>
            </w:r>
          </w:p>
        </w:tc>
      </w:tr>
      <w:tr>
        <w:tc>
          <w:tcPr>
            <w:tcW w:type="dxa" w:w="2200"/>
            <w:shd w:fill="F5F4F0" w:val="clear"/>
          </w:tcPr>
          <w:p>
            <w:pPr>
              <w:spacing w:after="0"/>
            </w:pPr>
            <w:r>
              <w:rPr>
                <w:rFonts w:ascii="Arial" w:cs="Arial" w:eastAsia="Arial" w:hAnsi="Arial"/>
                <w:color w:val="333333"/>
                <w:sz w:val="18"/>
                <w:szCs w:val="18"/>
              </w:rPr>
              <w:t xml:space="preserve">IP / corporate (US)</w:t>
            </w:r>
          </w:p>
        </w:tc>
        <w:tc>
          <w:tcPr>
            <w:tcW w:type="dxa" w:w="1600"/>
            <w:shd w:fill="F5F4F0" w:val="clear"/>
          </w:tcPr>
          <w:p>
            <w:pPr>
              <w:spacing w:after="0"/>
            </w:pPr>
            <w:r>
              <w:rPr>
                <w:rFonts w:ascii="Arial" w:cs="Arial" w:eastAsia="Arial" w:hAnsi="Arial"/>
                <w:color w:val="333333"/>
                <w:sz w:val="18"/>
                <w:szCs w:val="18"/>
              </w:rPr>
              <w:t xml:space="preserve">Delaware, USA</w:t>
            </w:r>
          </w:p>
        </w:tc>
        <w:tc>
          <w:tcPr>
            <w:tcW w:type="dxa" w:w="3200"/>
            <w:shd w:fill="F5F4F0" w:val="clear"/>
          </w:tcPr>
          <w:p>
            <w:pPr>
              <w:spacing w:after="0"/>
            </w:pPr>
            <w:r>
              <w:rPr>
                <w:rFonts w:ascii="Arial" w:cs="Arial" w:eastAsia="Arial" w:hAnsi="Arial"/>
                <w:color w:val="333333"/>
                <w:sz w:val="18"/>
                <w:szCs w:val="18"/>
              </w:rPr>
              <w:t xml:space="preserve">IP assignment, LLC operating agreement</w:t>
            </w:r>
          </w:p>
        </w:tc>
        <w:tc>
          <w:tcPr>
            <w:tcW w:type="dxa" w:w="2360"/>
            <w:shd w:fill="F5F4F0" w:val="clear"/>
          </w:tcPr>
          <w:p>
            <w:pPr>
              <w:spacing w:after="0"/>
            </w:pPr>
            <w:r>
              <w:rPr>
                <w:rFonts w:ascii="Arial" w:cs="Arial" w:eastAsia="Arial" w:hAnsi="Arial"/>
                <w:color w:val="333333"/>
                <w:sz w:val="18"/>
                <w:szCs w:val="18"/>
              </w:rPr>
              <w:t xml:space="preserve">$1,000-2,000</w:t>
            </w:r>
          </w:p>
        </w:tc>
      </w:tr>
    </w:tbl>
    <w:p>
      <w:pPr>
        <w:spacing w:after="0"/>
      </w:pPr>
    </w:p>
    <w:p>
      <w:pPr>
        <w:spacing w:after="140" w:line="276"/>
      </w:pPr>
      <w:r>
        <w:rPr>
          <w:rFonts w:ascii="Arial" w:cs="Arial" w:eastAsia="Arial" w:hAnsi="Arial"/>
          <w:b/>
          <w:bCs/>
          <w:color w:val="333333"/>
          <w:sz w:val="20"/>
          <w:szCs w:val="20"/>
        </w:rPr>
        <w:t xml:space="preserve">Total recommended legal budget (V0-V1): </w:t>
      </w:r>
      <w:r>
        <w:rPr>
          <w:rFonts w:ascii="Arial" w:cs="Arial" w:eastAsia="Arial" w:hAnsi="Arial"/>
          <w:color w:val="333333"/>
          <w:sz w:val="20"/>
          <w:szCs w:val="20"/>
        </w:rPr>
        <w:t xml:space="preserve">$5,000-8,000</w:t>
      </w:r>
    </w:p>
    <w:p>
      <w:pPr>
        <w:spacing w:after="140" w:line="276"/>
      </w:pPr>
      <w:r>
        <w:rPr>
          <w:rFonts w:ascii="Arial" w:cs="Arial" w:eastAsia="Arial" w:hAnsi="Arial"/>
          <w:b/>
          <w:bCs/>
          <w:color w:val="333333"/>
          <w:sz w:val="20"/>
          <w:szCs w:val="20"/>
        </w:rPr>
        <w:t xml:space="preserve">Total recommended legal budget (through V3): </w:t>
      </w:r>
      <w:r>
        <w:rPr>
          <w:rFonts w:ascii="Arial" w:cs="Arial" w:eastAsia="Arial" w:hAnsi="Arial"/>
          <w:color w:val="333333"/>
          <w:sz w:val="20"/>
          <w:szCs w:val="20"/>
        </w:rPr>
        <w:t xml:space="preserve">$20,000-35,000</w:t>
      </w:r>
    </w:p>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For context: a single disputed construction project can cost a diaspora investor $5,000-$50,000 in losses. EyeOnSite's legal budget is an investment in platform trust and founder protection. These are not optional costs — they are the cost of operating a multi-jurisdiction marketplace that handles money and personal data.</w:t>
      </w:r>
    </w:p>
    <w:p>
      <w:pPr>
        <w:spacing w:after="0"/>
      </w:pPr>
    </w:p>
    <w:p>
      <w:pPr>
        <w:pBdr>
          <w:top w:val="single" w:color="E8E6DD" w:sz="2" w:space="8"/>
        </w:pBdr>
        <w:spacing w:before="200"/>
        <w:jc w:val="center"/>
      </w:pPr>
      <w:r>
        <w:rPr>
          <w:rFonts w:ascii="Arial" w:cs="Arial" w:eastAsia="Arial" w:hAnsi="Arial"/>
          <w:i/>
          <w:iCs/>
          <w:color w:val="999999"/>
          <w:sz w:val="18"/>
          <w:szCs w:val="18"/>
        </w:rPr>
        <w:t xml:space="preserve">End of Regulatory &amp; Compliance Framework — EOS-16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2026-05-26T13:16:05.068Z</dcterms:created>
  <dcterms:modified xsi:type="dcterms:W3CDTF">2026-05-26T13:16:05.088Z</dcterms:modified>
</cp:coreProperties>
</file>

<file path=docProps/custom.xml><?xml version="1.0" encoding="utf-8"?>
<Properties xmlns="http://schemas.openxmlformats.org/officeDocument/2006/custom-properties" xmlns:vt="http://schemas.openxmlformats.org/officeDocument/2006/docPropsVTypes"/>
</file>