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0B6E4F"/>
          <w:sz w:val="36"/>
          <w:szCs w:val="36"/>
        </w:rPr>
        <w:t xml:space="preserve">EYEONSITE</w:t>
      </w:r>
    </w:p>
    <w:p>
      <w:pPr>
        <w:spacing w:after="40"/>
        <w:jc w:val="center"/>
      </w:pPr>
      <w:r>
        <w:rPr>
          <w:rFonts w:ascii="Arial" w:cs="Arial" w:eastAsia="Arial" w:hAnsi="Arial"/>
          <w:b/>
          <w:bCs/>
          <w:color w:val="022B1E"/>
          <w:sz w:val="30"/>
          <w:szCs w:val="30"/>
        </w:rPr>
        <w:t xml:space="preserve">UGANDA REGULATORY &amp; COMPLIANCE FRAMEWORK</w:t>
      </w:r>
    </w:p>
    <w:p>
      <w:pPr>
        <w:spacing w:after="20"/>
        <w:jc w:val="center"/>
      </w:pPr>
      <w:r>
        <w:rPr>
          <w:rFonts w:ascii="Arial" w:cs="Arial" w:eastAsia="Arial" w:hAnsi="Arial"/>
          <w:color w:val="4A4A47"/>
          <w:sz w:val="22"/>
          <w:szCs w:val="22"/>
        </w:rPr>
        <w:t xml:space="preserve">Entity Structure, Data Protection, Licensing, Labour &amp; Tax — Uganda Market Entry</w:t>
      </w:r>
    </w:p>
    <w:p>
      <w:pPr>
        <w:spacing w:after="300"/>
        <w:jc w:val="center"/>
      </w:pPr>
      <w:r>
        <w:rPr>
          <w:rFonts w:ascii="Arial" w:cs="Arial" w:eastAsia="Arial" w:hAnsi="Arial"/>
          <w:color w:val="999999"/>
          <w:sz w:val="18"/>
          <w:szCs w:val="18"/>
        </w:rPr>
        <w:t xml:space="preserve">Document EOS-16-UG | Version 1.0 | May 2026 | Manti Labs LLC (Delaware) | CONFIDENTIAL</w:t>
      </w:r>
    </w:p>
    <w:p>
      <w:pPr>
        <w:pBdr>
          <w:left w:val="single" w:color="E8593C" w:sz="12" w:space="8"/>
        </w:pBdr>
        <w:shd w:fill="FEF2F2" w:val="clear"/>
        <w:spacing w:after="200" w:before="120"/>
      </w:pPr>
      <w:r>
        <w:rPr>
          <w:rFonts w:ascii="Arial" w:cs="Arial" w:eastAsia="Arial" w:hAnsi="Arial"/>
          <w:color w:val="333333"/>
          <w:sz w:val="20"/>
          <w:szCs w:val="20"/>
        </w:rPr>
        <w:t xml:space="preserve">IMPORTANT: This document is a compliance planning framework, not legal advice. All regulatory interpretations must be verified with qualified Ugandan legal counsel before implementation. This document reflects the regulatory landscape as of May 2026.</w:t>
      </w:r>
    </w:p>
    <w:p>
      <w:pPr>
        <w:pStyle w:val="Heading1"/>
        <w:spacing w:after="200" w:before="400"/>
      </w:pPr>
      <w:r>
        <w:rPr>
          <w:rFonts w:ascii="Arial" w:cs="Arial" w:eastAsia="Arial" w:hAnsi="Arial"/>
          <w:b/>
          <w:bCs/>
          <w:color w:val="022B1E"/>
          <w:sz w:val="28"/>
          <w:szCs w:val="28"/>
        </w:rPr>
        <w:t xml:space="preserve">1. Context and Rationale</w:t>
      </w:r>
    </w:p>
    <w:p>
      <w:pPr>
        <w:spacing w:after="140" w:line="276"/>
      </w:pPr>
      <w:r>
        <w:rPr>
          <w:rFonts w:ascii="Arial" w:cs="Arial" w:eastAsia="Arial" w:hAnsi="Arial"/>
          <w:color w:val="333333"/>
          <w:sz w:val="20"/>
          <w:szCs w:val="20"/>
        </w:rPr>
        <w:t xml:space="preserve">Uganda is EyeOnSite's secondary East African market, complementing the primary Nairobi launch. Uganda brings specific strategic advantages: the Founder (Maku Mazakpe) is a Ugandan national, existing venture relationships operate there (Athlete + Her, 30% equity as Head of Technology), and the UK-to-Uganda diaspora corridor represents an underserved market with significant construction remittance flows.</w:t>
      </w:r>
    </w:p>
    <w:p>
      <w:pPr>
        <w:spacing w:after="0"/>
      </w:pPr>
    </w:p>
    <w:p>
      <w:pPr>
        <w:spacing w:after="140" w:line="276"/>
      </w:pPr>
      <w:r>
        <w:rPr>
          <w:rFonts w:ascii="Arial" w:cs="Arial" w:eastAsia="Arial" w:hAnsi="Arial"/>
          <w:color w:val="333333"/>
          <w:sz w:val="20"/>
          <w:szCs w:val="20"/>
        </w:rPr>
        <w:t xml:space="preserve">This document covers the full regulatory requirements for operating EyeOnSite in Uganda with Manti Labs LLC (Delaware) as the parent company. It is designed as a standalone reference — a Ugandan lawyer can read this document without needing the broader EOS-16 multi-jurisdiction framework.</w:t>
      </w:r>
    </w:p>
    <w:p>
      <w:pPr>
        <w:spacing w:after="0"/>
      </w:pPr>
    </w:p>
    <w:p>
      <w:pPr>
        <w:pStyle w:val="Heading2"/>
        <w:spacing w:after="160" w:before="300"/>
      </w:pPr>
      <w:r>
        <w:rPr>
          <w:rFonts w:ascii="Arial" w:cs="Arial" w:eastAsia="Arial" w:hAnsi="Arial"/>
          <w:b/>
          <w:bCs/>
          <w:color w:val="0B6E4F"/>
          <w:sz w:val="24"/>
          <w:szCs w:val="24"/>
        </w:rPr>
        <w:t xml:space="preserve">1.1 Entity 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022B1E" w:val="clear"/>
          </w:tcPr>
          <w:p>
            <w:pPr>
              <w:spacing w:after="0"/>
            </w:pPr>
            <w:r>
              <w:rPr>
                <w:rFonts w:ascii="Arial" w:cs="Arial" w:eastAsia="Arial" w:hAnsi="Arial"/>
                <w:b/>
                <w:bCs/>
                <w:color w:val="FFFFFF"/>
                <w:sz w:val="18"/>
                <w:szCs w:val="18"/>
              </w:rPr>
              <w:t xml:space="preserve">Entity</w:t>
            </w:r>
          </w:p>
        </w:tc>
        <w:tc>
          <w:tcPr>
            <w:tcW w:type="dxa" w:w="1400"/>
            <w:shd w:fill="022B1E" w:val="clear"/>
          </w:tcPr>
          <w:p>
            <w:pPr>
              <w:spacing w:after="0"/>
            </w:pPr>
            <w:r>
              <w:rPr>
                <w:rFonts w:ascii="Arial" w:cs="Arial" w:eastAsia="Arial" w:hAnsi="Arial"/>
                <w:b/>
                <w:bCs/>
                <w:color w:val="FFFFFF"/>
                <w:sz w:val="18"/>
                <w:szCs w:val="18"/>
              </w:rPr>
              <w:t xml:space="preserve">Jurisdiction</w:t>
            </w:r>
          </w:p>
        </w:tc>
        <w:tc>
          <w:tcPr>
            <w:tcW w:type="dxa" w:w="3600"/>
            <w:shd w:fill="022B1E" w:val="clear"/>
          </w:tcPr>
          <w:p>
            <w:pPr>
              <w:spacing w:after="0"/>
            </w:pPr>
            <w:r>
              <w:rPr>
                <w:rFonts w:ascii="Arial" w:cs="Arial" w:eastAsia="Arial" w:hAnsi="Arial"/>
                <w:b/>
                <w:bCs/>
                <w:color w:val="FFFFFF"/>
                <w:sz w:val="18"/>
                <w:szCs w:val="18"/>
              </w:rPr>
              <w:t xml:space="preserve">Role</w:t>
            </w:r>
          </w:p>
        </w:tc>
        <w:tc>
          <w:tcPr>
            <w:tcW w:type="dxa" w:w="1960"/>
            <w:shd w:fill="022B1E" w:val="clear"/>
          </w:tcPr>
          <w:p>
            <w:pPr>
              <w:spacing w:after="0"/>
            </w:pPr>
            <w:r>
              <w:rPr>
                <w:rFonts w:ascii="Arial" w:cs="Arial" w:eastAsia="Arial" w:hAnsi="Arial"/>
                <w:b/>
                <w:bCs/>
                <w:color w:val="FFFFFF"/>
                <w:sz w:val="18"/>
                <w:szCs w:val="18"/>
              </w:rPr>
              <w:t xml:space="preserve">Status</w:t>
            </w:r>
          </w:p>
        </w:tc>
      </w:tr>
      <w:tr>
        <w:tc>
          <w:tcPr>
            <w:tcW w:type="dxa" w:w="2400"/>
            <w:shd w:fill="F5F4F0" w:val="clear"/>
          </w:tcPr>
          <w:p>
            <w:pPr>
              <w:spacing w:after="0"/>
            </w:pPr>
            <w:r>
              <w:rPr>
                <w:rFonts w:ascii="Arial" w:cs="Arial" w:eastAsia="Arial" w:hAnsi="Arial"/>
                <w:color w:val="333333"/>
                <w:sz w:val="18"/>
                <w:szCs w:val="18"/>
              </w:rPr>
              <w:t xml:space="preserve">Manti Labs LLC</w:t>
            </w:r>
          </w:p>
        </w:tc>
        <w:tc>
          <w:tcPr>
            <w:tcW w:type="dxa" w:w="1400"/>
            <w:shd w:fill="F5F4F0" w:val="clear"/>
          </w:tcPr>
          <w:p>
            <w:pPr>
              <w:spacing w:after="0"/>
            </w:pPr>
            <w:r>
              <w:rPr>
                <w:rFonts w:ascii="Arial" w:cs="Arial" w:eastAsia="Arial" w:hAnsi="Arial"/>
                <w:color w:val="333333"/>
                <w:sz w:val="18"/>
                <w:szCs w:val="18"/>
              </w:rPr>
              <w:t xml:space="preserve">Delaware, USA</w:t>
            </w:r>
          </w:p>
        </w:tc>
        <w:tc>
          <w:tcPr>
            <w:tcW w:type="dxa" w:w="3600"/>
            <w:shd w:fill="F5F4F0" w:val="clear"/>
          </w:tcPr>
          <w:p>
            <w:pPr>
              <w:spacing w:after="0"/>
            </w:pPr>
            <w:r>
              <w:rPr>
                <w:rFonts w:ascii="Arial" w:cs="Arial" w:eastAsia="Arial" w:hAnsi="Arial"/>
                <w:color w:val="333333"/>
                <w:sz w:val="18"/>
                <w:szCs w:val="18"/>
              </w:rPr>
              <w:t xml:space="preserve">Parent company. IP holder. Stripe Connect payments. US investor vehicle.</w:t>
            </w:r>
          </w:p>
        </w:tc>
        <w:tc>
          <w:tcPr>
            <w:tcW w:type="dxa" w:w="1960"/>
            <w:shd w:fill="F5F4F0" w:val="clear"/>
          </w:tcPr>
          <w:p>
            <w:pPr>
              <w:spacing w:after="0"/>
            </w:pPr>
            <w:r>
              <w:rPr>
                <w:rFonts w:ascii="Arial" w:cs="Arial" w:eastAsia="Arial" w:hAnsi="Arial"/>
                <w:color w:val="333333"/>
                <w:sz w:val="18"/>
                <w:szCs w:val="18"/>
              </w:rPr>
              <w:t xml:space="preserve">Incorporated (Stripe Atlas)</w:t>
            </w:r>
          </w:p>
        </w:tc>
      </w:tr>
      <w:tr>
        <w:tc>
          <w:tcPr>
            <w:tcW w:type="dxa" w:w="2400"/>
            <w:shd w:fill="FFFFFF" w:val="clear"/>
          </w:tcPr>
          <w:p>
            <w:pPr>
              <w:spacing w:after="0"/>
            </w:pPr>
            <w:r>
              <w:rPr>
                <w:rFonts w:ascii="Arial" w:cs="Arial" w:eastAsia="Arial" w:hAnsi="Arial"/>
                <w:color w:val="333333"/>
                <w:sz w:val="18"/>
                <w:szCs w:val="18"/>
              </w:rPr>
              <w:t xml:space="preserve">Manti Labs Africa Co. Ltd</w:t>
            </w:r>
          </w:p>
        </w:tc>
        <w:tc>
          <w:tcPr>
            <w:tcW w:type="dxa" w:w="1400"/>
            <w:shd w:fill="FFFFFF" w:val="clear"/>
          </w:tcPr>
          <w:p>
            <w:pPr>
              <w:spacing w:after="0"/>
            </w:pPr>
            <w:r>
              <w:rPr>
                <w:rFonts w:ascii="Arial" w:cs="Arial" w:eastAsia="Arial" w:hAnsi="Arial"/>
                <w:color w:val="333333"/>
                <w:sz w:val="18"/>
                <w:szCs w:val="18"/>
              </w:rPr>
              <w:t xml:space="preserve">Ghana</w:t>
            </w:r>
          </w:p>
        </w:tc>
        <w:tc>
          <w:tcPr>
            <w:tcW w:type="dxa" w:w="3600"/>
            <w:shd w:fill="FFFFFF" w:val="clear"/>
          </w:tcPr>
          <w:p>
            <w:pPr>
              <w:spacing w:after="0"/>
            </w:pPr>
            <w:r>
              <w:rPr>
                <w:rFonts w:ascii="Arial" w:cs="Arial" w:eastAsia="Arial" w:hAnsi="Arial"/>
                <w:color w:val="333333"/>
                <w:sz w:val="18"/>
                <w:szCs w:val="18"/>
              </w:rPr>
              <w:t xml:space="preserve">Ghana operations. Existing entity.</w:t>
            </w:r>
          </w:p>
        </w:tc>
        <w:tc>
          <w:tcPr>
            <w:tcW w:type="dxa" w:w="1960"/>
            <w:shd w:fill="FFFFFF" w:val="clear"/>
          </w:tcPr>
          <w:p>
            <w:pPr>
              <w:spacing w:after="0"/>
            </w:pPr>
            <w:r>
              <w:rPr>
                <w:rFonts w:ascii="Arial" w:cs="Arial" w:eastAsia="Arial" w:hAnsi="Arial"/>
                <w:color w:val="333333"/>
                <w:sz w:val="18"/>
                <w:szCs w:val="18"/>
              </w:rPr>
              <w:t xml:space="preserve">Incorporated</w:t>
            </w:r>
          </w:p>
        </w:tc>
      </w:tr>
      <w:tr>
        <w:tc>
          <w:tcPr>
            <w:tcW w:type="dxa" w:w="2400"/>
            <w:shd w:fill="F5F4F0" w:val="clear"/>
          </w:tcPr>
          <w:p>
            <w:pPr>
              <w:spacing w:after="0"/>
            </w:pPr>
            <w:r>
              <w:rPr>
                <w:rFonts w:ascii="Arial" w:cs="Arial" w:eastAsia="Arial" w:hAnsi="Arial"/>
                <w:color w:val="333333"/>
                <w:sz w:val="18"/>
                <w:szCs w:val="18"/>
              </w:rPr>
              <w:t xml:space="preserve">EyeOnSite Uganda Ltd (proposed)</w:t>
            </w:r>
          </w:p>
        </w:tc>
        <w:tc>
          <w:tcPr>
            <w:tcW w:type="dxa" w:w="1400"/>
            <w:shd w:fill="F5F4F0" w:val="clear"/>
          </w:tcPr>
          <w:p>
            <w:pPr>
              <w:spacing w:after="0"/>
            </w:pPr>
            <w:r>
              <w:rPr>
                <w:rFonts w:ascii="Arial" w:cs="Arial" w:eastAsia="Arial" w:hAnsi="Arial"/>
                <w:color w:val="333333"/>
                <w:sz w:val="18"/>
                <w:szCs w:val="18"/>
              </w:rPr>
              <w:t xml:space="preserve">Uganda</w:t>
            </w:r>
          </w:p>
        </w:tc>
        <w:tc>
          <w:tcPr>
            <w:tcW w:type="dxa" w:w="3600"/>
            <w:shd w:fill="F5F4F0" w:val="clear"/>
          </w:tcPr>
          <w:p>
            <w:pPr>
              <w:spacing w:after="0"/>
            </w:pPr>
            <w:r>
              <w:rPr>
                <w:rFonts w:ascii="Arial" w:cs="Arial" w:eastAsia="Arial" w:hAnsi="Arial"/>
                <w:color w:val="333333"/>
                <w:sz w:val="18"/>
                <w:szCs w:val="18"/>
              </w:rPr>
              <w:t xml:space="preserve">Uganda operating entity. Local contracts, inspector agreements, BoU compliance.</w:t>
            </w:r>
          </w:p>
        </w:tc>
        <w:tc>
          <w:tcPr>
            <w:tcW w:type="dxa" w:w="1960"/>
            <w:shd w:fill="F5F4F0" w:val="clear"/>
          </w:tcPr>
          <w:p>
            <w:pPr>
              <w:spacing w:after="0"/>
            </w:pPr>
            <w:r>
              <w:rPr>
                <w:rFonts w:ascii="Arial" w:cs="Arial" w:eastAsia="Arial" w:hAnsi="Arial"/>
                <w:color w:val="333333"/>
                <w:sz w:val="18"/>
                <w:szCs w:val="18"/>
              </w:rPr>
              <w:t xml:space="preserve">TO BE INCORPORATED</w:t>
            </w:r>
          </w:p>
        </w:tc>
      </w:tr>
    </w:tbl>
    <w:p>
      <w:pPr>
        <w:spacing w:after="0"/>
      </w:pPr>
    </w:p>
    <w:p>
      <w:pPr>
        <w:pBdr>
          <w:left w:val="single" w:color="3B82F6" w:sz="12" w:space="8"/>
        </w:pBdr>
        <w:shd w:fill="EFF6FF" w:val="clear"/>
        <w:spacing w:after="200" w:before="120"/>
      </w:pPr>
      <w:r>
        <w:rPr>
          <w:rFonts w:ascii="Arial" w:cs="Arial" w:eastAsia="Arial" w:hAnsi="Arial"/>
          <w:color w:val="333333"/>
          <w:sz w:val="20"/>
          <w:szCs w:val="20"/>
        </w:rPr>
        <w:t xml:space="preserve">Key advantage: Uganda allows 100% foreign ownership of private companies. No mandatory local shareholder requirement for standard company registration (unlike Ghana's 30% requirement for PSP licensing). Manti Labs LLC can be the sole shareholder of EyeOnSite Uganda Ltd.</w:t>
      </w:r>
    </w:p>
    <w:p>
      <w:pPr>
        <w:pStyle w:val="Heading1"/>
        <w:spacing w:after="200" w:before="400"/>
      </w:pPr>
      <w:r>
        <w:rPr>
          <w:rFonts w:ascii="Arial" w:cs="Arial" w:eastAsia="Arial" w:hAnsi="Arial"/>
          <w:b/>
          <w:bCs/>
          <w:color w:val="022B1E"/>
          <w:sz w:val="28"/>
          <w:szCs w:val="28"/>
        </w:rPr>
        <w:t xml:space="preserve">2. Company Registration — Uganda</w:t>
      </w:r>
    </w:p>
    <w:p>
      <w:pPr>
        <w:spacing w:after="140" w:line="276"/>
      </w:pPr>
      <w:r>
        <w:rPr>
          <w:rFonts w:ascii="Arial" w:cs="Arial" w:eastAsia="Arial" w:hAnsi="Arial"/>
          <w:color w:val="333333"/>
          <w:sz w:val="20"/>
          <w:szCs w:val="20"/>
        </w:rPr>
        <w:t xml:space="preserve">Two options exist for establishing a legal presence in Uganda: incorporating a local subsidiary or registering a branch of the foreign parent company. A subsidiary is recommended.</w:t>
      </w:r>
    </w:p>
    <w:p>
      <w:pPr>
        <w:spacing w:after="0"/>
      </w:pPr>
    </w:p>
    <w:p>
      <w:pPr>
        <w:pStyle w:val="Heading2"/>
        <w:spacing w:after="160" w:before="300"/>
      </w:pPr>
      <w:r>
        <w:rPr>
          <w:rFonts w:ascii="Arial" w:cs="Arial" w:eastAsia="Arial" w:hAnsi="Arial"/>
          <w:b/>
          <w:bCs/>
          <w:color w:val="0B6E4F"/>
          <w:sz w:val="24"/>
          <w:szCs w:val="24"/>
        </w:rPr>
        <w:t xml:space="preserve">2.1 Option A: Local Subsidiary (Recommended)</w:t>
      </w:r>
    </w:p>
    <w:p>
      <w:pPr>
        <w:spacing w:after="140" w:line="276"/>
      </w:pPr>
      <w:r>
        <w:rPr>
          <w:rFonts w:ascii="Arial" w:cs="Arial" w:eastAsia="Arial" w:hAnsi="Arial"/>
          <w:b/>
          <w:bCs/>
          <w:color w:val="333333"/>
          <w:sz w:val="20"/>
          <w:szCs w:val="20"/>
        </w:rPr>
        <w:t xml:space="preserve">Structure: </w:t>
      </w:r>
      <w:r>
        <w:rPr>
          <w:rFonts w:ascii="Arial" w:cs="Arial" w:eastAsia="Arial" w:hAnsi="Arial"/>
          <w:color w:val="333333"/>
          <w:sz w:val="20"/>
          <w:szCs w:val="20"/>
        </w:rPr>
        <w:t xml:space="preserve">EyeOnSite Uganda Ltd — private company limited by shares, wholly owned by Manti Labs LLC (Delaware).</w:t>
      </w:r>
    </w:p>
    <w:p>
      <w:pPr>
        <w:spacing w:after="0"/>
      </w:pPr>
    </w:p>
    <w:p>
      <w:pPr>
        <w:spacing w:after="120" w:before="200"/>
      </w:pPr>
      <w:r>
        <w:rPr>
          <w:rFonts w:ascii="Arial" w:cs="Arial" w:eastAsia="Arial" w:hAnsi="Arial"/>
          <w:b/>
          <w:bCs/>
          <w:color w:val="4A4A47"/>
          <w:sz w:val="22"/>
          <w:szCs w:val="22"/>
        </w:rPr>
        <w:t xml:space="preserve">Registration Requirements (URSB)</w:t>
      </w:r>
    </w:p>
    <w:p>
      <w:pPr>
        <w:pStyle w:val="ListParagraph"/>
        <w:numPr>
          <w:ilvl w:val="0"/>
          <w:numId w:val="2"/>
        </w:numPr>
        <w:spacing w:after="80" w:line="276"/>
      </w:pPr>
      <w:r>
        <w:rPr>
          <w:rFonts w:ascii="Arial" w:cs="Arial" w:eastAsia="Arial" w:hAnsi="Arial"/>
          <w:color w:val="333333"/>
          <w:sz w:val="20"/>
          <w:szCs w:val="20"/>
        </w:rPr>
        <w:t xml:space="preserve">Reserve company name with Uganda Registration Services Bureau (URSB). Provide 3 name options in priority order. Fee: UGX 35,000 (~$9). Timeline: 1-3 working days.</w:t>
      </w:r>
    </w:p>
    <w:p>
      <w:pPr>
        <w:pStyle w:val="ListParagraph"/>
        <w:numPr>
          <w:ilvl w:val="0"/>
          <w:numId w:val="2"/>
        </w:numPr>
        <w:spacing w:after="80" w:line="276"/>
      </w:pPr>
      <w:r>
        <w:rPr>
          <w:rFonts w:ascii="Arial" w:cs="Arial" w:eastAsia="Arial" w:hAnsi="Arial"/>
          <w:color w:val="333333"/>
          <w:sz w:val="20"/>
          <w:szCs w:val="20"/>
        </w:rPr>
        <w:t xml:space="preserve">Prepare Memorandum and Articles of Association (MAA). URSB provides standard templates (Table A for company limited by shares).</w:t>
      </w:r>
    </w:p>
    <w:p>
      <w:pPr>
        <w:pStyle w:val="ListParagraph"/>
        <w:numPr>
          <w:ilvl w:val="0"/>
          <w:numId w:val="2"/>
        </w:numPr>
        <w:spacing w:after="80" w:line="276"/>
      </w:pPr>
      <w:r>
        <w:rPr>
          <w:rFonts w:ascii="Arial" w:cs="Arial" w:eastAsia="Arial" w:hAnsi="Arial"/>
          <w:color w:val="333333"/>
          <w:sz w:val="20"/>
          <w:szCs w:val="20"/>
        </w:rPr>
        <w:t xml:space="preserve">Company Form A1: Statement of Nominal Capital — state share capital, number/class/nominal value of shares.</w:t>
      </w:r>
    </w:p>
    <w:p>
      <w:pPr>
        <w:pStyle w:val="ListParagraph"/>
        <w:numPr>
          <w:ilvl w:val="0"/>
          <w:numId w:val="2"/>
        </w:numPr>
        <w:spacing w:after="80" w:line="276"/>
      </w:pPr>
      <w:r>
        <w:rPr>
          <w:rFonts w:ascii="Arial" w:cs="Arial" w:eastAsia="Arial" w:hAnsi="Arial"/>
          <w:color w:val="333333"/>
          <w:sz w:val="20"/>
          <w:szCs w:val="20"/>
        </w:rPr>
        <w:t xml:space="preserve">Company Form 20: Particulars of Directors and Secretary. At least one director required. Secretary required (can be a corporate secretary service).</w:t>
      </w:r>
    </w:p>
    <w:p>
      <w:pPr>
        <w:pStyle w:val="ListParagraph"/>
        <w:numPr>
          <w:ilvl w:val="0"/>
          <w:numId w:val="2"/>
        </w:numPr>
        <w:spacing w:after="80" w:line="276"/>
      </w:pPr>
      <w:r>
        <w:rPr>
          <w:rFonts w:ascii="Arial" w:cs="Arial" w:eastAsia="Arial" w:hAnsi="Arial"/>
          <w:color w:val="333333"/>
          <w:sz w:val="20"/>
          <w:szCs w:val="20"/>
        </w:rPr>
        <w:t xml:space="preserve">Company Form 18: Notice of situation of registered office. Must be a physical address in Uganda.</w:t>
      </w:r>
    </w:p>
    <w:p>
      <w:pPr>
        <w:pStyle w:val="ListParagraph"/>
        <w:numPr>
          <w:ilvl w:val="0"/>
          <w:numId w:val="2"/>
        </w:numPr>
        <w:spacing w:after="80" w:line="276"/>
      </w:pPr>
      <w:r>
        <w:rPr>
          <w:rFonts w:ascii="Arial" w:cs="Arial" w:eastAsia="Arial" w:hAnsi="Arial"/>
          <w:color w:val="333333"/>
          <w:sz w:val="20"/>
          <w:szCs w:val="20"/>
        </w:rPr>
        <w:t xml:space="preserve">Form declaring beneficial ownership (anti-money laundering requirement).</w:t>
      </w:r>
    </w:p>
    <w:p>
      <w:pPr>
        <w:pStyle w:val="ListParagraph"/>
        <w:numPr>
          <w:ilvl w:val="0"/>
          <w:numId w:val="2"/>
        </w:numPr>
        <w:spacing w:after="80" w:line="276"/>
      </w:pPr>
      <w:r>
        <w:rPr>
          <w:rFonts w:ascii="Arial" w:cs="Arial" w:eastAsia="Arial" w:hAnsi="Arial"/>
          <w:color w:val="333333"/>
          <w:sz w:val="20"/>
          <w:szCs w:val="20"/>
        </w:rPr>
        <w:t xml:space="preserve">Scanned copies of all directors' national IDs or passports in PDF format.</w:t>
      </w:r>
    </w:p>
    <w:p>
      <w:pPr>
        <w:pStyle w:val="ListParagraph"/>
        <w:numPr>
          <w:ilvl w:val="0"/>
          <w:numId w:val="2"/>
        </w:numPr>
        <w:spacing w:after="80" w:line="276"/>
      </w:pPr>
      <w:r>
        <w:rPr>
          <w:rFonts w:ascii="Arial" w:cs="Arial" w:eastAsia="Arial" w:hAnsi="Arial"/>
          <w:color w:val="333333"/>
          <w:sz w:val="20"/>
          <w:szCs w:val="20"/>
        </w:rPr>
        <w:t xml:space="preserve">Submit all documents via URSB online portal or in person.</w:t>
      </w:r>
    </w:p>
    <w:p>
      <w:pPr>
        <w:pStyle w:val="ListParagraph"/>
        <w:numPr>
          <w:ilvl w:val="0"/>
          <w:numId w:val="2"/>
        </w:numPr>
        <w:spacing w:after="80" w:line="276"/>
      </w:pPr>
      <w:r>
        <w:rPr>
          <w:rFonts w:ascii="Arial" w:cs="Arial" w:eastAsia="Arial" w:hAnsi="Arial"/>
          <w:color w:val="333333"/>
          <w:sz w:val="20"/>
          <w:szCs w:val="20"/>
        </w:rPr>
        <w:t xml:space="preserve">Pay registration fees. For share capital up to UGX 5 million: minimum fee ~$20. For share capital over UGX 5 million: 1% of share capital + 0.5% stamp duty.</w:t>
      </w:r>
    </w:p>
    <w:p>
      <w:pPr>
        <w:pStyle w:val="ListParagraph"/>
        <w:numPr>
          <w:ilvl w:val="0"/>
          <w:numId w:val="2"/>
        </w:numPr>
        <w:spacing w:after="80" w:line="276"/>
      </w:pPr>
      <w:r>
        <w:rPr>
          <w:rFonts w:ascii="Arial" w:cs="Arial" w:eastAsia="Arial" w:hAnsi="Arial"/>
          <w:color w:val="333333"/>
          <w:sz w:val="20"/>
          <w:szCs w:val="20"/>
        </w:rPr>
        <w:t xml:space="preserve">URSB issues Certificate of Incorporation upon successful registration.</w:t>
      </w:r>
    </w:p>
    <w:p>
      <w:pPr>
        <w:spacing w:after="0"/>
      </w:pPr>
    </w:p>
    <w:p>
      <w:pPr>
        <w:spacing w:after="120" w:before="200"/>
      </w:pPr>
      <w:r>
        <w:rPr>
          <w:rFonts w:ascii="Arial" w:cs="Arial" w:eastAsia="Arial" w:hAnsi="Arial"/>
          <w:b/>
          <w:bCs/>
          <w:color w:val="4A4A47"/>
          <w:sz w:val="22"/>
          <w:szCs w:val="22"/>
        </w:rPr>
        <w:t xml:space="preserve">Post-Registration Requirements</w:t>
      </w:r>
    </w:p>
    <w:p>
      <w:pPr>
        <w:pStyle w:val="ListParagraph"/>
        <w:numPr>
          <w:ilvl w:val="0"/>
          <w:numId w:val="2"/>
        </w:numPr>
        <w:spacing w:after="80" w:line="276"/>
      </w:pPr>
      <w:r>
        <w:rPr>
          <w:rFonts w:ascii="Arial" w:cs="Arial" w:eastAsia="Arial" w:hAnsi="Arial"/>
          <w:color w:val="333333"/>
          <w:sz w:val="20"/>
          <w:szCs w:val="20"/>
        </w:rPr>
        <w:t xml:space="preserve">Obtain Tax Identification Number (TIN) from Uganda Revenue Authority (URA). Free.</w:t>
      </w:r>
    </w:p>
    <w:p>
      <w:pPr>
        <w:pStyle w:val="ListParagraph"/>
        <w:numPr>
          <w:ilvl w:val="0"/>
          <w:numId w:val="2"/>
        </w:numPr>
        <w:spacing w:after="80" w:line="276"/>
      </w:pPr>
      <w:r>
        <w:rPr>
          <w:rFonts w:ascii="Arial" w:cs="Arial" w:eastAsia="Arial" w:hAnsi="Arial"/>
          <w:color w:val="333333"/>
          <w:sz w:val="20"/>
          <w:szCs w:val="20"/>
        </w:rPr>
        <w:t xml:space="preserve">Register for VAT if expected turnover exceeds UGX 150 million (~$40,000) in any 12-month period.</w:t>
      </w:r>
    </w:p>
    <w:p>
      <w:pPr>
        <w:pStyle w:val="ListParagraph"/>
        <w:numPr>
          <w:ilvl w:val="0"/>
          <w:numId w:val="2"/>
        </w:numPr>
        <w:spacing w:after="80" w:line="276"/>
      </w:pPr>
      <w:r>
        <w:rPr>
          <w:rFonts w:ascii="Arial" w:cs="Arial" w:eastAsia="Arial" w:hAnsi="Arial"/>
          <w:color w:val="333333"/>
          <w:sz w:val="20"/>
          <w:szCs w:val="20"/>
        </w:rPr>
        <w:t xml:space="preserve">Obtain trading license from the relevant local government authority (e.g., Kampala Capital City Authority if operating in Kampala). Fee: UGX 100,000-500,000 depending on business type.</w:t>
      </w:r>
    </w:p>
    <w:p>
      <w:pPr>
        <w:pStyle w:val="ListParagraph"/>
        <w:numPr>
          <w:ilvl w:val="0"/>
          <w:numId w:val="2"/>
        </w:numPr>
        <w:spacing w:after="80" w:line="276"/>
      </w:pPr>
      <w:r>
        <w:rPr>
          <w:rFonts w:ascii="Arial" w:cs="Arial" w:eastAsia="Arial" w:hAnsi="Arial"/>
          <w:color w:val="333333"/>
          <w:sz w:val="20"/>
          <w:szCs w:val="20"/>
        </w:rPr>
        <w:t xml:space="preserve">Register with National Social Security Fund (NSSF) as an employer — only required if hiring employees (not for independent contractor model).</w:t>
      </w:r>
    </w:p>
    <w:p>
      <w:pPr>
        <w:pStyle w:val="ListParagraph"/>
        <w:numPr>
          <w:ilvl w:val="0"/>
          <w:numId w:val="2"/>
        </w:numPr>
        <w:spacing w:after="80" w:line="276"/>
      </w:pPr>
      <w:r>
        <w:rPr>
          <w:rFonts w:ascii="Arial" w:cs="Arial" w:eastAsia="Arial" w:hAnsi="Arial"/>
          <w:color w:val="333333"/>
          <w:sz w:val="20"/>
          <w:szCs w:val="20"/>
        </w:rPr>
        <w:t xml:space="preserve">Obtain postal address from Posta Uganda. Cost: approximately UGX 53,000/year.</w:t>
      </w:r>
    </w:p>
    <w:p>
      <w:pPr>
        <w:spacing w:after="0"/>
      </w:pPr>
    </w:p>
    <w:p>
      <w:pPr>
        <w:spacing w:after="120" w:before="200"/>
      </w:pPr>
      <w:r>
        <w:rPr>
          <w:rFonts w:ascii="Arial" w:cs="Arial" w:eastAsia="Arial" w:hAnsi="Arial"/>
          <w:b/>
          <w:bCs/>
          <w:color w:val="4A4A47"/>
          <w:sz w:val="22"/>
          <w:szCs w:val="22"/>
        </w:rPr>
        <w:t xml:space="preserve">Estimated Total Registration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000"/>
            <w:shd w:fill="022B1E" w:val="clear"/>
          </w:tcPr>
          <w:p>
            <w:pPr>
              <w:spacing w:after="0"/>
            </w:pPr>
            <w:r>
              <w:rPr>
                <w:rFonts w:ascii="Arial" w:cs="Arial" w:eastAsia="Arial" w:hAnsi="Arial"/>
                <w:b/>
                <w:bCs/>
                <w:color w:val="FFFFFF"/>
                <w:sz w:val="18"/>
                <w:szCs w:val="18"/>
              </w:rPr>
              <w:t xml:space="preserve">Item</w:t>
            </w:r>
          </w:p>
        </w:tc>
        <w:tc>
          <w:tcPr>
            <w:tcW w:type="dxa" w:w="2680"/>
            <w:shd w:fill="022B1E" w:val="clear"/>
          </w:tcPr>
          <w:p>
            <w:pPr>
              <w:spacing w:after="0"/>
            </w:pPr>
            <w:r>
              <w:rPr>
                <w:rFonts w:ascii="Arial" w:cs="Arial" w:eastAsia="Arial" w:hAnsi="Arial"/>
                <w:b/>
                <w:bCs/>
                <w:color w:val="FFFFFF"/>
                <w:sz w:val="18"/>
                <w:szCs w:val="18"/>
              </w:rPr>
              <w:t xml:space="preserve">Cost (UGX)</w:t>
            </w:r>
          </w:p>
        </w:tc>
        <w:tc>
          <w:tcPr>
            <w:tcW w:type="dxa" w:w="2680"/>
            <w:shd w:fill="022B1E" w:val="clear"/>
          </w:tcPr>
          <w:p>
            <w:pPr>
              <w:spacing w:after="0"/>
            </w:pPr>
            <w:r>
              <w:rPr>
                <w:rFonts w:ascii="Arial" w:cs="Arial" w:eastAsia="Arial" w:hAnsi="Arial"/>
                <w:b/>
                <w:bCs/>
                <w:color w:val="FFFFFF"/>
                <w:sz w:val="18"/>
                <w:szCs w:val="18"/>
              </w:rPr>
              <w:t xml:space="preserve">Cost (USD)</w:t>
            </w:r>
          </w:p>
        </w:tc>
      </w:tr>
      <w:tr>
        <w:tc>
          <w:tcPr>
            <w:tcW w:type="dxa" w:w="4000"/>
            <w:shd w:fill="F5F4F0" w:val="clear"/>
          </w:tcPr>
          <w:p>
            <w:pPr>
              <w:spacing w:after="0"/>
            </w:pPr>
            <w:r>
              <w:rPr>
                <w:rFonts w:ascii="Arial" w:cs="Arial" w:eastAsia="Arial" w:hAnsi="Arial"/>
                <w:color w:val="333333"/>
                <w:sz w:val="18"/>
                <w:szCs w:val="18"/>
              </w:rPr>
              <w:t xml:space="preserve">Name reservation</w:t>
            </w:r>
          </w:p>
        </w:tc>
        <w:tc>
          <w:tcPr>
            <w:tcW w:type="dxa" w:w="2680"/>
            <w:shd w:fill="F5F4F0" w:val="clear"/>
          </w:tcPr>
          <w:p>
            <w:pPr>
              <w:spacing w:after="0"/>
            </w:pPr>
            <w:r>
              <w:rPr>
                <w:rFonts w:ascii="Arial" w:cs="Arial" w:eastAsia="Arial" w:hAnsi="Arial"/>
                <w:color w:val="333333"/>
                <w:sz w:val="18"/>
                <w:szCs w:val="18"/>
              </w:rPr>
              <w:t xml:space="preserve">35,000</w:t>
            </w:r>
          </w:p>
        </w:tc>
        <w:tc>
          <w:tcPr>
            <w:tcW w:type="dxa" w:w="2680"/>
            <w:shd w:fill="F5F4F0" w:val="clear"/>
          </w:tcPr>
          <w:p>
            <w:pPr>
              <w:spacing w:after="0"/>
            </w:pPr>
            <w:r>
              <w:rPr>
                <w:rFonts w:ascii="Arial" w:cs="Arial" w:eastAsia="Arial" w:hAnsi="Arial"/>
                <w:color w:val="333333"/>
                <w:sz w:val="18"/>
                <w:szCs w:val="18"/>
              </w:rPr>
              <w:t xml:space="preserve">~$9</w:t>
            </w:r>
          </w:p>
        </w:tc>
      </w:tr>
      <w:tr>
        <w:tc>
          <w:tcPr>
            <w:tcW w:type="dxa" w:w="4000"/>
            <w:shd w:fill="FFFFFF" w:val="clear"/>
          </w:tcPr>
          <w:p>
            <w:pPr>
              <w:spacing w:after="0"/>
            </w:pPr>
            <w:r>
              <w:rPr>
                <w:rFonts w:ascii="Arial" w:cs="Arial" w:eastAsia="Arial" w:hAnsi="Arial"/>
                <w:color w:val="333333"/>
                <w:sz w:val="18"/>
                <w:szCs w:val="18"/>
              </w:rPr>
              <w:t xml:space="preserve">Registration fees (UGX 5M capital)</w:t>
            </w:r>
          </w:p>
        </w:tc>
        <w:tc>
          <w:tcPr>
            <w:tcW w:type="dxa" w:w="2680"/>
            <w:shd w:fill="FFFFFF" w:val="clear"/>
          </w:tcPr>
          <w:p>
            <w:pPr>
              <w:spacing w:after="0"/>
            </w:pPr>
            <w:r>
              <w:rPr>
                <w:rFonts w:ascii="Arial" w:cs="Arial" w:eastAsia="Arial" w:hAnsi="Arial"/>
                <w:color w:val="333333"/>
                <w:sz w:val="18"/>
                <w:szCs w:val="18"/>
              </w:rPr>
              <w:t xml:space="preserve">~100,000</w:t>
            </w:r>
          </w:p>
        </w:tc>
        <w:tc>
          <w:tcPr>
            <w:tcW w:type="dxa" w:w="2680"/>
            <w:shd w:fill="FFFFFF" w:val="clear"/>
          </w:tcPr>
          <w:p>
            <w:pPr>
              <w:spacing w:after="0"/>
            </w:pPr>
            <w:r>
              <w:rPr>
                <w:rFonts w:ascii="Arial" w:cs="Arial" w:eastAsia="Arial" w:hAnsi="Arial"/>
                <w:color w:val="333333"/>
                <w:sz w:val="18"/>
                <w:szCs w:val="18"/>
              </w:rPr>
              <w:t xml:space="preserve">~$27</w:t>
            </w:r>
          </w:p>
        </w:tc>
      </w:tr>
      <w:tr>
        <w:tc>
          <w:tcPr>
            <w:tcW w:type="dxa" w:w="4000"/>
            <w:shd w:fill="F5F4F0" w:val="clear"/>
          </w:tcPr>
          <w:p>
            <w:pPr>
              <w:spacing w:after="0"/>
            </w:pPr>
            <w:r>
              <w:rPr>
                <w:rFonts w:ascii="Arial" w:cs="Arial" w:eastAsia="Arial" w:hAnsi="Arial"/>
                <w:color w:val="333333"/>
                <w:sz w:val="18"/>
                <w:szCs w:val="18"/>
              </w:rPr>
              <w:t xml:space="preserve">Stamp duty</w:t>
            </w:r>
          </w:p>
        </w:tc>
        <w:tc>
          <w:tcPr>
            <w:tcW w:type="dxa" w:w="2680"/>
            <w:shd w:fill="F5F4F0" w:val="clear"/>
          </w:tcPr>
          <w:p>
            <w:pPr>
              <w:spacing w:after="0"/>
            </w:pPr>
            <w:r>
              <w:rPr>
                <w:rFonts w:ascii="Arial" w:cs="Arial" w:eastAsia="Arial" w:hAnsi="Arial"/>
                <w:color w:val="333333"/>
                <w:sz w:val="18"/>
                <w:szCs w:val="18"/>
              </w:rPr>
              <w:t xml:space="preserve">~25,000</w:t>
            </w:r>
          </w:p>
        </w:tc>
        <w:tc>
          <w:tcPr>
            <w:tcW w:type="dxa" w:w="2680"/>
            <w:shd w:fill="F5F4F0" w:val="clear"/>
          </w:tcPr>
          <w:p>
            <w:pPr>
              <w:spacing w:after="0"/>
            </w:pPr>
            <w:r>
              <w:rPr>
                <w:rFonts w:ascii="Arial" w:cs="Arial" w:eastAsia="Arial" w:hAnsi="Arial"/>
                <w:color w:val="333333"/>
                <w:sz w:val="18"/>
                <w:szCs w:val="18"/>
              </w:rPr>
              <w:t xml:space="preserve">~$7</w:t>
            </w:r>
          </w:p>
        </w:tc>
      </w:tr>
      <w:tr>
        <w:tc>
          <w:tcPr>
            <w:tcW w:type="dxa" w:w="4000"/>
            <w:shd w:fill="FFFFFF" w:val="clear"/>
          </w:tcPr>
          <w:p>
            <w:pPr>
              <w:spacing w:after="0"/>
            </w:pPr>
            <w:r>
              <w:rPr>
                <w:rFonts w:ascii="Arial" w:cs="Arial" w:eastAsia="Arial" w:hAnsi="Arial"/>
                <w:color w:val="333333"/>
                <w:sz w:val="18"/>
                <w:szCs w:val="18"/>
              </w:rPr>
              <w:t xml:space="preserve">Trading license (Kampala)</w:t>
            </w:r>
          </w:p>
        </w:tc>
        <w:tc>
          <w:tcPr>
            <w:tcW w:type="dxa" w:w="2680"/>
            <w:shd w:fill="FFFFFF" w:val="clear"/>
          </w:tcPr>
          <w:p>
            <w:pPr>
              <w:spacing w:after="0"/>
            </w:pPr>
            <w:r>
              <w:rPr>
                <w:rFonts w:ascii="Arial" w:cs="Arial" w:eastAsia="Arial" w:hAnsi="Arial"/>
                <w:color w:val="333333"/>
                <w:sz w:val="18"/>
                <w:szCs w:val="18"/>
              </w:rPr>
              <w:t xml:space="preserve">~200,000</w:t>
            </w:r>
          </w:p>
        </w:tc>
        <w:tc>
          <w:tcPr>
            <w:tcW w:type="dxa" w:w="2680"/>
            <w:shd w:fill="FFFFFF" w:val="clear"/>
          </w:tcPr>
          <w:p>
            <w:pPr>
              <w:spacing w:after="0"/>
            </w:pPr>
            <w:r>
              <w:rPr>
                <w:rFonts w:ascii="Arial" w:cs="Arial" w:eastAsia="Arial" w:hAnsi="Arial"/>
                <w:color w:val="333333"/>
                <w:sz w:val="18"/>
                <w:szCs w:val="18"/>
              </w:rPr>
              <w:t xml:space="preserve">~$54</w:t>
            </w:r>
          </w:p>
        </w:tc>
      </w:tr>
      <w:tr>
        <w:tc>
          <w:tcPr>
            <w:tcW w:type="dxa" w:w="4000"/>
            <w:shd w:fill="F5F4F0" w:val="clear"/>
          </w:tcPr>
          <w:p>
            <w:pPr>
              <w:spacing w:after="0"/>
            </w:pPr>
            <w:r>
              <w:rPr>
                <w:rFonts w:ascii="Arial" w:cs="Arial" w:eastAsia="Arial" w:hAnsi="Arial"/>
                <w:color w:val="333333"/>
                <w:sz w:val="18"/>
                <w:szCs w:val="18"/>
              </w:rPr>
              <w:t xml:space="preserve">Postal address (annual)</w:t>
            </w:r>
          </w:p>
        </w:tc>
        <w:tc>
          <w:tcPr>
            <w:tcW w:type="dxa" w:w="2680"/>
            <w:shd w:fill="F5F4F0" w:val="clear"/>
          </w:tcPr>
          <w:p>
            <w:pPr>
              <w:spacing w:after="0"/>
            </w:pPr>
            <w:r>
              <w:rPr>
                <w:rFonts w:ascii="Arial" w:cs="Arial" w:eastAsia="Arial" w:hAnsi="Arial"/>
                <w:color w:val="333333"/>
                <w:sz w:val="18"/>
                <w:szCs w:val="18"/>
              </w:rPr>
              <w:t xml:space="preserve">~53,000</w:t>
            </w:r>
          </w:p>
        </w:tc>
        <w:tc>
          <w:tcPr>
            <w:tcW w:type="dxa" w:w="2680"/>
            <w:shd w:fill="F5F4F0" w:val="clear"/>
          </w:tcPr>
          <w:p>
            <w:pPr>
              <w:spacing w:after="0"/>
            </w:pPr>
            <w:r>
              <w:rPr>
                <w:rFonts w:ascii="Arial" w:cs="Arial" w:eastAsia="Arial" w:hAnsi="Arial"/>
                <w:color w:val="333333"/>
                <w:sz w:val="18"/>
                <w:szCs w:val="18"/>
              </w:rPr>
              <w:t xml:space="preserve">~$14</w:t>
            </w:r>
          </w:p>
        </w:tc>
      </w:tr>
      <w:tr>
        <w:tc>
          <w:tcPr>
            <w:tcW w:type="dxa" w:w="4000"/>
            <w:shd w:fill="FFFFFF" w:val="clear"/>
          </w:tcPr>
          <w:p>
            <w:pPr>
              <w:spacing w:after="0"/>
            </w:pPr>
            <w:r>
              <w:rPr>
                <w:rFonts w:ascii="Arial" w:cs="Arial" w:eastAsia="Arial" w:hAnsi="Arial"/>
                <w:color w:val="333333"/>
                <w:sz w:val="18"/>
                <w:szCs w:val="18"/>
              </w:rPr>
              <w:t xml:space="preserve">Legal/notary fees</w:t>
            </w:r>
          </w:p>
        </w:tc>
        <w:tc>
          <w:tcPr>
            <w:tcW w:type="dxa" w:w="2680"/>
            <w:shd w:fill="FFFFFF" w:val="clear"/>
          </w:tcPr>
          <w:p>
            <w:pPr>
              <w:spacing w:after="0"/>
            </w:pPr>
            <w:r>
              <w:rPr>
                <w:rFonts w:ascii="Arial" w:cs="Arial" w:eastAsia="Arial" w:hAnsi="Arial"/>
                <w:color w:val="333333"/>
                <w:sz w:val="18"/>
                <w:szCs w:val="18"/>
              </w:rPr>
              <w:t xml:space="preserve">~400,000-1,000,000</w:t>
            </w:r>
          </w:p>
        </w:tc>
        <w:tc>
          <w:tcPr>
            <w:tcW w:type="dxa" w:w="2680"/>
            <w:shd w:fill="FFFFFF" w:val="clear"/>
          </w:tcPr>
          <w:p>
            <w:pPr>
              <w:spacing w:after="0"/>
            </w:pPr>
            <w:r>
              <w:rPr>
                <w:rFonts w:ascii="Arial" w:cs="Arial" w:eastAsia="Arial" w:hAnsi="Arial"/>
                <w:color w:val="333333"/>
                <w:sz w:val="18"/>
                <w:szCs w:val="18"/>
              </w:rPr>
              <w:t xml:space="preserve">~$108-270</w:t>
            </w:r>
          </w:p>
        </w:tc>
      </w:tr>
      <w:tr>
        <w:tc>
          <w:tcPr>
            <w:tcW w:type="dxa" w:w="4000"/>
            <w:shd w:fill="F5F4F0" w:val="clear"/>
          </w:tcPr>
          <w:p>
            <w:pPr>
              <w:spacing w:after="0"/>
            </w:pPr>
            <w:r>
              <w:rPr>
                <w:rFonts w:ascii="Arial" w:cs="Arial" w:eastAsia="Arial" w:hAnsi="Arial"/>
                <w:color w:val="333333"/>
                <w:sz w:val="18"/>
                <w:szCs w:val="18"/>
              </w:rPr>
              <w:t xml:space="preserve">TOTAL</w:t>
            </w:r>
          </w:p>
        </w:tc>
        <w:tc>
          <w:tcPr>
            <w:tcW w:type="dxa" w:w="2680"/>
            <w:shd w:fill="F5F4F0" w:val="clear"/>
          </w:tcPr>
          <w:p>
            <w:pPr>
              <w:spacing w:after="0"/>
            </w:pPr>
            <w:r>
              <w:rPr>
                <w:rFonts w:ascii="Arial" w:cs="Arial" w:eastAsia="Arial" w:hAnsi="Arial"/>
                <w:color w:val="333333"/>
                <w:sz w:val="18"/>
                <w:szCs w:val="18"/>
              </w:rPr>
              <w:t xml:space="preserve">~813,000-1,413,000</w:t>
            </w:r>
          </w:p>
        </w:tc>
        <w:tc>
          <w:tcPr>
            <w:tcW w:type="dxa" w:w="2680"/>
            <w:shd w:fill="F5F4F0" w:val="clear"/>
          </w:tcPr>
          <w:p>
            <w:pPr>
              <w:spacing w:after="0"/>
            </w:pPr>
            <w:r>
              <w:rPr>
                <w:rFonts w:ascii="Arial" w:cs="Arial" w:eastAsia="Arial" w:hAnsi="Arial"/>
                <w:color w:val="333333"/>
                <w:sz w:val="18"/>
                <w:szCs w:val="18"/>
              </w:rPr>
              <w:t xml:space="preserve">~$220-380</w:t>
            </w:r>
          </w:p>
        </w:tc>
      </w:tr>
    </w:tbl>
    <w:p>
      <w:pPr>
        <w:spacing w:after="0"/>
      </w:pPr>
    </w:p>
    <w:p>
      <w:pPr>
        <w:pStyle w:val="Heading2"/>
        <w:spacing w:after="160" w:before="300"/>
      </w:pPr>
      <w:r>
        <w:rPr>
          <w:rFonts w:ascii="Arial" w:cs="Arial" w:eastAsia="Arial" w:hAnsi="Arial"/>
          <w:b/>
          <w:bCs/>
          <w:color w:val="0B6E4F"/>
          <w:sz w:val="24"/>
          <w:szCs w:val="24"/>
        </w:rPr>
        <w:t xml:space="preserve">2.2 Option B: Branch of Foreign Company</w:t>
      </w:r>
    </w:p>
    <w:p>
      <w:pPr>
        <w:spacing w:after="140" w:line="276"/>
      </w:pPr>
      <w:r>
        <w:rPr>
          <w:rFonts w:ascii="Arial" w:cs="Arial" w:eastAsia="Arial" w:hAnsi="Arial"/>
          <w:color w:val="333333"/>
          <w:sz w:val="20"/>
          <w:szCs w:val="20"/>
        </w:rPr>
        <w:t xml:space="preserve">Manti Labs LLC could register a branch in Uganda instead of incorporating a subsidiary. This is simpler but has disadvantages.</w:t>
      </w:r>
    </w:p>
    <w:p>
      <w:pPr>
        <w:pStyle w:val="ListParagraph"/>
        <w:numPr>
          <w:ilvl w:val="0"/>
          <w:numId w:val="2"/>
        </w:numPr>
        <w:spacing w:after="80" w:line="276"/>
      </w:pPr>
      <w:r>
        <w:rPr>
          <w:rFonts w:ascii="Arial" w:cs="Arial" w:eastAsia="Arial" w:hAnsi="Arial"/>
          <w:color w:val="333333"/>
          <w:sz w:val="20"/>
          <w:szCs w:val="20"/>
        </w:rPr>
        <w:t xml:space="preserve">Branch registration requires: certified copies of Manti Labs LLC's Certificate of Incorporation (Delaware), Articles of Association, list of directors, name of at least one Ugandan resident authorized to receive legal notices, and principal office address in Uganda.</w:t>
      </w:r>
    </w:p>
    <w:p>
      <w:pPr>
        <w:pStyle w:val="ListParagraph"/>
        <w:numPr>
          <w:ilvl w:val="0"/>
          <w:numId w:val="2"/>
        </w:numPr>
        <w:spacing w:after="80" w:line="276"/>
      </w:pPr>
      <w:r>
        <w:rPr>
          <w:rFonts w:ascii="Arial" w:cs="Arial" w:eastAsia="Arial" w:hAnsi="Arial"/>
          <w:color w:val="333333"/>
          <w:sz w:val="20"/>
          <w:szCs w:val="20"/>
        </w:rPr>
        <w:t xml:space="preserve">Must be submitted to URSB within 30 days of establishing a place of business in Uganda.</w:t>
      </w:r>
    </w:p>
    <w:p>
      <w:pPr>
        <w:pStyle w:val="ListParagraph"/>
        <w:numPr>
          <w:ilvl w:val="0"/>
          <w:numId w:val="2"/>
        </w:numPr>
        <w:spacing w:after="80" w:line="276"/>
      </w:pPr>
      <w:r>
        <w:rPr>
          <w:rFonts w:ascii="Arial" w:cs="Arial" w:eastAsia="Arial" w:hAnsi="Arial"/>
          <w:color w:val="333333"/>
          <w:sz w:val="20"/>
          <w:szCs w:val="20"/>
        </w:rPr>
        <w:t xml:space="preserve">URSB issues a Certificate of Compliance (not Incorporation).</w:t>
      </w:r>
    </w:p>
    <w:p>
      <w:pPr>
        <w:pStyle w:val="ListParagraph"/>
        <w:numPr>
          <w:ilvl w:val="0"/>
          <w:numId w:val="2"/>
        </w:numPr>
        <w:spacing w:after="80" w:line="276"/>
      </w:pPr>
      <w:r>
        <w:rPr>
          <w:rFonts w:ascii="Arial" w:cs="Arial" w:eastAsia="Arial" w:hAnsi="Arial"/>
          <w:color w:val="333333"/>
          <w:sz w:val="20"/>
          <w:szCs w:val="20"/>
        </w:rPr>
        <w:t xml:space="preserve">A foreign company can only register ONE branch in Uganda.</w:t>
      </w:r>
    </w:p>
    <w:p>
      <w:pPr>
        <w:spacing w:after="0"/>
      </w:pPr>
    </w:p>
    <w:p>
      <w:pPr>
        <w:spacing w:after="120" w:before="200"/>
      </w:pPr>
      <w:r>
        <w:rPr>
          <w:rFonts w:ascii="Arial" w:cs="Arial" w:eastAsia="Arial" w:hAnsi="Arial"/>
          <w:b/>
          <w:bCs/>
          <w:color w:val="4A4A47"/>
          <w:sz w:val="22"/>
          <w:szCs w:val="22"/>
        </w:rPr>
        <w:t xml:space="preserve">Why Subsidiary is Preferred</w:t>
      </w:r>
    </w:p>
    <w:p>
      <w:pPr>
        <w:pStyle w:val="ListParagraph"/>
        <w:numPr>
          <w:ilvl w:val="0"/>
          <w:numId w:val="2"/>
        </w:numPr>
        <w:spacing w:after="80" w:line="276"/>
      </w:pPr>
      <w:r>
        <w:rPr>
          <w:rFonts w:ascii="Arial" w:cs="Arial" w:eastAsia="Arial" w:hAnsi="Arial"/>
          <w:color w:val="333333"/>
          <w:sz w:val="20"/>
          <w:szCs w:val="20"/>
        </w:rPr>
        <w:t xml:space="preserve">Liability: a subsidiary is a separate legal entity — Manti Labs LLC is NOT liable for the subsidiary's debts and obligations. A branch creates direct liability for the parent.</w:t>
      </w:r>
    </w:p>
    <w:p>
      <w:pPr>
        <w:pStyle w:val="ListParagraph"/>
        <w:numPr>
          <w:ilvl w:val="0"/>
          <w:numId w:val="2"/>
        </w:numPr>
        <w:spacing w:after="80" w:line="276"/>
      </w:pPr>
      <w:r>
        <w:rPr>
          <w:rFonts w:ascii="Arial" w:cs="Arial" w:eastAsia="Arial" w:hAnsi="Arial"/>
          <w:color w:val="333333"/>
          <w:sz w:val="20"/>
          <w:szCs w:val="20"/>
        </w:rPr>
        <w:t xml:space="preserve">Tax: a subsidiary pays corporate tax at 30% on Uganda-sourced income. A branch is taxed at 30% PLUS 15% withholding tax on repatriated profits — effectively 40.5%.</w:t>
      </w:r>
    </w:p>
    <w:p>
      <w:pPr>
        <w:pStyle w:val="ListParagraph"/>
        <w:numPr>
          <w:ilvl w:val="0"/>
          <w:numId w:val="2"/>
        </w:numPr>
        <w:spacing w:after="80" w:line="276"/>
      </w:pPr>
      <w:r>
        <w:rPr>
          <w:rFonts w:ascii="Arial" w:cs="Arial" w:eastAsia="Arial" w:hAnsi="Arial"/>
          <w:color w:val="333333"/>
          <w:sz w:val="20"/>
          <w:szCs w:val="20"/>
        </w:rPr>
        <w:t xml:space="preserve">Fundraising: investors prefer investing in a clean local entity, not a branch of a US LLC.</w:t>
      </w:r>
    </w:p>
    <w:p>
      <w:pPr>
        <w:pStyle w:val="ListParagraph"/>
        <w:numPr>
          <w:ilvl w:val="0"/>
          <w:numId w:val="2"/>
        </w:numPr>
        <w:spacing w:after="80" w:line="276"/>
      </w:pPr>
      <w:r>
        <w:rPr>
          <w:rFonts w:ascii="Arial" w:cs="Arial" w:eastAsia="Arial" w:hAnsi="Arial"/>
          <w:color w:val="333333"/>
          <w:sz w:val="20"/>
          <w:szCs w:val="20"/>
        </w:rPr>
        <w:t xml:space="preserve">IP protection: an inter-company IP license between Manti Labs LLC and EyeOnSite Uganda Ltd creates a clear separation of assets.</w:t>
      </w:r>
    </w:p>
    <w:p>
      <w:pPr>
        <w:spacing w:after="0"/>
      </w:pPr>
    </w:p>
    <w:p>
      <w:pPr>
        <w:pBdr>
          <w:left w:val="single" w:color="0B6E4F" w:sz="12" w:space="8"/>
        </w:pBdr>
        <w:shd w:fill="F0FDF4" w:val="clear"/>
        <w:spacing w:after="200" w:before="120"/>
      </w:pPr>
      <w:r>
        <w:rPr>
          <w:rFonts w:ascii="Arial" w:cs="Arial" w:eastAsia="Arial" w:hAnsi="Arial"/>
          <w:color w:val="333333"/>
          <w:sz w:val="20"/>
          <w:szCs w:val="20"/>
        </w:rPr>
        <w:t xml:space="preserve">RECOMMENDATION: Incorporate EyeOnSite Uganda Ltd as a private company limited by shares, wholly owned by Manti Labs LLC. Total cost: approximately $220-380. Timeline: 2-4 weeks.</w:t>
      </w:r>
    </w:p>
    <w:p>
      <w:pPr>
        <w:pStyle w:val="Heading1"/>
        <w:spacing w:after="200" w:before="400"/>
      </w:pPr>
      <w:r>
        <w:rPr>
          <w:rFonts w:ascii="Arial" w:cs="Arial" w:eastAsia="Arial" w:hAnsi="Arial"/>
          <w:b/>
          <w:bCs/>
          <w:color w:val="022B1E"/>
          <w:sz w:val="28"/>
          <w:szCs w:val="28"/>
        </w:rPr>
        <w:t xml:space="preserve">3. Data Protection — Uganda DPPA 2019</w:t>
      </w:r>
    </w:p>
    <w:p>
      <w:pPr>
        <w:spacing w:after="140" w:line="276"/>
      </w:pPr>
      <w:r>
        <w:rPr>
          <w:rFonts w:ascii="Arial" w:cs="Arial" w:eastAsia="Arial" w:hAnsi="Arial"/>
          <w:b/>
          <w:bCs/>
          <w:color w:val="333333"/>
          <w:sz w:val="20"/>
          <w:szCs w:val="20"/>
        </w:rPr>
        <w:t xml:space="preserve">Law: </w:t>
      </w:r>
      <w:r>
        <w:rPr>
          <w:rFonts w:ascii="Arial" w:cs="Arial" w:eastAsia="Arial" w:hAnsi="Arial"/>
          <w:color w:val="333333"/>
          <w:sz w:val="20"/>
          <w:szCs w:val="20"/>
        </w:rPr>
        <w:t xml:space="preserve">Data Protection and Privacy Act, 2019 (DPPA)</w:t>
      </w:r>
    </w:p>
    <w:p>
      <w:pPr>
        <w:spacing w:after="140" w:line="276"/>
      </w:pPr>
      <w:r>
        <w:rPr>
          <w:rFonts w:ascii="Arial" w:cs="Arial" w:eastAsia="Arial" w:hAnsi="Arial"/>
          <w:b/>
          <w:bCs/>
          <w:color w:val="333333"/>
          <w:sz w:val="20"/>
          <w:szCs w:val="20"/>
        </w:rPr>
        <w:t xml:space="preserve">Regulations: </w:t>
      </w:r>
      <w:r>
        <w:rPr>
          <w:rFonts w:ascii="Arial" w:cs="Arial" w:eastAsia="Arial" w:hAnsi="Arial"/>
          <w:color w:val="333333"/>
          <w:sz w:val="20"/>
          <w:szCs w:val="20"/>
        </w:rPr>
        <w:t xml:space="preserve">Data Protection and Privacy Regulations, 2021</w:t>
      </w:r>
    </w:p>
    <w:p>
      <w:pPr>
        <w:spacing w:after="140" w:line="276"/>
      </w:pPr>
      <w:r>
        <w:rPr>
          <w:rFonts w:ascii="Arial" w:cs="Arial" w:eastAsia="Arial" w:hAnsi="Arial"/>
          <w:b/>
          <w:bCs/>
          <w:color w:val="333333"/>
          <w:sz w:val="20"/>
          <w:szCs w:val="20"/>
        </w:rPr>
        <w:t xml:space="preserve">Authority: </w:t>
      </w:r>
      <w:r>
        <w:rPr>
          <w:rFonts w:ascii="Arial" w:cs="Arial" w:eastAsia="Arial" w:hAnsi="Arial"/>
          <w:color w:val="333333"/>
          <w:sz w:val="20"/>
          <w:szCs w:val="20"/>
        </w:rPr>
        <w:t xml:space="preserve">Personal Data Protection Office (PDPO) under NITA-Uganda</w:t>
      </w:r>
    </w:p>
    <w:p>
      <w:pPr>
        <w:spacing w:after="140" w:line="276"/>
      </w:pPr>
      <w:r>
        <w:rPr>
          <w:rFonts w:ascii="Arial" w:cs="Arial" w:eastAsia="Arial" w:hAnsi="Arial"/>
          <w:b/>
          <w:bCs/>
          <w:color w:val="333333"/>
          <w:sz w:val="20"/>
          <w:szCs w:val="20"/>
        </w:rPr>
        <w:t xml:space="preserve">Registration portal: </w:t>
      </w:r>
      <w:r>
        <w:rPr>
          <w:rFonts w:ascii="Arial" w:cs="Arial" w:eastAsia="Arial" w:hAnsi="Arial"/>
          <w:color w:val="333333"/>
          <w:sz w:val="20"/>
          <w:szCs w:val="20"/>
        </w:rPr>
        <w:t xml:space="preserve">https://pdpo.go.ug/register</w:t>
      </w:r>
    </w:p>
    <w:p>
      <w:pPr>
        <w:spacing w:after="140" w:line="276"/>
      </w:pPr>
      <w:r>
        <w:rPr>
          <w:rFonts w:ascii="Arial" w:cs="Arial" w:eastAsia="Arial" w:hAnsi="Arial"/>
          <w:b/>
          <w:bCs/>
          <w:color w:val="333333"/>
          <w:sz w:val="20"/>
          <w:szCs w:val="20"/>
        </w:rPr>
        <w:t xml:space="preserve">Status: </w:t>
      </w:r>
      <w:r>
        <w:rPr>
          <w:rFonts w:ascii="Arial" w:cs="Arial" w:eastAsia="Arial" w:hAnsi="Arial"/>
          <w:color w:val="333333"/>
          <w:sz w:val="20"/>
          <w:szCs w:val="20"/>
        </w:rPr>
        <w:t xml:space="preserve">MANDATORY BEFORE OPERATING IN UGANDA</w:t>
      </w:r>
    </w:p>
    <w:p>
      <w:pPr>
        <w:spacing w:after="0"/>
      </w:pPr>
    </w:p>
    <w:p>
      <w:pPr>
        <w:pStyle w:val="Heading2"/>
        <w:spacing w:after="160" w:before="300"/>
      </w:pPr>
      <w:r>
        <w:rPr>
          <w:rFonts w:ascii="Arial" w:cs="Arial" w:eastAsia="Arial" w:hAnsi="Arial"/>
          <w:b/>
          <w:bCs/>
          <w:color w:val="0B6E4F"/>
          <w:sz w:val="24"/>
          <w:szCs w:val="24"/>
        </w:rPr>
        <w:t xml:space="preserve">3.1 Key Requirements</w:t>
      </w:r>
    </w:p>
    <w:p>
      <w:pPr>
        <w:pStyle w:val="ListParagraph"/>
        <w:numPr>
          <w:ilvl w:val="0"/>
          <w:numId w:val="2"/>
        </w:numPr>
        <w:spacing w:after="80" w:line="276"/>
      </w:pPr>
      <w:r>
        <w:rPr>
          <w:rFonts w:ascii="Arial" w:cs="Arial" w:eastAsia="Arial" w:hAnsi="Arial"/>
          <w:color w:val="333333"/>
          <w:sz w:val="20"/>
          <w:szCs w:val="20"/>
        </w:rPr>
        <w:t xml:space="preserve">Register with the Personal Data Protection Office (PDPO) as a data controller/processor. Registration fee: UGX 100,000 (~$27) payable via URA portal. Registration is valid for 12 months and must be renewed at least 3 months before expiry.</w:t>
      </w:r>
    </w:p>
    <w:p>
      <w:pPr>
        <w:pStyle w:val="ListParagraph"/>
        <w:numPr>
          <w:ilvl w:val="0"/>
          <w:numId w:val="2"/>
        </w:numPr>
        <w:spacing w:after="80" w:line="276"/>
      </w:pPr>
      <w:r>
        <w:rPr>
          <w:rFonts w:ascii="Arial" w:cs="Arial" w:eastAsia="Arial" w:hAnsi="Arial"/>
          <w:color w:val="333333"/>
          <w:sz w:val="20"/>
          <w:szCs w:val="20"/>
        </w:rPr>
        <w:t xml:space="preserve">Appoint a Data Protection Officer (DPO). Every entity that processes or controls personal data must designate a DPO as the central point of contact for all data protection compliance issues.</w:t>
      </w:r>
    </w:p>
    <w:p>
      <w:pPr>
        <w:pStyle w:val="ListParagraph"/>
        <w:numPr>
          <w:ilvl w:val="0"/>
          <w:numId w:val="2"/>
        </w:numPr>
        <w:spacing w:after="80" w:line="276"/>
      </w:pPr>
      <w:r>
        <w:rPr>
          <w:rFonts w:ascii="Arial" w:cs="Arial" w:eastAsia="Arial" w:hAnsi="Arial"/>
          <w:color w:val="333333"/>
          <w:sz w:val="20"/>
          <w:szCs w:val="20"/>
        </w:rPr>
        <w:t xml:space="preserve">Obtain prior consent of the data subject before collecting or processing personal data, unless processing is authorized or required by law.</w:t>
      </w:r>
    </w:p>
    <w:p>
      <w:pPr>
        <w:pStyle w:val="ListParagraph"/>
        <w:numPr>
          <w:ilvl w:val="0"/>
          <w:numId w:val="2"/>
        </w:numPr>
        <w:spacing w:after="80" w:line="276"/>
      </w:pPr>
      <w:r>
        <w:rPr>
          <w:rFonts w:ascii="Arial" w:cs="Arial" w:eastAsia="Arial" w:hAnsi="Arial"/>
          <w:color w:val="333333"/>
          <w:sz w:val="20"/>
          <w:szCs w:val="20"/>
        </w:rPr>
        <w:t xml:space="preserve">Process personal data lawfully, fairly, and in a transparent manner.</w:t>
      </w:r>
    </w:p>
    <w:p>
      <w:pPr>
        <w:pStyle w:val="ListParagraph"/>
        <w:numPr>
          <w:ilvl w:val="0"/>
          <w:numId w:val="2"/>
        </w:numPr>
        <w:spacing w:after="80" w:line="276"/>
      </w:pPr>
      <w:r>
        <w:rPr>
          <w:rFonts w:ascii="Arial" w:cs="Arial" w:eastAsia="Arial" w:hAnsi="Arial"/>
          <w:color w:val="333333"/>
          <w:sz w:val="20"/>
          <w:szCs w:val="20"/>
        </w:rPr>
        <w:t xml:space="preserve">Collect data for specified, explicit, and legitimate purposes only — do not process data in a manner incompatible with those purposes.</w:t>
      </w:r>
    </w:p>
    <w:p>
      <w:pPr>
        <w:pStyle w:val="ListParagraph"/>
        <w:numPr>
          <w:ilvl w:val="0"/>
          <w:numId w:val="2"/>
        </w:numPr>
        <w:spacing w:after="80" w:line="276"/>
      </w:pPr>
      <w:r>
        <w:rPr>
          <w:rFonts w:ascii="Arial" w:cs="Arial" w:eastAsia="Arial" w:hAnsi="Arial"/>
          <w:color w:val="333333"/>
          <w:sz w:val="20"/>
          <w:szCs w:val="20"/>
        </w:rPr>
        <w:t xml:space="preserve">Ensure data accuracy and keep data up to date.</w:t>
      </w:r>
    </w:p>
    <w:p>
      <w:pPr>
        <w:pStyle w:val="ListParagraph"/>
        <w:numPr>
          <w:ilvl w:val="0"/>
          <w:numId w:val="2"/>
        </w:numPr>
        <w:spacing w:after="80" w:line="276"/>
      </w:pPr>
      <w:r>
        <w:rPr>
          <w:rFonts w:ascii="Arial" w:cs="Arial" w:eastAsia="Arial" w:hAnsi="Arial"/>
          <w:color w:val="333333"/>
          <w:sz w:val="20"/>
          <w:szCs w:val="20"/>
        </w:rPr>
        <w:t xml:space="preserve">Do not retain personal data for longer than necessary for the purpose for which it was collected.</w:t>
      </w:r>
    </w:p>
    <w:p>
      <w:pPr>
        <w:pStyle w:val="ListParagraph"/>
        <w:numPr>
          <w:ilvl w:val="0"/>
          <w:numId w:val="2"/>
        </w:numPr>
        <w:spacing w:after="80" w:line="276"/>
      </w:pPr>
      <w:r>
        <w:rPr>
          <w:rFonts w:ascii="Arial" w:cs="Arial" w:eastAsia="Arial" w:hAnsi="Arial"/>
          <w:color w:val="333333"/>
          <w:sz w:val="20"/>
          <w:szCs w:val="20"/>
        </w:rPr>
        <w:t xml:space="preserve">Implement appropriate technical and organizational measures to protect personal data against unauthorized access, loss, or destruction.</w:t>
      </w:r>
    </w:p>
    <w:p>
      <w:pPr>
        <w:spacing w:after="0"/>
      </w:pPr>
    </w:p>
    <w:p>
      <w:pPr>
        <w:pStyle w:val="Heading2"/>
        <w:spacing w:after="160" w:before="300"/>
      </w:pPr>
      <w:r>
        <w:rPr>
          <w:rFonts w:ascii="Arial" w:cs="Arial" w:eastAsia="Arial" w:hAnsi="Arial"/>
          <w:b/>
          <w:bCs/>
          <w:color w:val="0B6E4F"/>
          <w:sz w:val="24"/>
          <w:szCs w:val="24"/>
        </w:rPr>
        <w:t xml:space="preserve">3.2 Data Subject Rights Under DPPA</w:t>
      </w:r>
    </w:p>
    <w:p>
      <w:pPr>
        <w:pStyle w:val="ListParagraph"/>
        <w:numPr>
          <w:ilvl w:val="0"/>
          <w:numId w:val="2"/>
        </w:numPr>
        <w:spacing w:after="80" w:line="276"/>
      </w:pPr>
      <w:r>
        <w:rPr>
          <w:rFonts w:ascii="Arial" w:cs="Arial" w:eastAsia="Arial" w:hAnsi="Arial"/>
          <w:color w:val="333333"/>
          <w:sz w:val="20"/>
          <w:szCs w:val="20"/>
        </w:rPr>
        <w:t xml:space="preserve">Right to be informed about the collection and processing of their personal data</w:t>
      </w:r>
    </w:p>
    <w:p>
      <w:pPr>
        <w:pStyle w:val="ListParagraph"/>
        <w:numPr>
          <w:ilvl w:val="0"/>
          <w:numId w:val="2"/>
        </w:numPr>
        <w:spacing w:after="80" w:line="276"/>
      </w:pPr>
      <w:r>
        <w:rPr>
          <w:rFonts w:ascii="Arial" w:cs="Arial" w:eastAsia="Arial" w:hAnsi="Arial"/>
          <w:color w:val="333333"/>
          <w:sz w:val="20"/>
          <w:szCs w:val="20"/>
        </w:rPr>
        <w:t xml:space="preserve">Right to access their personal data held by the data controller</w:t>
      </w:r>
    </w:p>
    <w:p>
      <w:pPr>
        <w:pStyle w:val="ListParagraph"/>
        <w:numPr>
          <w:ilvl w:val="0"/>
          <w:numId w:val="2"/>
        </w:numPr>
        <w:spacing w:after="80" w:line="276"/>
      </w:pPr>
      <w:r>
        <w:rPr>
          <w:rFonts w:ascii="Arial" w:cs="Arial" w:eastAsia="Arial" w:hAnsi="Arial"/>
          <w:color w:val="333333"/>
          <w:sz w:val="20"/>
          <w:szCs w:val="20"/>
        </w:rPr>
        <w:t xml:space="preserve">Right to correction of inaccurate or misleading personal data</w:t>
      </w:r>
    </w:p>
    <w:p>
      <w:pPr>
        <w:pStyle w:val="ListParagraph"/>
        <w:numPr>
          <w:ilvl w:val="0"/>
          <w:numId w:val="2"/>
        </w:numPr>
        <w:spacing w:after="80" w:line="276"/>
      </w:pPr>
      <w:r>
        <w:rPr>
          <w:rFonts w:ascii="Arial" w:cs="Arial" w:eastAsia="Arial" w:hAnsi="Arial"/>
          <w:color w:val="333333"/>
          <w:sz w:val="20"/>
          <w:szCs w:val="20"/>
        </w:rPr>
        <w:t xml:space="preserve">Right to deletion of personal data when it is no longer necessary</w:t>
      </w:r>
    </w:p>
    <w:p>
      <w:pPr>
        <w:pStyle w:val="ListParagraph"/>
        <w:numPr>
          <w:ilvl w:val="0"/>
          <w:numId w:val="2"/>
        </w:numPr>
        <w:spacing w:after="80" w:line="276"/>
      </w:pPr>
      <w:r>
        <w:rPr>
          <w:rFonts w:ascii="Arial" w:cs="Arial" w:eastAsia="Arial" w:hAnsi="Arial"/>
          <w:color w:val="333333"/>
          <w:sz w:val="20"/>
          <w:szCs w:val="20"/>
        </w:rPr>
        <w:t xml:space="preserve">Right to object to processing that causes unwarranted damage or distress</w:t>
      </w:r>
    </w:p>
    <w:p>
      <w:pPr>
        <w:pStyle w:val="ListParagraph"/>
        <w:numPr>
          <w:ilvl w:val="0"/>
          <w:numId w:val="2"/>
        </w:numPr>
        <w:spacing w:after="80" w:line="276"/>
      </w:pPr>
      <w:r>
        <w:rPr>
          <w:rFonts w:ascii="Arial" w:cs="Arial" w:eastAsia="Arial" w:hAnsi="Arial"/>
          <w:color w:val="333333"/>
          <w:sz w:val="20"/>
          <w:szCs w:val="20"/>
        </w:rPr>
        <w:t xml:space="preserve">Right not to be subject to a decision based solely on automated processing</w:t>
      </w:r>
    </w:p>
    <w:p>
      <w:pPr>
        <w:spacing w:after="0"/>
      </w:pPr>
    </w:p>
    <w:p>
      <w:pPr>
        <w:pStyle w:val="Heading2"/>
        <w:spacing w:after="160" w:before="300"/>
      </w:pPr>
      <w:r>
        <w:rPr>
          <w:rFonts w:ascii="Arial" w:cs="Arial" w:eastAsia="Arial" w:hAnsi="Arial"/>
          <w:b/>
          <w:bCs/>
          <w:color w:val="0B6E4F"/>
          <w:sz w:val="24"/>
          <w:szCs w:val="24"/>
        </w:rPr>
        <w:t xml:space="preserve">3.3 Cross-Border Data Transfers</w:t>
      </w:r>
    </w:p>
    <w:p>
      <w:pPr>
        <w:spacing w:after="140" w:line="276"/>
      </w:pPr>
      <w:r>
        <w:rPr>
          <w:rFonts w:ascii="Arial" w:cs="Arial" w:eastAsia="Arial" w:hAnsi="Arial"/>
          <w:color w:val="333333"/>
          <w:sz w:val="20"/>
          <w:szCs w:val="20"/>
        </w:rPr>
        <w:t xml:space="preserve">The DPPA restricts transfers of personal data outside Uganda. Section 19 provides that personal data shall not be transferred outside Uganda unless the recipient country has adequate data protection measures, or with the consent of the data subject, or where the transfer is necessary for the performance of a contract.</w:t>
      </w:r>
    </w:p>
    <w:p>
      <w:pPr>
        <w:spacing w:after="0"/>
      </w:pPr>
    </w:p>
    <w:p>
      <w:pPr>
        <w:pStyle w:val="ListParagraph"/>
        <w:numPr>
          <w:ilvl w:val="0"/>
          <w:numId w:val="2"/>
        </w:numPr>
        <w:spacing w:after="80" w:line="276"/>
      </w:pPr>
      <w:r>
        <w:rPr>
          <w:rFonts w:ascii="Arial" w:cs="Arial" w:eastAsia="Arial" w:hAnsi="Arial"/>
          <w:color w:val="333333"/>
          <w:sz w:val="20"/>
          <w:szCs w:val="20"/>
        </w:rPr>
        <w:t xml:space="preserve">EyeOnSite transfers data to: Firebase/Google Cloud (US servers), Stripe (US), Flutterwave (Nigeria), and Manti Labs LLC (Delaware).</w:t>
      </w:r>
    </w:p>
    <w:p>
      <w:pPr>
        <w:pStyle w:val="ListParagraph"/>
        <w:numPr>
          <w:ilvl w:val="0"/>
          <w:numId w:val="2"/>
        </w:numPr>
        <w:spacing w:after="80" w:line="276"/>
      </w:pPr>
      <w:r>
        <w:rPr>
          <w:rFonts w:ascii="Arial" w:cs="Arial" w:eastAsia="Arial" w:hAnsi="Arial"/>
          <w:color w:val="333333"/>
          <w:sz w:val="20"/>
          <w:szCs w:val="20"/>
        </w:rPr>
        <w:t xml:space="preserve">Justification: contractual necessity (providing the service requires cloud infrastructure), consent (obtained at registration), and Standard Contractual Clauses where applicable.</w:t>
      </w:r>
    </w:p>
    <w:p>
      <w:pPr>
        <w:pStyle w:val="ListParagraph"/>
        <w:numPr>
          <w:ilvl w:val="0"/>
          <w:numId w:val="2"/>
        </w:numPr>
        <w:spacing w:after="80" w:line="276"/>
      </w:pPr>
      <w:r>
        <w:rPr>
          <w:rFonts w:ascii="Arial" w:cs="Arial" w:eastAsia="Arial" w:hAnsi="Arial"/>
          <w:color w:val="333333"/>
          <w:sz w:val="20"/>
          <w:szCs w:val="20"/>
        </w:rPr>
        <w:t xml:space="preserve">PDPO may issue specific guidance on cross-border transfers — monitor for updates.</w:t>
      </w:r>
    </w:p>
    <w:p>
      <w:pPr>
        <w:spacing w:after="0"/>
      </w:pPr>
    </w:p>
    <w:p>
      <w:pPr>
        <w:pStyle w:val="Heading2"/>
        <w:spacing w:after="160" w:before="300"/>
      </w:pPr>
      <w:r>
        <w:rPr>
          <w:rFonts w:ascii="Arial" w:cs="Arial" w:eastAsia="Arial" w:hAnsi="Arial"/>
          <w:b/>
          <w:bCs/>
          <w:color w:val="0B6E4F"/>
          <w:sz w:val="24"/>
          <w:szCs w:val="24"/>
        </w:rPr>
        <w:t xml:space="preserve">3.4 Penalties for Non-Compliance</w:t>
      </w:r>
    </w:p>
    <w:p>
      <w:pPr>
        <w:pStyle w:val="ListParagraph"/>
        <w:numPr>
          <w:ilvl w:val="0"/>
          <w:numId w:val="2"/>
        </w:numPr>
        <w:spacing w:after="80" w:line="276"/>
      </w:pPr>
      <w:r>
        <w:rPr>
          <w:rFonts w:ascii="Arial" w:cs="Arial" w:eastAsia="Arial" w:hAnsi="Arial"/>
          <w:color w:val="333333"/>
          <w:sz w:val="20"/>
          <w:szCs w:val="20"/>
        </w:rPr>
        <w:t xml:space="preserve">Failure to register: criminal offense — fine or imprisonment not exceeding 3 months, or both.</w:t>
      </w:r>
    </w:p>
    <w:p>
      <w:pPr>
        <w:pStyle w:val="ListParagraph"/>
        <w:numPr>
          <w:ilvl w:val="0"/>
          <w:numId w:val="2"/>
        </w:numPr>
        <w:spacing w:after="80" w:line="276"/>
      </w:pPr>
      <w:r>
        <w:rPr>
          <w:rFonts w:ascii="Arial" w:cs="Arial" w:eastAsia="Arial" w:hAnsi="Arial"/>
          <w:color w:val="333333"/>
          <w:sz w:val="20"/>
          <w:szCs w:val="20"/>
        </w:rPr>
        <w:t xml:space="preserve">Unlawful collection/processing: fine not exceeding UGX 4.8 million (~$1,300) or imprisonment not exceeding 10 years, or both.</w:t>
      </w:r>
    </w:p>
    <w:p>
      <w:pPr>
        <w:pStyle w:val="ListParagraph"/>
        <w:numPr>
          <w:ilvl w:val="0"/>
          <w:numId w:val="2"/>
        </w:numPr>
        <w:spacing w:after="80" w:line="276"/>
      </w:pPr>
      <w:r>
        <w:rPr>
          <w:rFonts w:ascii="Arial" w:cs="Arial" w:eastAsia="Arial" w:hAnsi="Arial"/>
          <w:color w:val="333333"/>
          <w:sz w:val="20"/>
          <w:szCs w:val="20"/>
        </w:rPr>
        <w:t xml:space="preserve">Unlawful disclosure: fine not exceeding UGX 4.8 million or imprisonment not exceeding 10 years, or both.</w:t>
      </w:r>
    </w:p>
    <w:p>
      <w:pPr>
        <w:pStyle w:val="ListParagraph"/>
        <w:numPr>
          <w:ilvl w:val="0"/>
          <w:numId w:val="2"/>
        </w:numPr>
        <w:spacing w:after="80" w:line="276"/>
      </w:pPr>
      <w:r>
        <w:rPr>
          <w:rFonts w:ascii="Arial" w:cs="Arial" w:eastAsia="Arial" w:hAnsi="Arial"/>
          <w:color w:val="333333"/>
          <w:sz w:val="20"/>
          <w:szCs w:val="20"/>
        </w:rPr>
        <w:t xml:space="preserve">Administrative: PDPO can issue compliance orders, prohibit processing, and publish non-compliance findings.</w:t>
      </w:r>
    </w:p>
    <w:p>
      <w:pPr>
        <w:spacing w:after="0"/>
      </w:pPr>
    </w:p>
    <w:p>
      <w:pPr>
        <w:pBdr>
          <w:left w:val="single" w:color="E8593C" w:sz="12" w:space="8"/>
        </w:pBdr>
        <w:shd w:fill="FEF2F2" w:val="clear"/>
        <w:spacing w:after="200" w:before="120"/>
      </w:pPr>
      <w:r>
        <w:rPr>
          <w:rFonts w:ascii="Arial" w:cs="Arial" w:eastAsia="Arial" w:hAnsi="Arial"/>
          <w:color w:val="333333"/>
          <w:sz w:val="20"/>
          <w:szCs w:val="20"/>
        </w:rPr>
        <w:t xml:space="preserve">ACTION REQUIRED: Register with PDPO via pdpo.go.ug before operating in Uganda. Cost: UGX 100,000 (~$27). Appoint Maku Mazakpe as DPO for the Uganda entity. Ensure Privacy Policy covers DPPA requirements — the existing multi-jurisdiction Privacy Policy already addresses this but should be reviewed by a Ugandan lawyer.</w:t>
      </w:r>
    </w:p>
    <w:p>
      <w:pPr>
        <w:pStyle w:val="Heading1"/>
        <w:spacing w:after="200" w:before="400"/>
      </w:pPr>
      <w:r>
        <w:rPr>
          <w:rFonts w:ascii="Arial" w:cs="Arial" w:eastAsia="Arial" w:hAnsi="Arial"/>
          <w:b/>
          <w:bCs/>
          <w:color w:val="022B1E"/>
          <w:sz w:val="28"/>
          <w:szCs w:val="28"/>
        </w:rPr>
        <w:t xml:space="preserve">4. Payment and Fintech Regulation</w:t>
      </w:r>
    </w:p>
    <w:p>
      <w:pPr>
        <w:spacing w:after="140" w:line="276"/>
      </w:pPr>
      <w:r>
        <w:rPr>
          <w:rFonts w:ascii="Arial" w:cs="Arial" w:eastAsia="Arial" w:hAnsi="Arial"/>
          <w:b/>
          <w:bCs/>
          <w:color w:val="333333"/>
          <w:sz w:val="20"/>
          <w:szCs w:val="20"/>
        </w:rPr>
        <w:t xml:space="preserve">Law: </w:t>
      </w:r>
      <w:r>
        <w:rPr>
          <w:rFonts w:ascii="Arial" w:cs="Arial" w:eastAsia="Arial" w:hAnsi="Arial"/>
          <w:color w:val="333333"/>
          <w:sz w:val="20"/>
          <w:szCs w:val="20"/>
        </w:rPr>
        <w:t xml:space="preserve">National Payment Systems Act, 2020 (NPSA)</w:t>
      </w:r>
    </w:p>
    <w:p>
      <w:pPr>
        <w:spacing w:after="140" w:line="276"/>
      </w:pPr>
      <w:r>
        <w:rPr>
          <w:rFonts w:ascii="Arial" w:cs="Arial" w:eastAsia="Arial" w:hAnsi="Arial"/>
          <w:b/>
          <w:bCs/>
          <w:color w:val="333333"/>
          <w:sz w:val="20"/>
          <w:szCs w:val="20"/>
        </w:rPr>
        <w:t xml:space="preserve">Authority: </w:t>
      </w:r>
      <w:r>
        <w:rPr>
          <w:rFonts w:ascii="Arial" w:cs="Arial" w:eastAsia="Arial" w:hAnsi="Arial"/>
          <w:color w:val="333333"/>
          <w:sz w:val="20"/>
          <w:szCs w:val="20"/>
        </w:rPr>
        <w:t xml:space="preserve">Bank of Uganda (BoU)</w:t>
      </w:r>
    </w:p>
    <w:p>
      <w:pPr>
        <w:spacing w:after="0"/>
      </w:pPr>
    </w:p>
    <w:p>
      <w:pPr>
        <w:pStyle w:val="Heading2"/>
        <w:spacing w:after="160" w:before="300"/>
      </w:pPr>
      <w:r>
        <w:rPr>
          <w:rFonts w:ascii="Arial" w:cs="Arial" w:eastAsia="Arial" w:hAnsi="Arial"/>
          <w:b/>
          <w:bCs/>
          <w:color w:val="0B6E4F"/>
          <w:sz w:val="24"/>
          <w:szCs w:val="24"/>
        </w:rPr>
        <w:t xml:space="preserve">4.1 Licensing Requirements</w:t>
      </w:r>
    </w:p>
    <w:p>
      <w:pPr>
        <w:spacing w:after="140" w:line="276"/>
      </w:pPr>
      <w:r>
        <w:rPr>
          <w:rFonts w:ascii="Arial" w:cs="Arial" w:eastAsia="Arial" w:hAnsi="Arial"/>
          <w:color w:val="333333"/>
          <w:sz w:val="20"/>
          <w:szCs w:val="20"/>
        </w:rPr>
        <w:t xml:space="preserve">The National Payment Systems Act 2020 requires all payment service providers to be licensed by the Bank of Uganda. Licensed fintechs in Uganda include MTN Mobile Money, Airtel Money, Mcash, Micropay, Interswitch, Agent Banking Company, and Wave Transfer Limited.</w:t>
      </w:r>
    </w:p>
    <w:p>
      <w:pPr>
        <w:spacing w:after="0"/>
      </w:pPr>
    </w:p>
    <w:p>
      <w:pPr>
        <w:spacing w:after="120" w:before="200"/>
      </w:pPr>
      <w:r>
        <w:rPr>
          <w:rFonts w:ascii="Arial" w:cs="Arial" w:eastAsia="Arial" w:hAnsi="Arial"/>
          <w:b/>
          <w:bCs/>
          <w:color w:val="4A4A47"/>
          <w:sz w:val="22"/>
          <w:szCs w:val="22"/>
        </w:rPr>
        <w:t xml:space="preserve">Does EyeOnSite Need a BoU License?</w:t>
      </w:r>
    </w:p>
    <w:p>
      <w:pPr>
        <w:pStyle w:val="ListParagraph"/>
        <w:numPr>
          <w:ilvl w:val="0"/>
          <w:numId w:val="2"/>
        </w:numPr>
        <w:spacing w:after="80" w:line="276"/>
      </w:pPr>
      <w:r>
        <w:rPr>
          <w:rFonts w:ascii="Arial" w:cs="Arial" w:eastAsia="Arial" w:hAnsi="Arial"/>
          <w:color w:val="333333"/>
          <w:sz w:val="20"/>
          <w:szCs w:val="20"/>
        </w:rPr>
        <w:t xml:space="preserve">EyeOnSite does NOT process payments directly. All payment collection and disbursement flows through licensed providers.</w:t>
      </w:r>
    </w:p>
    <w:p>
      <w:pPr>
        <w:pStyle w:val="ListParagraph"/>
        <w:numPr>
          <w:ilvl w:val="0"/>
          <w:numId w:val="2"/>
        </w:numPr>
        <w:spacing w:after="80" w:line="276"/>
      </w:pPr>
      <w:r>
        <w:rPr>
          <w:rFonts w:ascii="Arial" w:cs="Arial" w:eastAsia="Arial" w:hAnsi="Arial"/>
          <w:color w:val="333333"/>
          <w:sz w:val="20"/>
          <w:szCs w:val="20"/>
        </w:rPr>
        <w:t xml:space="preserve">Diaspora payments: collected via Stripe Connect (licensed in US/EU). Stripe is the regulated entity.</w:t>
      </w:r>
    </w:p>
    <w:p>
      <w:pPr>
        <w:pStyle w:val="ListParagraph"/>
        <w:numPr>
          <w:ilvl w:val="0"/>
          <w:numId w:val="2"/>
        </w:numPr>
        <w:spacing w:after="80" w:line="276"/>
      </w:pPr>
      <w:r>
        <w:rPr>
          <w:rFonts w:ascii="Arial" w:cs="Arial" w:eastAsia="Arial" w:hAnsi="Arial"/>
          <w:color w:val="333333"/>
          <w:sz w:val="20"/>
          <w:szCs w:val="20"/>
        </w:rPr>
        <w:t xml:space="preserve">Local Uganda payments: collected and disbursed via MTN Mobile Money or Airtel Money through Flutterwave (licensed PSP) or directly via mobile money APIs.</w:t>
      </w:r>
    </w:p>
    <w:p>
      <w:pPr>
        <w:pStyle w:val="ListParagraph"/>
        <w:numPr>
          <w:ilvl w:val="0"/>
          <w:numId w:val="2"/>
        </w:numPr>
        <w:spacing w:after="80" w:line="276"/>
      </w:pPr>
      <w:r>
        <w:rPr>
          <w:rFonts w:ascii="Arial" w:cs="Arial" w:eastAsia="Arial" w:hAnsi="Arial"/>
          <w:color w:val="333333"/>
          <w:sz w:val="20"/>
          <w:szCs w:val="20"/>
        </w:rPr>
        <w:t xml:space="preserve">Escrow: funds held by Stripe Connect (not by EyeOnSite). We send payout instructions to licensed providers.</w:t>
      </w:r>
    </w:p>
    <w:p>
      <w:pPr>
        <w:spacing w:after="0"/>
      </w:pPr>
    </w:p>
    <w:p>
      <w:pPr>
        <w:spacing w:after="120" w:before="200"/>
      </w:pPr>
      <w:r>
        <w:rPr>
          <w:rFonts w:ascii="Arial" w:cs="Arial" w:eastAsia="Arial" w:hAnsi="Arial"/>
          <w:b/>
          <w:bCs/>
          <w:color w:val="4A4A47"/>
          <w:sz w:val="22"/>
          <w:szCs w:val="22"/>
        </w:rPr>
        <w:t xml:space="preserve">Risk Analysis</w:t>
      </w:r>
    </w:p>
    <w:p>
      <w:pPr>
        <w:pStyle w:val="ListParagraph"/>
        <w:numPr>
          <w:ilvl w:val="0"/>
          <w:numId w:val="2"/>
        </w:numPr>
        <w:spacing w:after="80" w:line="276"/>
      </w:pPr>
      <w:r>
        <w:rPr>
          <w:rFonts w:ascii="Arial" w:cs="Arial" w:eastAsia="Arial" w:hAnsi="Arial"/>
          <w:color w:val="333333"/>
          <w:sz w:val="20"/>
          <w:szCs w:val="20"/>
        </w:rPr>
        <w:t xml:space="preserve">LOW RISK: The Bank of Uganda's regulatory framework primarily targets entities that directly process, hold, or transmit funds. EyeOnSite operates as a technology marketplace, identical to Uber and Bolt which operate in Uganda without BoU payment licenses.</w:t>
      </w:r>
    </w:p>
    <w:p>
      <w:pPr>
        <w:pStyle w:val="ListParagraph"/>
        <w:numPr>
          <w:ilvl w:val="0"/>
          <w:numId w:val="2"/>
        </w:numPr>
        <w:spacing w:after="80" w:line="276"/>
      </w:pPr>
      <w:r>
        <w:rPr>
          <w:rFonts w:ascii="Arial" w:cs="Arial" w:eastAsia="Arial" w:hAnsi="Arial"/>
          <w:color w:val="333333"/>
          <w:sz w:val="20"/>
          <w:szCs w:val="20"/>
        </w:rPr>
        <w:t xml:space="preserve">MONITOR: BoU is actively expanding fintech regulation. The Financial Technology Service Providers Association (FITSPA) is working with BoU on evolving guidelines. If BoU introduces marketplace payment facilitation licensing, we may need to comply.</w:t>
      </w:r>
    </w:p>
    <w:p>
      <w:pPr>
        <w:spacing w:after="0"/>
      </w:pPr>
    </w:p>
    <w:p>
      <w:pPr>
        <w:pBdr>
          <w:left w:val="single" w:color="0B6E4F" w:sz="12" w:space="8"/>
        </w:pBdr>
        <w:shd w:fill="F0FDF4" w:val="clear"/>
        <w:spacing w:after="200" w:before="120"/>
      </w:pPr>
      <w:r>
        <w:rPr>
          <w:rFonts w:ascii="Arial" w:cs="Arial" w:eastAsia="Arial" w:hAnsi="Arial"/>
          <w:color w:val="333333"/>
          <w:sz w:val="20"/>
          <w:szCs w:val="20"/>
        </w:rPr>
        <w:t xml:space="preserve">RECOMMENDATION: Do not seek a BoU payment license at this stage. Route all Uganda payment flows through licensed mobile money providers (MTN MoMo, Airtel Money) via Flutterwave or direct API integration. Never hold client funds in an EyeOnSite Uganda bank account.</w:t>
      </w:r>
    </w:p>
    <w:p>
      <w:pPr>
        <w:pStyle w:val="Heading2"/>
        <w:spacing w:after="160" w:before="300"/>
      </w:pPr>
      <w:r>
        <w:rPr>
          <w:rFonts w:ascii="Arial" w:cs="Arial" w:eastAsia="Arial" w:hAnsi="Arial"/>
          <w:b/>
          <w:bCs/>
          <w:color w:val="0B6E4F"/>
          <w:sz w:val="24"/>
          <w:szCs w:val="24"/>
        </w:rPr>
        <w:t xml:space="preserve">4.2 Mobile Money Integration</w:t>
      </w:r>
    </w:p>
    <w:p>
      <w:pPr>
        <w:spacing w:after="140" w:line="276"/>
      </w:pPr>
      <w:r>
        <w:rPr>
          <w:rFonts w:ascii="Arial" w:cs="Arial" w:eastAsia="Arial" w:hAnsi="Arial"/>
          <w:color w:val="333333"/>
          <w:sz w:val="20"/>
          <w:szCs w:val="20"/>
        </w:rPr>
        <w:t xml:space="preserve">Uganda is a mobile-money-dominant market. MTN Mobile Money has ~18 million users; Airtel Money has ~9 million. Cash and mobile money are the primary payment methods.</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shd w:fill="022B1E" w:val="clear"/>
          </w:tcPr>
          <w:p>
            <w:pPr>
              <w:spacing w:after="0"/>
            </w:pPr>
            <w:r>
              <w:rPr>
                <w:rFonts w:ascii="Arial" w:cs="Arial" w:eastAsia="Arial" w:hAnsi="Arial"/>
                <w:b/>
                <w:bCs/>
                <w:color w:val="FFFFFF"/>
                <w:sz w:val="18"/>
                <w:szCs w:val="18"/>
              </w:rPr>
              <w:t xml:space="preserve">Payment Rail</w:t>
            </w:r>
          </w:p>
        </w:tc>
        <w:tc>
          <w:tcPr>
            <w:tcW w:type="dxa" w:w="1600"/>
            <w:shd w:fill="022B1E" w:val="clear"/>
          </w:tcPr>
          <w:p>
            <w:pPr>
              <w:spacing w:after="0"/>
            </w:pPr>
            <w:r>
              <w:rPr>
                <w:rFonts w:ascii="Arial" w:cs="Arial" w:eastAsia="Arial" w:hAnsi="Arial"/>
                <w:b/>
                <w:bCs/>
                <w:color w:val="FFFFFF"/>
                <w:sz w:val="18"/>
                <w:szCs w:val="18"/>
              </w:rPr>
              <w:t xml:space="preserve">Provider</w:t>
            </w:r>
          </w:p>
        </w:tc>
        <w:tc>
          <w:tcPr>
            <w:tcW w:type="dxa" w:w="2800"/>
            <w:shd w:fill="022B1E" w:val="clear"/>
          </w:tcPr>
          <w:p>
            <w:pPr>
              <w:spacing w:after="0"/>
            </w:pPr>
            <w:r>
              <w:rPr>
                <w:rFonts w:ascii="Arial" w:cs="Arial" w:eastAsia="Arial" w:hAnsi="Arial"/>
                <w:b/>
                <w:bCs/>
                <w:color w:val="FFFFFF"/>
                <w:sz w:val="18"/>
                <w:szCs w:val="18"/>
              </w:rPr>
              <w:t xml:space="preserve">Use Case</w:t>
            </w:r>
          </w:p>
        </w:tc>
        <w:tc>
          <w:tcPr>
            <w:tcW w:type="dxa" w:w="3160"/>
            <w:shd w:fill="022B1E" w:val="clear"/>
          </w:tcPr>
          <w:p>
            <w:pPr>
              <w:spacing w:after="0"/>
            </w:pPr>
            <w:r>
              <w:rPr>
                <w:rFonts w:ascii="Arial" w:cs="Arial" w:eastAsia="Arial" w:hAnsi="Arial"/>
                <w:b/>
                <w:bCs/>
                <w:color w:val="FFFFFF"/>
                <w:sz w:val="18"/>
                <w:szCs w:val="18"/>
              </w:rPr>
              <w:t xml:space="preserve">Integration Path</w:t>
            </w:r>
          </w:p>
        </w:tc>
      </w:tr>
      <w:tr>
        <w:tc>
          <w:tcPr>
            <w:tcW w:type="dxa" w:w="1800"/>
            <w:shd w:fill="F5F4F0" w:val="clear"/>
          </w:tcPr>
          <w:p>
            <w:pPr>
              <w:spacing w:after="0"/>
            </w:pPr>
            <w:r>
              <w:rPr>
                <w:rFonts w:ascii="Arial" w:cs="Arial" w:eastAsia="Arial" w:hAnsi="Arial"/>
                <w:color w:val="333333"/>
                <w:sz w:val="18"/>
                <w:szCs w:val="18"/>
              </w:rPr>
              <w:t xml:space="preserve">MTN Mobile Money</w:t>
            </w:r>
          </w:p>
        </w:tc>
        <w:tc>
          <w:tcPr>
            <w:tcW w:type="dxa" w:w="1600"/>
            <w:shd w:fill="F5F4F0" w:val="clear"/>
          </w:tcPr>
          <w:p>
            <w:pPr>
              <w:spacing w:after="0"/>
            </w:pPr>
            <w:r>
              <w:rPr>
                <w:rFonts w:ascii="Arial" w:cs="Arial" w:eastAsia="Arial" w:hAnsi="Arial"/>
                <w:color w:val="333333"/>
                <w:sz w:val="18"/>
                <w:szCs w:val="18"/>
              </w:rPr>
              <w:t xml:space="preserve">MTN Uganda</w:t>
            </w:r>
          </w:p>
        </w:tc>
        <w:tc>
          <w:tcPr>
            <w:tcW w:type="dxa" w:w="2800"/>
            <w:shd w:fill="F5F4F0" w:val="clear"/>
          </w:tcPr>
          <w:p>
            <w:pPr>
              <w:spacing w:after="0"/>
            </w:pPr>
            <w:r>
              <w:rPr>
                <w:rFonts w:ascii="Arial" w:cs="Arial" w:eastAsia="Arial" w:hAnsi="Arial"/>
                <w:color w:val="333333"/>
                <w:sz w:val="18"/>
                <w:szCs w:val="18"/>
              </w:rPr>
              <w:t xml:space="preserve">Inspector payouts, local client payments</w:t>
            </w:r>
          </w:p>
        </w:tc>
        <w:tc>
          <w:tcPr>
            <w:tcW w:type="dxa" w:w="3160"/>
            <w:shd w:fill="F5F4F0" w:val="clear"/>
          </w:tcPr>
          <w:p>
            <w:pPr>
              <w:spacing w:after="0"/>
            </w:pPr>
            <w:r>
              <w:rPr>
                <w:rFonts w:ascii="Arial" w:cs="Arial" w:eastAsia="Arial" w:hAnsi="Arial"/>
                <w:color w:val="333333"/>
                <w:sz w:val="18"/>
                <w:szCs w:val="18"/>
              </w:rPr>
              <w:t xml:space="preserve">Flutterwave API or MTN MoMo API (developer.mtn.com)</w:t>
            </w:r>
          </w:p>
        </w:tc>
      </w:tr>
      <w:tr>
        <w:tc>
          <w:tcPr>
            <w:tcW w:type="dxa" w:w="1800"/>
            <w:shd w:fill="FFFFFF" w:val="clear"/>
          </w:tcPr>
          <w:p>
            <w:pPr>
              <w:spacing w:after="0"/>
            </w:pPr>
            <w:r>
              <w:rPr>
                <w:rFonts w:ascii="Arial" w:cs="Arial" w:eastAsia="Arial" w:hAnsi="Arial"/>
                <w:color w:val="333333"/>
                <w:sz w:val="18"/>
                <w:szCs w:val="18"/>
              </w:rPr>
              <w:t xml:space="preserve">Airtel Money</w:t>
            </w:r>
          </w:p>
        </w:tc>
        <w:tc>
          <w:tcPr>
            <w:tcW w:type="dxa" w:w="1600"/>
            <w:shd w:fill="FFFFFF" w:val="clear"/>
          </w:tcPr>
          <w:p>
            <w:pPr>
              <w:spacing w:after="0"/>
            </w:pPr>
            <w:r>
              <w:rPr>
                <w:rFonts w:ascii="Arial" w:cs="Arial" w:eastAsia="Arial" w:hAnsi="Arial"/>
                <w:color w:val="333333"/>
                <w:sz w:val="18"/>
                <w:szCs w:val="18"/>
              </w:rPr>
              <w:t xml:space="preserve">Airtel Uganda</w:t>
            </w:r>
          </w:p>
        </w:tc>
        <w:tc>
          <w:tcPr>
            <w:tcW w:type="dxa" w:w="2800"/>
            <w:shd w:fill="FFFFFF" w:val="clear"/>
          </w:tcPr>
          <w:p>
            <w:pPr>
              <w:spacing w:after="0"/>
            </w:pPr>
            <w:r>
              <w:rPr>
                <w:rFonts w:ascii="Arial" w:cs="Arial" w:eastAsia="Arial" w:hAnsi="Arial"/>
                <w:color w:val="333333"/>
                <w:sz w:val="18"/>
                <w:szCs w:val="18"/>
              </w:rPr>
              <w:t xml:space="preserve">Inspector payouts, local client payments</w:t>
            </w:r>
          </w:p>
        </w:tc>
        <w:tc>
          <w:tcPr>
            <w:tcW w:type="dxa" w:w="3160"/>
            <w:shd w:fill="FFFFFF" w:val="clear"/>
          </w:tcPr>
          <w:p>
            <w:pPr>
              <w:spacing w:after="0"/>
            </w:pPr>
            <w:r>
              <w:rPr>
                <w:rFonts w:ascii="Arial" w:cs="Arial" w:eastAsia="Arial" w:hAnsi="Arial"/>
                <w:color w:val="333333"/>
                <w:sz w:val="18"/>
                <w:szCs w:val="18"/>
              </w:rPr>
              <w:t xml:space="preserve">Flutterwave API or Airtel Money API</w:t>
            </w:r>
          </w:p>
        </w:tc>
      </w:tr>
      <w:tr>
        <w:tc>
          <w:tcPr>
            <w:tcW w:type="dxa" w:w="1800"/>
            <w:shd w:fill="F5F4F0" w:val="clear"/>
          </w:tcPr>
          <w:p>
            <w:pPr>
              <w:spacing w:after="0"/>
            </w:pPr>
            <w:r>
              <w:rPr>
                <w:rFonts w:ascii="Arial" w:cs="Arial" w:eastAsia="Arial" w:hAnsi="Arial"/>
                <w:color w:val="333333"/>
                <w:sz w:val="18"/>
                <w:szCs w:val="18"/>
              </w:rPr>
              <w:t xml:space="preserve">Visa/Mastercard</w:t>
            </w:r>
          </w:p>
        </w:tc>
        <w:tc>
          <w:tcPr>
            <w:tcW w:type="dxa" w:w="1600"/>
            <w:shd w:fill="F5F4F0" w:val="clear"/>
          </w:tcPr>
          <w:p>
            <w:pPr>
              <w:spacing w:after="0"/>
            </w:pPr>
            <w:r>
              <w:rPr>
                <w:rFonts w:ascii="Arial" w:cs="Arial" w:eastAsia="Arial" w:hAnsi="Arial"/>
                <w:color w:val="333333"/>
                <w:sz w:val="18"/>
                <w:szCs w:val="18"/>
              </w:rPr>
              <w:t xml:space="preserve">Stripe Connect</w:t>
            </w:r>
          </w:p>
        </w:tc>
        <w:tc>
          <w:tcPr>
            <w:tcW w:type="dxa" w:w="2800"/>
            <w:shd w:fill="F5F4F0" w:val="clear"/>
          </w:tcPr>
          <w:p>
            <w:pPr>
              <w:spacing w:after="0"/>
            </w:pPr>
            <w:r>
              <w:rPr>
                <w:rFonts w:ascii="Arial" w:cs="Arial" w:eastAsia="Arial" w:hAnsi="Arial"/>
                <w:color w:val="333333"/>
                <w:sz w:val="18"/>
                <w:szCs w:val="18"/>
              </w:rPr>
              <w:t xml:space="preserve">Diaspora client payments (UK/US)</w:t>
            </w:r>
          </w:p>
        </w:tc>
        <w:tc>
          <w:tcPr>
            <w:tcW w:type="dxa" w:w="3160"/>
            <w:shd w:fill="F5F4F0" w:val="clear"/>
          </w:tcPr>
          <w:p>
            <w:pPr>
              <w:spacing w:after="0"/>
            </w:pPr>
            <w:r>
              <w:rPr>
                <w:rFonts w:ascii="Arial" w:cs="Arial" w:eastAsia="Arial" w:hAnsi="Arial"/>
                <w:color w:val="333333"/>
                <w:sz w:val="18"/>
                <w:szCs w:val="18"/>
              </w:rPr>
              <w:t xml:space="preserve">Stripe Connect (existing)</w:t>
            </w:r>
          </w:p>
        </w:tc>
      </w:tr>
      <w:tr>
        <w:tc>
          <w:tcPr>
            <w:tcW w:type="dxa" w:w="1800"/>
            <w:shd w:fill="FFFFFF" w:val="clear"/>
          </w:tcPr>
          <w:p>
            <w:pPr>
              <w:spacing w:after="0"/>
            </w:pPr>
            <w:r>
              <w:rPr>
                <w:rFonts w:ascii="Arial" w:cs="Arial" w:eastAsia="Arial" w:hAnsi="Arial"/>
                <w:color w:val="333333"/>
                <w:sz w:val="18"/>
                <w:szCs w:val="18"/>
              </w:rPr>
              <w:t xml:space="preserve">Bank transfer</w:t>
            </w:r>
          </w:p>
        </w:tc>
        <w:tc>
          <w:tcPr>
            <w:tcW w:type="dxa" w:w="1600"/>
            <w:shd w:fill="FFFFFF" w:val="clear"/>
          </w:tcPr>
          <w:p>
            <w:pPr>
              <w:spacing w:after="0"/>
            </w:pPr>
            <w:r>
              <w:rPr>
                <w:rFonts w:ascii="Arial" w:cs="Arial" w:eastAsia="Arial" w:hAnsi="Arial"/>
                <w:color w:val="333333"/>
                <w:sz w:val="18"/>
                <w:szCs w:val="18"/>
              </w:rPr>
              <w:t xml:space="preserve">Stanbic/DFCU/Centenary</w:t>
            </w:r>
          </w:p>
        </w:tc>
        <w:tc>
          <w:tcPr>
            <w:tcW w:type="dxa" w:w="2800"/>
            <w:shd w:fill="FFFFFF" w:val="clear"/>
          </w:tcPr>
          <w:p>
            <w:pPr>
              <w:spacing w:after="0"/>
            </w:pPr>
            <w:r>
              <w:rPr>
                <w:rFonts w:ascii="Arial" w:cs="Arial" w:eastAsia="Arial" w:hAnsi="Arial"/>
                <w:color w:val="333333"/>
                <w:sz w:val="18"/>
                <w:szCs w:val="18"/>
              </w:rPr>
              <w:t xml:space="preserve">Enterprise client payments</w:t>
            </w:r>
          </w:p>
        </w:tc>
        <w:tc>
          <w:tcPr>
            <w:tcW w:type="dxa" w:w="3160"/>
            <w:shd w:fill="FFFFFF" w:val="clear"/>
          </w:tcPr>
          <w:p>
            <w:pPr>
              <w:spacing w:after="0"/>
            </w:pPr>
            <w:r>
              <w:rPr>
                <w:rFonts w:ascii="Arial" w:cs="Arial" w:eastAsia="Arial" w:hAnsi="Arial"/>
                <w:color w:val="333333"/>
                <w:sz w:val="18"/>
                <w:szCs w:val="18"/>
              </w:rPr>
              <w:t xml:space="preserve">Flutterwave or direct bank integration</w:t>
            </w:r>
          </w:p>
        </w:tc>
      </w:tr>
    </w:tbl>
    <w:p>
      <w:pPr>
        <w:spacing w:after="0"/>
      </w:pPr>
    </w:p>
    <w:p>
      <w:pPr>
        <w:pBdr>
          <w:left w:val="single" w:color="F59E0B" w:sz="12" w:space="8"/>
        </w:pBdr>
        <w:shd w:fill="FFF3E0" w:val="clear"/>
        <w:spacing w:after="200" w:before="120"/>
      </w:pPr>
      <w:r>
        <w:rPr>
          <w:rFonts w:ascii="Arial" w:cs="Arial" w:eastAsia="Arial" w:hAnsi="Arial"/>
          <w:color w:val="333333"/>
          <w:sz w:val="20"/>
          <w:szCs w:val="20"/>
        </w:rPr>
        <w:t xml:space="preserve">Uganda levies a 0.5% Mobile Money Tax on withdrawals and transfers above UGX 5 million/day. Additionally, a 12% excise duty applies to mobile money transactions. These are borne by the user (inspector), not the platform. However, the tax reduces the effective inspector payout and should be factored into pricing. For a UGX 230,000 payout (~$62), the mobile money tax impact is approximately UGX 1,150 (~$0.31) — minimal but worth disclosing to inspectors.</w:t>
      </w:r>
    </w:p>
    <w:p>
      <w:pPr>
        <w:pStyle w:val="Heading1"/>
        <w:spacing w:after="200" w:before="400"/>
      </w:pPr>
      <w:r>
        <w:rPr>
          <w:rFonts w:ascii="Arial" w:cs="Arial" w:eastAsia="Arial" w:hAnsi="Arial"/>
          <w:b/>
          <w:bCs/>
          <w:color w:val="022B1E"/>
          <w:sz w:val="28"/>
          <w:szCs w:val="28"/>
        </w:rPr>
        <w:t xml:space="preserve">5. Labour Law and Gig Worker Classification</w:t>
      </w:r>
    </w:p>
    <w:p>
      <w:pPr>
        <w:spacing w:after="140" w:line="276"/>
      </w:pPr>
      <w:r>
        <w:rPr>
          <w:rFonts w:ascii="Arial" w:cs="Arial" w:eastAsia="Arial" w:hAnsi="Arial"/>
          <w:b/>
          <w:bCs/>
          <w:color w:val="333333"/>
          <w:sz w:val="20"/>
          <w:szCs w:val="20"/>
        </w:rPr>
        <w:t xml:space="preserve">Law: </w:t>
      </w:r>
      <w:r>
        <w:rPr>
          <w:rFonts w:ascii="Arial" w:cs="Arial" w:eastAsia="Arial" w:hAnsi="Arial"/>
          <w:color w:val="333333"/>
          <w:sz w:val="20"/>
          <w:szCs w:val="20"/>
        </w:rPr>
        <w:t xml:space="preserve">Employment Act, 2006</w:t>
      </w:r>
    </w:p>
    <w:p>
      <w:pPr>
        <w:spacing w:after="140" w:line="276"/>
      </w:pPr>
      <w:r>
        <w:rPr>
          <w:rFonts w:ascii="Arial" w:cs="Arial" w:eastAsia="Arial" w:hAnsi="Arial"/>
          <w:b/>
          <w:bCs/>
          <w:color w:val="333333"/>
          <w:sz w:val="20"/>
          <w:szCs w:val="20"/>
        </w:rPr>
        <w:t xml:space="preserve">Social Security: </w:t>
      </w:r>
      <w:r>
        <w:rPr>
          <w:rFonts w:ascii="Arial" w:cs="Arial" w:eastAsia="Arial" w:hAnsi="Arial"/>
          <w:color w:val="333333"/>
          <w:sz w:val="20"/>
          <w:szCs w:val="20"/>
        </w:rPr>
        <w:t xml:space="preserve">National Social Security Fund Act, Cap 230</w:t>
      </w:r>
    </w:p>
    <w:p>
      <w:pPr>
        <w:spacing w:after="140" w:line="276"/>
      </w:pPr>
      <w:r>
        <w:rPr>
          <w:rFonts w:ascii="Arial" w:cs="Arial" w:eastAsia="Arial" w:hAnsi="Arial"/>
          <w:b/>
          <w:bCs/>
          <w:color w:val="333333"/>
          <w:sz w:val="20"/>
          <w:szCs w:val="20"/>
        </w:rPr>
        <w:t xml:space="preserve">Authority: </w:t>
      </w:r>
      <w:r>
        <w:rPr>
          <w:rFonts w:ascii="Arial" w:cs="Arial" w:eastAsia="Arial" w:hAnsi="Arial"/>
          <w:color w:val="333333"/>
          <w:sz w:val="20"/>
          <w:szCs w:val="20"/>
        </w:rPr>
        <w:t xml:space="preserve">Ministry of Gender, Labour and Social Development</w:t>
      </w:r>
    </w:p>
    <w:p>
      <w:pPr>
        <w:spacing w:after="0"/>
      </w:pPr>
    </w:p>
    <w:p>
      <w:pPr>
        <w:pStyle w:val="Heading2"/>
        <w:spacing w:after="160" w:before="300"/>
      </w:pPr>
      <w:r>
        <w:rPr>
          <w:rFonts w:ascii="Arial" w:cs="Arial" w:eastAsia="Arial" w:hAnsi="Arial"/>
          <w:b/>
          <w:bCs/>
          <w:color w:val="0B6E4F"/>
          <w:sz w:val="24"/>
          <w:szCs w:val="24"/>
        </w:rPr>
        <w:t xml:space="preserve">5.1 Current Classification Landscape</w:t>
      </w:r>
    </w:p>
    <w:p>
      <w:pPr>
        <w:spacing w:after="140" w:line="276"/>
      </w:pPr>
      <w:r>
        <w:rPr>
          <w:rFonts w:ascii="Arial" w:cs="Arial" w:eastAsia="Arial" w:hAnsi="Arial"/>
          <w:color w:val="333333"/>
          <w:sz w:val="20"/>
          <w:szCs w:val="20"/>
        </w:rPr>
        <w:t xml:space="preserve">Uganda's Employment Act 2006 governs employment relationships but does not specifically address platform/gig workers. Independent contractors fall outside the scope of employment protections including minimum wage, paid leave, social security, and unfair dismissal protections.</w:t>
      </w:r>
    </w:p>
    <w:p>
      <w:pPr>
        <w:spacing w:after="0"/>
      </w:pPr>
    </w:p>
    <w:p>
      <w:pPr>
        <w:spacing w:after="140" w:line="276"/>
      </w:pPr>
      <w:r>
        <w:rPr>
          <w:rFonts w:ascii="Arial" w:cs="Arial" w:eastAsia="Arial" w:hAnsi="Arial"/>
          <w:color w:val="333333"/>
          <w:sz w:val="20"/>
          <w:szCs w:val="20"/>
        </w:rPr>
        <w:t xml:space="preserve">A January 2025 Specialized Parliamentary Workshop on Digital Platform Economy (organized by Pollicy and UWOPA) exposed significant gaps in Uganda's legal framework for platform workers. Key findings included:</w:t>
      </w:r>
    </w:p>
    <w:p>
      <w:pPr>
        <w:pStyle w:val="ListParagraph"/>
        <w:numPr>
          <w:ilvl w:val="0"/>
          <w:numId w:val="2"/>
        </w:numPr>
        <w:spacing w:after="80" w:line="276"/>
      </w:pPr>
      <w:r>
        <w:rPr>
          <w:rFonts w:ascii="Arial" w:cs="Arial" w:eastAsia="Arial" w:hAnsi="Arial"/>
          <w:color w:val="333333"/>
          <w:sz w:val="20"/>
          <w:szCs w:val="20"/>
        </w:rPr>
        <w:t xml:space="preserve">The NSSF Act Cap 230 excludes platform workers from social security benefits due to their classification as independent contractors.</w:t>
      </w:r>
    </w:p>
    <w:p>
      <w:pPr>
        <w:pStyle w:val="ListParagraph"/>
        <w:numPr>
          <w:ilvl w:val="0"/>
          <w:numId w:val="2"/>
        </w:numPr>
        <w:spacing w:after="80" w:line="276"/>
      </w:pPr>
      <w:r>
        <w:rPr>
          <w:rFonts w:ascii="Arial" w:cs="Arial" w:eastAsia="Arial" w:hAnsi="Arial"/>
          <w:color w:val="333333"/>
          <w:sz w:val="20"/>
          <w:szCs w:val="20"/>
        </w:rPr>
        <w:t xml:space="preserve">Uganda lacks a clear legal determination for defining digital platform workers.</w:t>
      </w:r>
    </w:p>
    <w:p>
      <w:pPr>
        <w:pStyle w:val="ListParagraph"/>
        <w:numPr>
          <w:ilvl w:val="0"/>
          <w:numId w:val="2"/>
        </w:numPr>
        <w:spacing w:after="80" w:line="276"/>
      </w:pPr>
      <w:r>
        <w:rPr>
          <w:rFonts w:ascii="Arial" w:cs="Arial" w:eastAsia="Arial" w:hAnsi="Arial"/>
          <w:color w:val="333333"/>
          <w:sz w:val="20"/>
          <w:szCs w:val="20"/>
        </w:rPr>
        <w:t xml:space="preserve">Participants called for updated labour laws or special legislation to reflect the realities of digital platform work.</w:t>
      </w:r>
    </w:p>
    <w:p>
      <w:pPr>
        <w:pStyle w:val="ListParagraph"/>
        <w:numPr>
          <w:ilvl w:val="0"/>
          <w:numId w:val="2"/>
        </w:numPr>
        <w:spacing w:after="80" w:line="276"/>
      </w:pPr>
      <w:r>
        <w:rPr>
          <w:rFonts w:ascii="Arial" w:cs="Arial" w:eastAsia="Arial" w:hAnsi="Arial"/>
          <w:color w:val="333333"/>
          <w:sz w:val="20"/>
          <w:szCs w:val="20"/>
        </w:rPr>
        <w:t xml:space="preserve">The Control Test and Economic Reality Test were discussed as frameworks for determining employment relationships.</w:t>
      </w:r>
    </w:p>
    <w:p>
      <w:pPr>
        <w:spacing w:after="0"/>
      </w:pPr>
    </w:p>
    <w:p>
      <w:pPr>
        <w:pStyle w:val="Heading2"/>
        <w:spacing w:after="160" w:before="300"/>
      </w:pPr>
      <w:r>
        <w:rPr>
          <w:rFonts w:ascii="Arial" w:cs="Arial" w:eastAsia="Arial" w:hAnsi="Arial"/>
          <w:b/>
          <w:bCs/>
          <w:color w:val="0B6E4F"/>
          <w:sz w:val="24"/>
          <w:szCs w:val="24"/>
        </w:rPr>
        <w:t xml:space="preserve">5.2 EyeOnSite Inspector Classification</w:t>
      </w:r>
    </w:p>
    <w:p>
      <w:pPr>
        <w:spacing w:after="140" w:line="276"/>
      </w:pPr>
      <w:r>
        <w:rPr>
          <w:rFonts w:ascii="Arial" w:cs="Arial" w:eastAsia="Arial" w:hAnsi="Arial"/>
          <w:b/>
          <w:bCs/>
          <w:color w:val="333333"/>
          <w:sz w:val="20"/>
          <w:szCs w:val="20"/>
        </w:rPr>
        <w:t xml:space="preserve">Classification: </w:t>
      </w:r>
      <w:r>
        <w:rPr>
          <w:rFonts w:ascii="Arial" w:cs="Arial" w:eastAsia="Arial" w:hAnsi="Arial"/>
          <w:color w:val="333333"/>
          <w:sz w:val="20"/>
          <w:szCs w:val="20"/>
        </w:rPr>
        <w:t xml:space="preserve">Independent contractor</w:t>
      </w:r>
    </w:p>
    <w:p>
      <w:pPr>
        <w:spacing w:after="140" w:line="276"/>
      </w:pPr>
      <w:r>
        <w:rPr>
          <w:rFonts w:ascii="Arial" w:cs="Arial" w:eastAsia="Arial" w:hAnsi="Arial"/>
          <w:b/>
          <w:bCs/>
          <w:color w:val="333333"/>
          <w:sz w:val="20"/>
          <w:szCs w:val="20"/>
        </w:rPr>
        <w:t xml:space="preserve">Justification: </w:t>
      </w:r>
      <w:r>
        <w:rPr>
          <w:rFonts w:ascii="Arial" w:cs="Arial" w:eastAsia="Arial" w:hAnsi="Arial"/>
          <w:color w:val="333333"/>
          <w:sz w:val="20"/>
          <w:szCs w:val="20"/>
        </w:rPr>
        <w:t xml:space="preserve">Inspectors control their schedule, choose tasks, use their own equipment, work for multiple platforms, receive no employee benefits, and are paid per task, not per hour.</w:t>
      </w:r>
    </w:p>
    <w:p>
      <w:pPr>
        <w:spacing w:after="0"/>
      </w:pPr>
    </w:p>
    <w:p>
      <w:pPr>
        <w:spacing w:after="120" w:before="200"/>
      </w:pPr>
      <w:r>
        <w:rPr>
          <w:rFonts w:ascii="Arial" w:cs="Arial" w:eastAsia="Arial" w:hAnsi="Arial"/>
          <w:b/>
          <w:bCs/>
          <w:color w:val="4A4A47"/>
          <w:sz w:val="22"/>
          <w:szCs w:val="22"/>
        </w:rPr>
        <w:t xml:space="preserve">Defensive Measures (Contract Terms)</w:t>
      </w:r>
    </w:p>
    <w:p>
      <w:pPr>
        <w:pStyle w:val="ListParagraph"/>
        <w:numPr>
          <w:ilvl w:val="0"/>
          <w:numId w:val="2"/>
        </w:numPr>
        <w:spacing w:after="80" w:line="276"/>
      </w:pPr>
      <w:r>
        <w:rPr>
          <w:rFonts w:ascii="Arial" w:cs="Arial" w:eastAsia="Arial" w:hAnsi="Arial"/>
          <w:color w:val="333333"/>
          <w:sz w:val="20"/>
          <w:szCs w:val="20"/>
        </w:rPr>
        <w:t xml:space="preserve">Inspector agreement explicitly states independent contractor relationship — no employment relationship created.</w:t>
      </w:r>
    </w:p>
    <w:p>
      <w:pPr>
        <w:pStyle w:val="ListParagraph"/>
        <w:numPr>
          <w:ilvl w:val="0"/>
          <w:numId w:val="2"/>
        </w:numPr>
        <w:spacing w:after="80" w:line="276"/>
      </w:pPr>
      <w:r>
        <w:rPr>
          <w:rFonts w:ascii="Arial" w:cs="Arial" w:eastAsia="Arial" w:hAnsi="Arial"/>
          <w:color w:val="333333"/>
          <w:sz w:val="20"/>
          <w:szCs w:val="20"/>
        </w:rPr>
        <w:t xml:space="preserve">No minimum hours, mandatory schedules, or exclusivity requirements.</w:t>
      </w:r>
    </w:p>
    <w:p>
      <w:pPr>
        <w:pStyle w:val="ListParagraph"/>
        <w:numPr>
          <w:ilvl w:val="0"/>
          <w:numId w:val="2"/>
        </w:numPr>
        <w:spacing w:after="80" w:line="276"/>
      </w:pPr>
      <w:r>
        <w:rPr>
          <w:rFonts w:ascii="Arial" w:cs="Arial" w:eastAsia="Arial" w:hAnsi="Arial"/>
          <w:color w:val="333333"/>
          <w:sz w:val="20"/>
          <w:szCs w:val="20"/>
        </w:rPr>
        <w:t xml:space="preserve">Inspectors may accept or decline any task without penalty (beyond impact on Trust Score over time).</w:t>
      </w:r>
    </w:p>
    <w:p>
      <w:pPr>
        <w:pStyle w:val="ListParagraph"/>
        <w:numPr>
          <w:ilvl w:val="0"/>
          <w:numId w:val="2"/>
        </w:numPr>
        <w:spacing w:after="80" w:line="276"/>
      </w:pPr>
      <w:r>
        <w:rPr>
          <w:rFonts w:ascii="Arial" w:cs="Arial" w:eastAsia="Arial" w:hAnsi="Arial"/>
          <w:color w:val="333333"/>
          <w:sz w:val="20"/>
          <w:szCs w:val="20"/>
        </w:rPr>
        <w:t xml:space="preserve">Inspectors provide their own smartphone, transportation, and mobile data.</w:t>
      </w:r>
    </w:p>
    <w:p>
      <w:pPr>
        <w:pStyle w:val="ListParagraph"/>
        <w:numPr>
          <w:ilvl w:val="0"/>
          <w:numId w:val="2"/>
        </w:numPr>
        <w:spacing w:after="80" w:line="276"/>
      </w:pPr>
      <w:r>
        <w:rPr>
          <w:rFonts w:ascii="Arial" w:cs="Arial" w:eastAsia="Arial" w:hAnsi="Arial"/>
          <w:color w:val="333333"/>
          <w:sz w:val="20"/>
          <w:szCs w:val="20"/>
        </w:rPr>
        <w:t xml:space="preserve">Inspectors are responsible for their own tax obligations and NSSF contributions (voluntary).</w:t>
      </w:r>
    </w:p>
    <w:p>
      <w:pPr>
        <w:pStyle w:val="ListParagraph"/>
        <w:numPr>
          <w:ilvl w:val="0"/>
          <w:numId w:val="2"/>
        </w:numPr>
        <w:spacing w:after="80" w:line="276"/>
      </w:pPr>
      <w:r>
        <w:rPr>
          <w:rFonts w:ascii="Arial" w:cs="Arial" w:eastAsia="Arial" w:hAnsi="Arial"/>
          <w:color w:val="333333"/>
          <w:sz w:val="20"/>
          <w:szCs w:val="20"/>
        </w:rPr>
        <w:t xml:space="preserve">No uniforms, no direct supervision during task execution, no control over manner of work — only quality standards for the deliverable.</w:t>
      </w:r>
    </w:p>
    <w:p>
      <w:pPr>
        <w:spacing w:after="0"/>
      </w:pPr>
    </w:p>
    <w:p>
      <w:pPr>
        <w:pBdr>
          <w:left w:val="single" w:color="F59E0B" w:sz="12" w:space="8"/>
        </w:pBdr>
        <w:shd w:fill="FFF3E0" w:val="clear"/>
        <w:spacing w:after="200" w:before="120"/>
      </w:pPr>
      <w:r>
        <w:rPr>
          <w:rFonts w:ascii="Arial" w:cs="Arial" w:eastAsia="Arial" w:hAnsi="Arial"/>
          <w:color w:val="333333"/>
          <w:sz w:val="20"/>
          <w:szCs w:val="20"/>
        </w:rPr>
        <w:t xml:space="preserve">EVOLVING RISK: The 2025 parliamentary workshop signals that Uganda is actively considering gig worker legislation. If enacted, reclassification could require NSSF contributions (10% employer + 5% employee = 15% of earnings), minimum wage compliance, and statutory leave. This would increase platform costs by approximately 10-15% of inspector payouts. Timeline: uncertain, likely 2-5 years. Mitigation: maintain genuine contractor independence in all platform design decisions.</w:t>
      </w:r>
    </w:p>
    <w:p>
      <w:pPr>
        <w:pStyle w:val="Heading1"/>
        <w:spacing w:after="200" w:before="400"/>
      </w:pPr>
      <w:r>
        <w:rPr>
          <w:rFonts w:ascii="Arial" w:cs="Arial" w:eastAsia="Arial" w:hAnsi="Arial"/>
          <w:b/>
          <w:bCs/>
          <w:color w:val="022B1E"/>
          <w:sz w:val="28"/>
          <w:szCs w:val="28"/>
        </w:rPr>
        <w:t xml:space="preserve">6. Tax Obligations — Uganda</w:t>
      </w:r>
    </w:p>
    <w:p>
      <w:pPr>
        <w:spacing w:after="0"/>
      </w:pPr>
    </w:p>
    <w:p>
      <w:pPr>
        <w:pStyle w:val="Heading2"/>
        <w:spacing w:after="160" w:before="300"/>
      </w:pPr>
      <w:r>
        <w:rPr>
          <w:rFonts w:ascii="Arial" w:cs="Arial" w:eastAsia="Arial" w:hAnsi="Arial"/>
          <w:b/>
          <w:bCs/>
          <w:color w:val="0B6E4F"/>
          <w:sz w:val="24"/>
          <w:szCs w:val="24"/>
        </w:rPr>
        <w:t xml:space="preserve">6.1 Corporate 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200"/>
            <w:shd w:fill="022B1E" w:val="clear"/>
          </w:tcPr>
          <w:p>
            <w:pPr>
              <w:spacing w:after="0"/>
            </w:pPr>
            <w:r>
              <w:rPr>
                <w:rFonts w:ascii="Arial" w:cs="Arial" w:eastAsia="Arial" w:hAnsi="Arial"/>
                <w:b/>
                <w:bCs/>
                <w:color w:val="FFFFFF"/>
                <w:sz w:val="18"/>
                <w:szCs w:val="18"/>
              </w:rPr>
              <w:t xml:space="preserve">Tax</w:t>
            </w:r>
          </w:p>
        </w:tc>
        <w:tc>
          <w:tcPr>
            <w:tcW w:type="dxa" w:w="1200"/>
            <w:shd w:fill="022B1E" w:val="clear"/>
          </w:tcPr>
          <w:p>
            <w:pPr>
              <w:spacing w:after="0"/>
            </w:pPr>
            <w:r>
              <w:rPr>
                <w:rFonts w:ascii="Arial" w:cs="Arial" w:eastAsia="Arial" w:hAnsi="Arial"/>
                <w:b/>
                <w:bCs/>
                <w:color w:val="FFFFFF"/>
                <w:sz w:val="18"/>
                <w:szCs w:val="18"/>
              </w:rPr>
              <w:t xml:space="preserve">Rate</w:t>
            </w:r>
          </w:p>
        </w:tc>
        <w:tc>
          <w:tcPr>
            <w:tcW w:type="dxa" w:w="4960"/>
            <w:shd w:fill="022B1E" w:val="clear"/>
          </w:tcPr>
          <w:p>
            <w:pPr>
              <w:spacing w:after="0"/>
            </w:pPr>
            <w:r>
              <w:rPr>
                <w:rFonts w:ascii="Arial" w:cs="Arial" w:eastAsia="Arial" w:hAnsi="Arial"/>
                <w:b/>
                <w:bCs/>
                <w:color w:val="FFFFFF"/>
                <w:sz w:val="18"/>
                <w:szCs w:val="18"/>
              </w:rPr>
              <w:t xml:space="preserve">Notes</w:t>
            </w:r>
          </w:p>
        </w:tc>
      </w:tr>
      <w:tr>
        <w:tc>
          <w:tcPr>
            <w:tcW w:type="dxa" w:w="3200"/>
            <w:shd w:fill="F5F4F0" w:val="clear"/>
          </w:tcPr>
          <w:p>
            <w:pPr>
              <w:spacing w:after="0"/>
            </w:pPr>
            <w:r>
              <w:rPr>
                <w:rFonts w:ascii="Arial" w:cs="Arial" w:eastAsia="Arial" w:hAnsi="Arial"/>
                <w:color w:val="333333"/>
                <w:sz w:val="18"/>
                <w:szCs w:val="18"/>
              </w:rPr>
              <w:t xml:space="preserve">Corporate Income Tax</w:t>
            </w:r>
          </w:p>
        </w:tc>
        <w:tc>
          <w:tcPr>
            <w:tcW w:type="dxa" w:w="1200"/>
            <w:shd w:fill="F5F4F0" w:val="clear"/>
          </w:tcPr>
          <w:p>
            <w:pPr>
              <w:spacing w:after="0"/>
            </w:pPr>
            <w:r>
              <w:rPr>
                <w:rFonts w:ascii="Arial" w:cs="Arial" w:eastAsia="Arial" w:hAnsi="Arial"/>
                <w:color w:val="333333"/>
                <w:sz w:val="18"/>
                <w:szCs w:val="18"/>
              </w:rPr>
              <w:t xml:space="preserve">30%</w:t>
            </w:r>
          </w:p>
        </w:tc>
        <w:tc>
          <w:tcPr>
            <w:tcW w:type="dxa" w:w="4960"/>
            <w:shd w:fill="F5F4F0" w:val="clear"/>
          </w:tcPr>
          <w:p>
            <w:pPr>
              <w:spacing w:after="0"/>
            </w:pPr>
            <w:r>
              <w:rPr>
                <w:rFonts w:ascii="Arial" w:cs="Arial" w:eastAsia="Arial" w:hAnsi="Arial"/>
                <w:color w:val="333333"/>
                <w:sz w:val="18"/>
                <w:szCs w:val="18"/>
              </w:rPr>
              <w:t xml:space="preserve">On Uganda-sourced taxable income of EyeOnSite Uganda Ltd</w:t>
            </w:r>
          </w:p>
        </w:tc>
      </w:tr>
      <w:tr>
        <w:tc>
          <w:tcPr>
            <w:tcW w:type="dxa" w:w="3200"/>
            <w:shd w:fill="FFFFFF" w:val="clear"/>
          </w:tcPr>
          <w:p>
            <w:pPr>
              <w:spacing w:after="0"/>
            </w:pPr>
            <w:r>
              <w:rPr>
                <w:rFonts w:ascii="Arial" w:cs="Arial" w:eastAsia="Arial" w:hAnsi="Arial"/>
                <w:color w:val="333333"/>
                <w:sz w:val="18"/>
                <w:szCs w:val="18"/>
              </w:rPr>
              <w:t xml:space="preserve">Withholding Tax on dividends</w:t>
            </w:r>
          </w:p>
        </w:tc>
        <w:tc>
          <w:tcPr>
            <w:tcW w:type="dxa" w:w="1200"/>
            <w:shd w:fill="FFFFFF" w:val="clear"/>
          </w:tcPr>
          <w:p>
            <w:pPr>
              <w:spacing w:after="0"/>
            </w:pPr>
            <w:r>
              <w:rPr>
                <w:rFonts w:ascii="Arial" w:cs="Arial" w:eastAsia="Arial" w:hAnsi="Arial"/>
                <w:color w:val="333333"/>
                <w:sz w:val="18"/>
                <w:szCs w:val="18"/>
              </w:rPr>
              <w:t xml:space="preserve">15%</w:t>
            </w:r>
          </w:p>
        </w:tc>
        <w:tc>
          <w:tcPr>
            <w:tcW w:type="dxa" w:w="4960"/>
            <w:shd w:fill="FFFFFF" w:val="clear"/>
          </w:tcPr>
          <w:p>
            <w:pPr>
              <w:spacing w:after="0"/>
            </w:pPr>
            <w:r>
              <w:rPr>
                <w:rFonts w:ascii="Arial" w:cs="Arial" w:eastAsia="Arial" w:hAnsi="Arial"/>
                <w:color w:val="333333"/>
                <w:sz w:val="18"/>
                <w:szCs w:val="18"/>
              </w:rPr>
              <w:t xml:space="preserve">On dividends paid to Manti Labs LLC (foreign shareholder). May be reduced by US-Uganda tax treaty if applicable.</w:t>
            </w:r>
          </w:p>
        </w:tc>
      </w:tr>
      <w:tr>
        <w:tc>
          <w:tcPr>
            <w:tcW w:type="dxa" w:w="3200"/>
            <w:shd w:fill="F5F4F0" w:val="clear"/>
          </w:tcPr>
          <w:p>
            <w:pPr>
              <w:spacing w:after="0"/>
            </w:pPr>
            <w:r>
              <w:rPr>
                <w:rFonts w:ascii="Arial" w:cs="Arial" w:eastAsia="Arial" w:hAnsi="Arial"/>
                <w:color w:val="333333"/>
                <w:sz w:val="18"/>
                <w:szCs w:val="18"/>
              </w:rPr>
              <w:t xml:space="preserve">Withholding Tax on service payments to contractors</w:t>
            </w:r>
          </w:p>
        </w:tc>
        <w:tc>
          <w:tcPr>
            <w:tcW w:type="dxa" w:w="1200"/>
            <w:shd w:fill="F5F4F0" w:val="clear"/>
          </w:tcPr>
          <w:p>
            <w:pPr>
              <w:spacing w:after="0"/>
            </w:pPr>
            <w:r>
              <w:rPr>
                <w:rFonts w:ascii="Arial" w:cs="Arial" w:eastAsia="Arial" w:hAnsi="Arial"/>
                <w:color w:val="333333"/>
                <w:sz w:val="18"/>
                <w:szCs w:val="18"/>
              </w:rPr>
              <w:t xml:space="preserve">6%</w:t>
            </w:r>
          </w:p>
        </w:tc>
        <w:tc>
          <w:tcPr>
            <w:tcW w:type="dxa" w:w="4960"/>
            <w:shd w:fill="F5F4F0" w:val="clear"/>
          </w:tcPr>
          <w:p>
            <w:pPr>
              <w:spacing w:after="0"/>
            </w:pPr>
            <w:r>
              <w:rPr>
                <w:rFonts w:ascii="Arial" w:cs="Arial" w:eastAsia="Arial" w:hAnsi="Arial"/>
                <w:color w:val="333333"/>
                <w:sz w:val="18"/>
                <w:szCs w:val="18"/>
              </w:rPr>
              <w:t xml:space="preserve">On payments to resident independent contractors (inspectors)</w:t>
            </w:r>
          </w:p>
        </w:tc>
      </w:tr>
      <w:tr>
        <w:tc>
          <w:tcPr>
            <w:tcW w:type="dxa" w:w="3200"/>
            <w:shd w:fill="FFFFFF" w:val="clear"/>
          </w:tcPr>
          <w:p>
            <w:pPr>
              <w:spacing w:after="0"/>
            </w:pPr>
            <w:r>
              <w:rPr>
                <w:rFonts w:ascii="Arial" w:cs="Arial" w:eastAsia="Arial" w:hAnsi="Arial"/>
                <w:color w:val="333333"/>
                <w:sz w:val="18"/>
                <w:szCs w:val="18"/>
              </w:rPr>
              <w:t xml:space="preserve">Withholding Tax on management fees</w:t>
            </w:r>
          </w:p>
        </w:tc>
        <w:tc>
          <w:tcPr>
            <w:tcW w:type="dxa" w:w="1200"/>
            <w:shd w:fill="FFFFFF" w:val="clear"/>
          </w:tcPr>
          <w:p>
            <w:pPr>
              <w:spacing w:after="0"/>
            </w:pPr>
            <w:r>
              <w:rPr>
                <w:rFonts w:ascii="Arial" w:cs="Arial" w:eastAsia="Arial" w:hAnsi="Arial"/>
                <w:color w:val="333333"/>
                <w:sz w:val="18"/>
                <w:szCs w:val="18"/>
              </w:rPr>
              <w:t xml:space="preserve">15%</w:t>
            </w:r>
          </w:p>
        </w:tc>
        <w:tc>
          <w:tcPr>
            <w:tcW w:type="dxa" w:w="4960"/>
            <w:shd w:fill="FFFFFF" w:val="clear"/>
          </w:tcPr>
          <w:p>
            <w:pPr>
              <w:spacing w:after="0"/>
            </w:pPr>
            <w:r>
              <w:rPr>
                <w:rFonts w:ascii="Arial" w:cs="Arial" w:eastAsia="Arial" w:hAnsi="Arial"/>
                <w:color w:val="333333"/>
                <w:sz w:val="18"/>
                <w:szCs w:val="18"/>
              </w:rPr>
              <w:t xml:space="preserve">On inter-company management fees paid to Manti Labs LLC</w:t>
            </w:r>
          </w:p>
        </w:tc>
      </w:tr>
      <w:tr>
        <w:tc>
          <w:tcPr>
            <w:tcW w:type="dxa" w:w="3200"/>
            <w:shd w:fill="F5F4F0" w:val="clear"/>
          </w:tcPr>
          <w:p>
            <w:pPr>
              <w:spacing w:after="0"/>
            </w:pPr>
            <w:r>
              <w:rPr>
                <w:rFonts w:ascii="Arial" w:cs="Arial" w:eastAsia="Arial" w:hAnsi="Arial"/>
                <w:color w:val="333333"/>
                <w:sz w:val="18"/>
                <w:szCs w:val="18"/>
              </w:rPr>
              <w:t xml:space="preserve">Withholding Tax on royalties/IP license fees</w:t>
            </w:r>
          </w:p>
        </w:tc>
        <w:tc>
          <w:tcPr>
            <w:tcW w:type="dxa" w:w="1200"/>
            <w:shd w:fill="F5F4F0" w:val="clear"/>
          </w:tcPr>
          <w:p>
            <w:pPr>
              <w:spacing w:after="0"/>
            </w:pPr>
            <w:r>
              <w:rPr>
                <w:rFonts w:ascii="Arial" w:cs="Arial" w:eastAsia="Arial" w:hAnsi="Arial"/>
                <w:color w:val="333333"/>
                <w:sz w:val="18"/>
                <w:szCs w:val="18"/>
              </w:rPr>
              <w:t xml:space="preserve">15%</w:t>
            </w:r>
          </w:p>
        </w:tc>
        <w:tc>
          <w:tcPr>
            <w:tcW w:type="dxa" w:w="4960"/>
            <w:shd w:fill="F5F4F0" w:val="clear"/>
          </w:tcPr>
          <w:p>
            <w:pPr>
              <w:spacing w:after="0"/>
            </w:pPr>
            <w:r>
              <w:rPr>
                <w:rFonts w:ascii="Arial" w:cs="Arial" w:eastAsia="Arial" w:hAnsi="Arial"/>
                <w:color w:val="333333"/>
                <w:sz w:val="18"/>
                <w:szCs w:val="18"/>
              </w:rPr>
              <w:t xml:space="preserve">On IP license fees paid to Manti Labs LLC. May be reduced by tax treaty.</w:t>
            </w:r>
          </w:p>
        </w:tc>
      </w:tr>
    </w:tbl>
    <w:p>
      <w:pPr>
        <w:spacing w:after="0"/>
      </w:pPr>
    </w:p>
    <w:p>
      <w:pPr>
        <w:pStyle w:val="Heading2"/>
        <w:spacing w:after="160" w:before="300"/>
      </w:pPr>
      <w:r>
        <w:rPr>
          <w:rFonts w:ascii="Arial" w:cs="Arial" w:eastAsia="Arial" w:hAnsi="Arial"/>
          <w:b/>
          <w:bCs/>
          <w:color w:val="0B6E4F"/>
          <w:sz w:val="24"/>
          <w:szCs w:val="24"/>
        </w:rPr>
        <w:t xml:space="preserve">6.2 VAT</w:t>
      </w:r>
    </w:p>
    <w:p>
      <w:pPr>
        <w:pStyle w:val="ListParagraph"/>
        <w:numPr>
          <w:ilvl w:val="0"/>
          <w:numId w:val="2"/>
        </w:numPr>
        <w:spacing w:after="80" w:line="276"/>
      </w:pPr>
      <w:r>
        <w:rPr>
          <w:rFonts w:ascii="Arial" w:cs="Arial" w:eastAsia="Arial" w:hAnsi="Arial"/>
          <w:color w:val="333333"/>
          <w:sz w:val="20"/>
          <w:szCs w:val="20"/>
        </w:rPr>
        <w:t xml:space="preserve">Standard VAT rate: 18%</w:t>
      </w:r>
    </w:p>
    <w:p>
      <w:pPr>
        <w:pStyle w:val="ListParagraph"/>
        <w:numPr>
          <w:ilvl w:val="0"/>
          <w:numId w:val="2"/>
        </w:numPr>
        <w:spacing w:after="80" w:line="276"/>
      </w:pPr>
      <w:r>
        <w:rPr>
          <w:rFonts w:ascii="Arial" w:cs="Arial" w:eastAsia="Arial" w:hAnsi="Arial"/>
          <w:color w:val="333333"/>
          <w:sz w:val="20"/>
          <w:szCs w:val="20"/>
        </w:rPr>
        <w:t xml:space="preserve">VAT registration threshold: UGX 150 million (~$40,000) annual turnover.</w:t>
      </w:r>
    </w:p>
    <w:p>
      <w:pPr>
        <w:pStyle w:val="ListParagraph"/>
        <w:numPr>
          <w:ilvl w:val="0"/>
          <w:numId w:val="2"/>
        </w:numPr>
        <w:spacing w:after="80" w:line="276"/>
      </w:pPr>
      <w:r>
        <w:rPr>
          <w:rFonts w:ascii="Arial" w:cs="Arial" w:eastAsia="Arial" w:hAnsi="Arial"/>
          <w:color w:val="333333"/>
          <w:sz w:val="20"/>
          <w:szCs w:val="20"/>
        </w:rPr>
        <w:t xml:space="preserve">At V2 Uganda volumes (estimated 200-500 tasks/month at ~$80 average), annual gross revenue would be $192,000-$480,000 — well above the threshold. VAT registration will be required.</w:t>
      </w:r>
    </w:p>
    <w:p>
      <w:pPr>
        <w:pStyle w:val="ListParagraph"/>
        <w:numPr>
          <w:ilvl w:val="0"/>
          <w:numId w:val="2"/>
        </w:numPr>
        <w:spacing w:after="80" w:line="276"/>
      </w:pPr>
      <w:r>
        <w:rPr>
          <w:rFonts w:ascii="Arial" w:cs="Arial" w:eastAsia="Arial" w:hAnsi="Arial"/>
          <w:color w:val="333333"/>
          <w:sz w:val="20"/>
          <w:szCs w:val="20"/>
        </w:rPr>
        <w:t xml:space="preserve">VAT applies to the platform fee (18% of task value), not the full task value. On an $80 task, the $14.40 platform fee is subject to VAT: UGX 14,400 x 18% = $2.59 VAT.</w:t>
      </w:r>
    </w:p>
    <w:p>
      <w:pPr>
        <w:pStyle w:val="ListParagraph"/>
        <w:numPr>
          <w:ilvl w:val="0"/>
          <w:numId w:val="2"/>
        </w:numPr>
        <w:spacing w:after="80" w:line="276"/>
      </w:pPr>
      <w:r>
        <w:rPr>
          <w:rFonts w:ascii="Arial" w:cs="Arial" w:eastAsia="Arial" w:hAnsi="Arial"/>
          <w:color w:val="333333"/>
          <w:sz w:val="20"/>
          <w:szCs w:val="20"/>
        </w:rPr>
        <w:t xml:space="preserve">VAT on imported digital services: Uganda may apply VAT on services received from Manti Labs LLC (US) under the digital services tax framework. Requires tax advisor confirmation.</w:t>
      </w:r>
    </w:p>
    <w:p>
      <w:pPr>
        <w:spacing w:after="0"/>
      </w:pPr>
    </w:p>
    <w:p>
      <w:pPr>
        <w:pStyle w:val="Heading2"/>
        <w:spacing w:after="160" w:before="300"/>
      </w:pPr>
      <w:r>
        <w:rPr>
          <w:rFonts w:ascii="Arial" w:cs="Arial" w:eastAsia="Arial" w:hAnsi="Arial"/>
          <w:b/>
          <w:bCs/>
          <w:color w:val="0B6E4F"/>
          <w:sz w:val="24"/>
          <w:szCs w:val="24"/>
        </w:rPr>
        <w:t xml:space="preserve">6.3 Inspector Tax Obligations</w:t>
      </w:r>
    </w:p>
    <w:p>
      <w:pPr>
        <w:pStyle w:val="ListParagraph"/>
        <w:numPr>
          <w:ilvl w:val="0"/>
          <w:numId w:val="2"/>
        </w:numPr>
        <w:spacing w:after="80" w:line="276"/>
      </w:pPr>
      <w:r>
        <w:rPr>
          <w:rFonts w:ascii="Arial" w:cs="Arial" w:eastAsia="Arial" w:hAnsi="Arial"/>
          <w:color w:val="333333"/>
          <w:sz w:val="20"/>
          <w:szCs w:val="20"/>
        </w:rPr>
        <w:t xml:space="preserve">Inspectors are responsible for their own income tax filings as self-employed individuals.</w:t>
      </w:r>
    </w:p>
    <w:p>
      <w:pPr>
        <w:pStyle w:val="ListParagraph"/>
        <w:numPr>
          <w:ilvl w:val="0"/>
          <w:numId w:val="2"/>
        </w:numPr>
        <w:spacing w:after="80" w:line="276"/>
      </w:pPr>
      <w:r>
        <w:rPr>
          <w:rFonts w:ascii="Arial" w:cs="Arial" w:eastAsia="Arial" w:hAnsi="Arial"/>
          <w:color w:val="333333"/>
          <w:sz w:val="20"/>
          <w:szCs w:val="20"/>
        </w:rPr>
        <w:t xml:space="preserve">EyeOnSite Uganda Ltd must withhold 6% tax on payments to resident independent contractors and remit to URA.</w:t>
      </w:r>
    </w:p>
    <w:p>
      <w:pPr>
        <w:pStyle w:val="ListParagraph"/>
        <w:numPr>
          <w:ilvl w:val="0"/>
          <w:numId w:val="2"/>
        </w:numPr>
        <w:spacing w:after="80" w:line="276"/>
      </w:pPr>
      <w:r>
        <w:rPr>
          <w:rFonts w:ascii="Arial" w:cs="Arial" w:eastAsia="Arial" w:hAnsi="Arial"/>
          <w:color w:val="333333"/>
          <w:sz w:val="20"/>
          <w:szCs w:val="20"/>
        </w:rPr>
        <w:t xml:space="preserve">Inspectors can offset the withheld amount against their annual tax liability.</w:t>
      </w:r>
    </w:p>
    <w:p>
      <w:pPr>
        <w:pStyle w:val="ListParagraph"/>
        <w:numPr>
          <w:ilvl w:val="0"/>
          <w:numId w:val="2"/>
        </w:numPr>
        <w:spacing w:after="80" w:line="276"/>
      </w:pPr>
      <w:r>
        <w:rPr>
          <w:rFonts w:ascii="Arial" w:cs="Arial" w:eastAsia="Arial" w:hAnsi="Arial"/>
          <w:color w:val="333333"/>
          <w:sz w:val="20"/>
          <w:szCs w:val="20"/>
        </w:rPr>
        <w:t xml:space="preserve">EyeOnSite must issue withholding tax certificates to each inspector — administrative requirement that needs to be built into the payout system.</w:t>
      </w:r>
    </w:p>
    <w:p>
      <w:pPr>
        <w:spacing w:after="0"/>
      </w:pPr>
    </w:p>
    <w:p>
      <w:pPr>
        <w:pStyle w:val="Heading2"/>
        <w:spacing w:after="160" w:before="300"/>
      </w:pPr>
      <w:r>
        <w:rPr>
          <w:rFonts w:ascii="Arial" w:cs="Arial" w:eastAsia="Arial" w:hAnsi="Arial"/>
          <w:b/>
          <w:bCs/>
          <w:color w:val="0B6E4F"/>
          <w:sz w:val="24"/>
          <w:szCs w:val="24"/>
        </w:rPr>
        <w:t xml:space="preserve">6.4 Mobile Money Tax</w:t>
      </w:r>
    </w:p>
    <w:p>
      <w:pPr>
        <w:pStyle w:val="ListParagraph"/>
        <w:numPr>
          <w:ilvl w:val="0"/>
          <w:numId w:val="2"/>
        </w:numPr>
        <w:spacing w:after="80" w:line="276"/>
      </w:pPr>
      <w:r>
        <w:rPr>
          <w:rFonts w:ascii="Arial" w:cs="Arial" w:eastAsia="Arial" w:hAnsi="Arial"/>
          <w:color w:val="333333"/>
          <w:sz w:val="20"/>
          <w:szCs w:val="20"/>
        </w:rPr>
        <w:t xml:space="preserve">0.5% levy on mobile money withdrawals and transfers above UGX 5 million/day.</w:t>
      </w:r>
    </w:p>
    <w:p>
      <w:pPr>
        <w:pStyle w:val="ListParagraph"/>
        <w:numPr>
          <w:ilvl w:val="0"/>
          <w:numId w:val="2"/>
        </w:numPr>
        <w:spacing w:after="80" w:line="276"/>
      </w:pPr>
      <w:r>
        <w:rPr>
          <w:rFonts w:ascii="Arial" w:cs="Arial" w:eastAsia="Arial" w:hAnsi="Arial"/>
          <w:color w:val="333333"/>
          <w:sz w:val="20"/>
          <w:szCs w:val="20"/>
        </w:rPr>
        <w:t xml:space="preserve">12% excise duty on mobile money transactions (borne by the user).</w:t>
      </w:r>
    </w:p>
    <w:p>
      <w:pPr>
        <w:pStyle w:val="ListParagraph"/>
        <w:numPr>
          <w:ilvl w:val="0"/>
          <w:numId w:val="2"/>
        </w:numPr>
        <w:spacing w:after="80" w:line="276"/>
      </w:pPr>
      <w:r>
        <w:rPr>
          <w:rFonts w:ascii="Arial" w:cs="Arial" w:eastAsia="Arial" w:hAnsi="Arial"/>
          <w:color w:val="333333"/>
          <w:sz w:val="20"/>
          <w:szCs w:val="20"/>
        </w:rPr>
        <w:t xml:space="preserve">These taxes reduce the effective inspector payout. On a UGX 230,000 payout, the combined tax impact is minimal (~UGX 1,000-2,000) but should be transparently disclosed.</w:t>
      </w:r>
    </w:p>
    <w:p>
      <w:pPr>
        <w:spacing w:after="0"/>
      </w:pPr>
    </w:p>
    <w:p>
      <w:pPr>
        <w:pStyle w:val="Heading2"/>
        <w:spacing w:after="160" w:before="300"/>
      </w:pPr>
      <w:r>
        <w:rPr>
          <w:rFonts w:ascii="Arial" w:cs="Arial" w:eastAsia="Arial" w:hAnsi="Arial"/>
          <w:b/>
          <w:bCs/>
          <w:color w:val="0B6E4F"/>
          <w:sz w:val="24"/>
          <w:szCs w:val="24"/>
        </w:rPr>
        <w:t xml:space="preserve">6.5 Transfer Pricing</w:t>
      </w:r>
    </w:p>
    <w:p>
      <w:pPr>
        <w:spacing w:after="140" w:line="276"/>
      </w:pPr>
      <w:r>
        <w:rPr>
          <w:rFonts w:ascii="Arial" w:cs="Arial" w:eastAsia="Arial" w:hAnsi="Arial"/>
          <w:color w:val="333333"/>
          <w:sz w:val="20"/>
          <w:szCs w:val="20"/>
        </w:rPr>
        <w:t xml:space="preserve">Inter-company payments between EyeOnSite Uganda Ltd and Manti Labs LLC (Delaware) must be at arm's length — reflecting what unrelated parties would charge for similar services. Uganda's Income Tax Act includes transfer pricing provisions, and URA has been increasingly scrutinizing related-party transactions.</w:t>
      </w:r>
    </w:p>
    <w:p>
      <w:pPr>
        <w:spacing w:after="0"/>
      </w:pPr>
    </w:p>
    <w:p>
      <w:pPr>
        <w:pStyle w:val="ListParagraph"/>
        <w:numPr>
          <w:ilvl w:val="0"/>
          <w:numId w:val="2"/>
        </w:numPr>
        <w:spacing w:after="80" w:line="276"/>
      </w:pPr>
      <w:r>
        <w:rPr>
          <w:rFonts w:ascii="Arial" w:cs="Arial" w:eastAsia="Arial" w:hAnsi="Arial"/>
          <w:color w:val="333333"/>
          <w:sz w:val="20"/>
          <w:szCs w:val="20"/>
        </w:rPr>
        <w:t xml:space="preserve">IP license fee: must be benchmarked against comparable license arrangements. Typically 5-15% of revenue for technology licensing.</w:t>
      </w:r>
    </w:p>
    <w:p>
      <w:pPr>
        <w:pStyle w:val="ListParagraph"/>
        <w:numPr>
          <w:ilvl w:val="0"/>
          <w:numId w:val="2"/>
        </w:numPr>
        <w:spacing w:after="80" w:line="276"/>
      </w:pPr>
      <w:r>
        <w:rPr>
          <w:rFonts w:ascii="Arial" w:cs="Arial" w:eastAsia="Arial" w:hAnsi="Arial"/>
          <w:color w:val="333333"/>
          <w:sz w:val="20"/>
          <w:szCs w:val="20"/>
        </w:rPr>
        <w:t xml:space="preserve">Management fees: must reflect actual services provided by Manti Labs LLC (e.g., platform development, brand management, financial oversight).</w:t>
      </w:r>
    </w:p>
    <w:p>
      <w:pPr>
        <w:pStyle w:val="ListParagraph"/>
        <w:numPr>
          <w:ilvl w:val="0"/>
          <w:numId w:val="2"/>
        </w:numPr>
        <w:spacing w:after="80" w:line="276"/>
      </w:pPr>
      <w:r>
        <w:rPr>
          <w:rFonts w:ascii="Arial" w:cs="Arial" w:eastAsia="Arial" w:hAnsi="Arial"/>
          <w:color w:val="333333"/>
          <w:sz w:val="20"/>
          <w:szCs w:val="20"/>
        </w:rPr>
        <w:t xml:space="preserve">Document the rationale for all inter-company pricing. Maintain a transfer pricing study if total inter-company transactions exceed UGX 10 billion (~$2.7M) annually.</w:t>
      </w:r>
    </w:p>
    <w:p>
      <w:pPr>
        <w:spacing w:after="0"/>
      </w:pPr>
    </w:p>
    <w:p>
      <w:pPr>
        <w:pBdr>
          <w:left w:val="single" w:color="F59E0B" w:sz="12" w:space="8"/>
        </w:pBdr>
        <w:shd w:fill="FFF3E0" w:val="clear"/>
        <w:spacing w:after="200" w:before="120"/>
      </w:pPr>
      <w:r>
        <w:rPr>
          <w:rFonts w:ascii="Arial" w:cs="Arial" w:eastAsia="Arial" w:hAnsi="Arial"/>
          <w:color w:val="333333"/>
          <w:sz w:val="20"/>
          <w:szCs w:val="20"/>
        </w:rPr>
        <w:t xml:space="preserve">ACTION REQUIRED: Engage a Ugandan tax advisor to structure inter-company payments (IP license, management fees, cost allocations) to be defensible under URA transfer pricing rules. Budget: $1,000-2,000. Do this BEFORE the first inter-company payment flows.</w:t>
      </w:r>
    </w:p>
    <w:p>
      <w:pPr>
        <w:pStyle w:val="Heading1"/>
        <w:spacing w:after="200" w:before="400"/>
      </w:pPr>
      <w:r>
        <w:rPr>
          <w:rFonts w:ascii="Arial" w:cs="Arial" w:eastAsia="Arial" w:hAnsi="Arial"/>
          <w:b/>
          <w:bCs/>
          <w:color w:val="022B1E"/>
          <w:sz w:val="28"/>
          <w:szCs w:val="28"/>
        </w:rPr>
        <w:t xml:space="preserve">7. Sector-Specific Regulations</w:t>
      </w:r>
    </w:p>
    <w:p>
      <w:pPr>
        <w:spacing w:after="0"/>
      </w:pPr>
    </w:p>
    <w:p>
      <w:pPr>
        <w:pStyle w:val="Heading2"/>
        <w:spacing w:after="160" w:before="300"/>
      </w:pPr>
      <w:r>
        <w:rPr>
          <w:rFonts w:ascii="Arial" w:cs="Arial" w:eastAsia="Arial" w:hAnsi="Arial"/>
          <w:b/>
          <w:bCs/>
          <w:color w:val="0B6E4F"/>
          <w:sz w:val="24"/>
          <w:szCs w:val="24"/>
        </w:rPr>
        <w:t xml:space="preserve">7.1 Property and Construction</w:t>
      </w:r>
    </w:p>
    <w:p>
      <w:pPr>
        <w:pStyle w:val="ListParagraph"/>
        <w:numPr>
          <w:ilvl w:val="0"/>
          <w:numId w:val="2"/>
        </w:numPr>
        <w:spacing w:after="80" w:line="276"/>
      </w:pPr>
      <w:r>
        <w:rPr>
          <w:rFonts w:ascii="Arial" w:cs="Arial" w:eastAsia="Arial" w:hAnsi="Arial"/>
          <w:color w:val="333333"/>
          <w:sz w:val="20"/>
          <w:szCs w:val="20"/>
        </w:rPr>
        <w:t xml:space="preserve">Uganda does not require a license to conduct informal property inspections, site photography, or visual progress verification.</w:t>
      </w:r>
    </w:p>
    <w:p>
      <w:pPr>
        <w:pStyle w:val="ListParagraph"/>
        <w:numPr>
          <w:ilvl w:val="0"/>
          <w:numId w:val="2"/>
        </w:numPr>
        <w:spacing w:after="80" w:line="276"/>
      </w:pPr>
      <w:r>
        <w:rPr>
          <w:rFonts w:ascii="Arial" w:cs="Arial" w:eastAsia="Arial" w:hAnsi="Arial"/>
          <w:color w:val="333333"/>
          <w:sz w:val="20"/>
          <w:szCs w:val="20"/>
        </w:rPr>
        <w:t xml:space="preserve">Professional valuations, structural assessments, and engineering surveys require licensed professionals registered with the Engineers Registration Board (ERB) or the Institution of Surveyors of Uganda (ISU).</w:t>
      </w:r>
    </w:p>
    <w:p>
      <w:pPr>
        <w:pStyle w:val="ListParagraph"/>
        <w:numPr>
          <w:ilvl w:val="0"/>
          <w:numId w:val="2"/>
        </w:numPr>
        <w:spacing w:after="80" w:line="276"/>
      </w:pPr>
      <w:r>
        <w:rPr>
          <w:rFonts w:ascii="Arial" w:cs="Arial" w:eastAsia="Arial" w:hAnsi="Arial"/>
          <w:color w:val="333333"/>
          <w:sz w:val="20"/>
          <w:szCs w:val="20"/>
        </w:rPr>
        <w:t xml:space="preserve">EyeOnSite explicitly does NOT provide professional assessments — this distinction must be maintained in all Ugandan marketing and UI.</w:t>
      </w:r>
    </w:p>
    <w:p>
      <w:pPr>
        <w:spacing w:after="0"/>
      </w:pPr>
    </w:p>
    <w:p>
      <w:pPr>
        <w:pStyle w:val="Heading2"/>
        <w:spacing w:after="160" w:before="300"/>
      </w:pPr>
      <w:r>
        <w:rPr>
          <w:rFonts w:ascii="Arial" w:cs="Arial" w:eastAsia="Arial" w:hAnsi="Arial"/>
          <w:b/>
          <w:bCs/>
          <w:color w:val="0B6E4F"/>
          <w:sz w:val="24"/>
          <w:szCs w:val="24"/>
        </w:rPr>
        <w:t xml:space="preserve">7.2 Cybersecurity</w:t>
      </w:r>
    </w:p>
    <w:p>
      <w:pPr>
        <w:pStyle w:val="ListParagraph"/>
        <w:numPr>
          <w:ilvl w:val="0"/>
          <w:numId w:val="2"/>
        </w:numPr>
        <w:spacing w:after="80" w:line="276"/>
      </w:pPr>
      <w:r>
        <w:rPr>
          <w:rFonts w:ascii="Arial" w:cs="Arial" w:eastAsia="Arial" w:hAnsi="Arial"/>
          <w:color w:val="333333"/>
          <w:sz w:val="20"/>
          <w:szCs w:val="20"/>
        </w:rPr>
        <w:t xml:space="preserve">The Computer Misuse Act, 2011 criminalizes unauthorized access to computer systems, data interception, and cyber fraud.</w:t>
      </w:r>
    </w:p>
    <w:p>
      <w:pPr>
        <w:pStyle w:val="ListParagraph"/>
        <w:numPr>
          <w:ilvl w:val="0"/>
          <w:numId w:val="2"/>
        </w:numPr>
        <w:spacing w:after="80" w:line="276"/>
      </w:pPr>
      <w:r>
        <w:rPr>
          <w:rFonts w:ascii="Arial" w:cs="Arial" w:eastAsia="Arial" w:hAnsi="Arial"/>
          <w:color w:val="333333"/>
          <w:sz w:val="20"/>
          <w:szCs w:val="20"/>
        </w:rPr>
        <w:t xml:space="preserve">The Data Protection and Privacy Act 2019 requires appropriate technical and organizational security measures.</w:t>
      </w:r>
    </w:p>
    <w:p>
      <w:pPr>
        <w:pStyle w:val="ListParagraph"/>
        <w:numPr>
          <w:ilvl w:val="0"/>
          <w:numId w:val="2"/>
        </w:numPr>
        <w:spacing w:after="80" w:line="276"/>
      </w:pPr>
      <w:r>
        <w:rPr>
          <w:rFonts w:ascii="Arial" w:cs="Arial" w:eastAsia="Arial" w:hAnsi="Arial"/>
          <w:color w:val="333333"/>
          <w:sz w:val="20"/>
          <w:szCs w:val="20"/>
        </w:rPr>
        <w:t xml:space="preserve">NITA-Uganda oversees the national cybersecurity framework.</w:t>
      </w:r>
    </w:p>
    <w:p>
      <w:pPr>
        <w:pStyle w:val="ListParagraph"/>
        <w:numPr>
          <w:ilvl w:val="0"/>
          <w:numId w:val="2"/>
        </w:numPr>
        <w:spacing w:after="80" w:line="276"/>
      </w:pPr>
      <w:r>
        <w:rPr>
          <w:rFonts w:ascii="Arial" w:cs="Arial" w:eastAsia="Arial" w:hAnsi="Arial"/>
          <w:color w:val="333333"/>
          <w:sz w:val="20"/>
          <w:szCs w:val="20"/>
        </w:rPr>
        <w:t xml:space="preserve">EyeOnSite's Google Cloud/Firebase infrastructure meets international security standards (SOC 2, ISO 27001) which exceed Ugandan requirements.</w:t>
      </w:r>
    </w:p>
    <w:p>
      <w:pPr>
        <w:spacing w:after="0"/>
      </w:pPr>
    </w:p>
    <w:p>
      <w:pPr>
        <w:pStyle w:val="Heading2"/>
        <w:spacing w:after="160" w:before="300"/>
      </w:pPr>
      <w:r>
        <w:rPr>
          <w:rFonts w:ascii="Arial" w:cs="Arial" w:eastAsia="Arial" w:hAnsi="Arial"/>
          <w:b/>
          <w:bCs/>
          <w:color w:val="0B6E4F"/>
          <w:sz w:val="24"/>
          <w:szCs w:val="24"/>
        </w:rPr>
        <w:t xml:space="preserve">7.3 Consumer Protection</w:t>
      </w:r>
    </w:p>
    <w:p>
      <w:pPr>
        <w:pStyle w:val="ListParagraph"/>
        <w:numPr>
          <w:ilvl w:val="0"/>
          <w:numId w:val="2"/>
        </w:numPr>
        <w:spacing w:after="80" w:line="276"/>
      </w:pPr>
      <w:r>
        <w:rPr>
          <w:rFonts w:ascii="Arial" w:cs="Arial" w:eastAsia="Arial" w:hAnsi="Arial"/>
          <w:color w:val="333333"/>
          <w:sz w:val="20"/>
          <w:szCs w:val="20"/>
        </w:rPr>
        <w:t xml:space="preserve">The Sale of Goods and Supply of Services Act, 2018 provides basic consumer protections.</w:t>
      </w:r>
    </w:p>
    <w:p>
      <w:pPr>
        <w:pStyle w:val="ListParagraph"/>
        <w:numPr>
          <w:ilvl w:val="0"/>
          <w:numId w:val="2"/>
        </w:numPr>
        <w:spacing w:after="80" w:line="276"/>
      </w:pPr>
      <w:r>
        <w:rPr>
          <w:rFonts w:ascii="Arial" w:cs="Arial" w:eastAsia="Arial" w:hAnsi="Arial"/>
          <w:color w:val="333333"/>
          <w:sz w:val="20"/>
          <w:szCs w:val="20"/>
        </w:rPr>
        <w:t xml:space="preserve">The Uganda Communications Act, 2013 regulates electronic communications and online services.</w:t>
      </w:r>
    </w:p>
    <w:p>
      <w:pPr>
        <w:pStyle w:val="ListParagraph"/>
        <w:numPr>
          <w:ilvl w:val="0"/>
          <w:numId w:val="2"/>
        </w:numPr>
        <w:spacing w:after="80" w:line="276"/>
      </w:pPr>
      <w:r>
        <w:rPr>
          <w:rFonts w:ascii="Arial" w:cs="Arial" w:eastAsia="Arial" w:hAnsi="Arial"/>
          <w:color w:val="333333"/>
          <w:sz w:val="20"/>
          <w:szCs w:val="20"/>
        </w:rPr>
        <w:t xml:space="preserve">Evidence disclaimer must be prominently displayed: inspections are visual checks, not professional assessments or investment advice.</w:t>
      </w:r>
    </w:p>
    <w:p>
      <w:pPr>
        <w:pStyle w:val="ListParagraph"/>
        <w:numPr>
          <w:ilvl w:val="0"/>
          <w:numId w:val="2"/>
        </w:numPr>
        <w:spacing w:after="80" w:line="276"/>
      </w:pPr>
      <w:r>
        <w:rPr>
          <w:rFonts w:ascii="Arial" w:cs="Arial" w:eastAsia="Arial" w:hAnsi="Arial"/>
          <w:color w:val="333333"/>
          <w:sz w:val="20"/>
          <w:szCs w:val="20"/>
        </w:rPr>
        <w:t xml:space="preserve">Refund and dispute resolution policies must be clearly communicated before task payment.</w:t>
      </w:r>
    </w:p>
    <w:p>
      <w:pPr>
        <w:spacing w:after="0"/>
      </w:pPr>
    </w:p>
    <w:p>
      <w:pPr>
        <w:pStyle w:val="Heading2"/>
        <w:spacing w:after="160" w:before="300"/>
      </w:pPr>
      <w:r>
        <w:rPr>
          <w:rFonts w:ascii="Arial" w:cs="Arial" w:eastAsia="Arial" w:hAnsi="Arial"/>
          <w:b/>
          <w:bCs/>
          <w:color w:val="0B6E4F"/>
          <w:sz w:val="24"/>
          <w:szCs w:val="24"/>
        </w:rPr>
        <w:t xml:space="preserve">7.4 Anti-Money Laundering</w:t>
      </w:r>
    </w:p>
    <w:p>
      <w:pPr>
        <w:pStyle w:val="ListParagraph"/>
        <w:numPr>
          <w:ilvl w:val="0"/>
          <w:numId w:val="2"/>
        </w:numPr>
        <w:spacing w:after="80" w:line="276"/>
      </w:pPr>
      <w:r>
        <w:rPr>
          <w:rFonts w:ascii="Arial" w:cs="Arial" w:eastAsia="Arial" w:hAnsi="Arial"/>
          <w:color w:val="333333"/>
          <w:sz w:val="20"/>
          <w:szCs w:val="20"/>
        </w:rPr>
        <w:t xml:space="preserve">The Anti-Money Laundering Act, 2013 (AMLA) applies to 'accountable persons' including financial institutions and designated non-financial businesses.</w:t>
      </w:r>
    </w:p>
    <w:p>
      <w:pPr>
        <w:pStyle w:val="ListParagraph"/>
        <w:numPr>
          <w:ilvl w:val="0"/>
          <w:numId w:val="2"/>
        </w:numPr>
        <w:spacing w:after="80" w:line="276"/>
      </w:pPr>
      <w:r>
        <w:rPr>
          <w:rFonts w:ascii="Arial" w:cs="Arial" w:eastAsia="Arial" w:hAnsi="Arial"/>
          <w:color w:val="333333"/>
          <w:sz w:val="20"/>
          <w:szCs w:val="20"/>
        </w:rPr>
        <w:t xml:space="preserve">If EyeOnSite's escrow mechanism is deemed a financial service, AML obligations may apply — including customer due diligence (CDD), suspicious transaction reporting, and record retention for 11 years.</w:t>
      </w:r>
    </w:p>
    <w:p>
      <w:pPr>
        <w:pStyle w:val="ListParagraph"/>
        <w:numPr>
          <w:ilvl w:val="0"/>
          <w:numId w:val="2"/>
        </w:numPr>
        <w:spacing w:after="80" w:line="276"/>
      </w:pPr>
      <w:r>
        <w:rPr>
          <w:rFonts w:ascii="Arial" w:cs="Arial" w:eastAsia="Arial" w:hAnsi="Arial"/>
          <w:color w:val="333333"/>
          <w:sz w:val="20"/>
          <w:szCs w:val="20"/>
        </w:rPr>
        <w:t xml:space="preserve">Smile ID's KYC verification for inspectors partially satisfies CDD requirements.</w:t>
      </w:r>
    </w:p>
    <w:p>
      <w:pPr>
        <w:pStyle w:val="ListParagraph"/>
        <w:numPr>
          <w:ilvl w:val="0"/>
          <w:numId w:val="2"/>
        </w:numPr>
        <w:spacing w:after="80" w:line="276"/>
      </w:pPr>
      <w:r>
        <w:rPr>
          <w:rFonts w:ascii="Arial" w:cs="Arial" w:eastAsia="Arial" w:hAnsi="Arial"/>
          <w:color w:val="333333"/>
          <w:sz w:val="20"/>
          <w:szCs w:val="20"/>
        </w:rPr>
        <w:t xml:space="preserve">Risk level: LOW at V1 volumes. MEDIUM if processing &gt;$100K/month through the platform.</w:t>
      </w:r>
    </w:p>
    <w:p>
      <w:pPr>
        <w:pStyle w:val="Heading1"/>
        <w:spacing w:after="200" w:before="400"/>
      </w:pPr>
      <w:r>
        <w:rPr>
          <w:rFonts w:ascii="Arial" w:cs="Arial" w:eastAsia="Arial" w:hAnsi="Arial"/>
          <w:b/>
          <w:bCs/>
          <w:color w:val="022B1E"/>
          <w:sz w:val="28"/>
          <w:szCs w:val="28"/>
        </w:rPr>
        <w:t xml:space="preserve">8. Existing Uganda Ventures — Interaction with EyeOnSite</w:t>
      </w:r>
    </w:p>
    <w:p>
      <w:pPr>
        <w:spacing w:after="140" w:line="276"/>
      </w:pPr>
      <w:r>
        <w:rPr>
          <w:rFonts w:ascii="Arial" w:cs="Arial" w:eastAsia="Arial" w:hAnsi="Arial"/>
          <w:color w:val="333333"/>
          <w:sz w:val="20"/>
          <w:szCs w:val="20"/>
        </w:rPr>
        <w:t xml:space="preserve">Maku Mazakpe holds existing business relationships in Uganda that must be cleanly separated from EyeOnSite.</w:t>
      </w:r>
    </w:p>
    <w:p>
      <w:pPr>
        <w:spacing w:after="0"/>
      </w:pPr>
    </w:p>
    <w:p>
      <w:pPr>
        <w:pStyle w:val="Heading2"/>
        <w:spacing w:after="160" w:before="300"/>
      </w:pPr>
      <w:r>
        <w:rPr>
          <w:rFonts w:ascii="Arial" w:cs="Arial" w:eastAsia="Arial" w:hAnsi="Arial"/>
          <w:b/>
          <w:bCs/>
          <w:color w:val="0B6E4F"/>
          <w:sz w:val="24"/>
          <w:szCs w:val="24"/>
        </w:rPr>
        <w:t xml:space="preserve">8.1 Athlete + Her</w:t>
      </w:r>
    </w:p>
    <w:p>
      <w:pPr>
        <w:pStyle w:val="ListParagraph"/>
        <w:numPr>
          <w:ilvl w:val="0"/>
          <w:numId w:val="2"/>
        </w:numPr>
        <w:spacing w:after="80" w:line="276"/>
      </w:pPr>
      <w:r>
        <w:rPr>
          <w:rFonts w:ascii="Arial" w:cs="Arial" w:eastAsia="Arial" w:hAnsi="Arial"/>
          <w:color w:val="333333"/>
          <w:sz w:val="20"/>
          <w:szCs w:val="20"/>
        </w:rPr>
        <w:t xml:space="preserve">Maku holds 30% equity as Head of Technology via a GapSense licensing arrangement (Uganda-only, student-athlete vertical).</w:t>
      </w:r>
    </w:p>
    <w:p>
      <w:pPr>
        <w:pStyle w:val="ListParagraph"/>
        <w:numPr>
          <w:ilvl w:val="0"/>
          <w:numId w:val="2"/>
        </w:numPr>
        <w:spacing w:after="80" w:line="276"/>
      </w:pPr>
      <w:r>
        <w:rPr>
          <w:rFonts w:ascii="Arial" w:cs="Arial" w:eastAsia="Arial" w:hAnsi="Arial"/>
          <w:color w:val="333333"/>
          <w:sz w:val="20"/>
          <w:szCs w:val="20"/>
        </w:rPr>
        <w:t xml:space="preserve">EyeOnSite Uganda Ltd must be a completely separate entity from Athlete + Her.</w:t>
      </w:r>
    </w:p>
    <w:p>
      <w:pPr>
        <w:pStyle w:val="ListParagraph"/>
        <w:numPr>
          <w:ilvl w:val="0"/>
          <w:numId w:val="2"/>
        </w:numPr>
        <w:spacing w:after="80" w:line="276"/>
      </w:pPr>
      <w:r>
        <w:rPr>
          <w:rFonts w:ascii="Arial" w:cs="Arial" w:eastAsia="Arial" w:hAnsi="Arial"/>
          <w:color w:val="333333"/>
          <w:sz w:val="20"/>
          <w:szCs w:val="20"/>
        </w:rPr>
        <w:t xml:space="preserve">No shared employees, bank accounts, or IP between the two ventures.</w:t>
      </w:r>
    </w:p>
    <w:p>
      <w:pPr>
        <w:pStyle w:val="ListParagraph"/>
        <w:numPr>
          <w:ilvl w:val="0"/>
          <w:numId w:val="2"/>
        </w:numPr>
        <w:spacing w:after="80" w:line="276"/>
      </w:pPr>
      <w:r>
        <w:rPr>
          <w:rFonts w:ascii="Arial" w:cs="Arial" w:eastAsia="Arial" w:hAnsi="Arial"/>
          <w:color w:val="333333"/>
          <w:sz w:val="20"/>
          <w:szCs w:val="20"/>
        </w:rPr>
        <w:t xml:space="preserve">If using the same registered office address, ensure each entity has its own distinct tax registration and filing.</w:t>
      </w:r>
    </w:p>
    <w:p>
      <w:pPr>
        <w:spacing w:after="0"/>
      </w:pPr>
    </w:p>
    <w:p>
      <w:pPr>
        <w:pStyle w:val="Heading2"/>
        <w:spacing w:after="160" w:before="300"/>
      </w:pPr>
      <w:r>
        <w:rPr>
          <w:rFonts w:ascii="Arial" w:cs="Arial" w:eastAsia="Arial" w:hAnsi="Arial"/>
          <w:b/>
          <w:bCs/>
          <w:color w:val="0B6E4F"/>
          <w:sz w:val="24"/>
          <w:szCs w:val="24"/>
        </w:rPr>
        <w:t xml:space="preserve">8.2 GapSense</w:t>
      </w:r>
    </w:p>
    <w:p>
      <w:pPr>
        <w:pStyle w:val="ListParagraph"/>
        <w:numPr>
          <w:ilvl w:val="0"/>
          <w:numId w:val="2"/>
        </w:numPr>
        <w:spacing w:after="80" w:line="276"/>
      </w:pPr>
      <w:r>
        <w:rPr>
          <w:rFonts w:ascii="Arial" w:cs="Arial" w:eastAsia="Arial" w:hAnsi="Arial"/>
          <w:color w:val="333333"/>
          <w:sz w:val="20"/>
          <w:szCs w:val="20"/>
        </w:rPr>
        <w:t xml:space="preserve">GapSense IP is owned by Manti Labs. The Uganda license is specific to Athlete + Her.</w:t>
      </w:r>
    </w:p>
    <w:p>
      <w:pPr>
        <w:pStyle w:val="ListParagraph"/>
        <w:numPr>
          <w:ilvl w:val="0"/>
          <w:numId w:val="2"/>
        </w:numPr>
        <w:spacing w:after="80" w:line="276"/>
      </w:pPr>
      <w:r>
        <w:rPr>
          <w:rFonts w:ascii="Arial" w:cs="Arial" w:eastAsia="Arial" w:hAnsi="Arial"/>
          <w:color w:val="333333"/>
          <w:sz w:val="20"/>
          <w:szCs w:val="20"/>
        </w:rPr>
        <w:t xml:space="preserve">No overlap between GapSense (education technology) and EyeOnSite (verification marketplace) — clean separation exists naturally.</w:t>
      </w:r>
    </w:p>
    <w:p>
      <w:pPr>
        <w:pStyle w:val="ListParagraph"/>
        <w:numPr>
          <w:ilvl w:val="0"/>
          <w:numId w:val="2"/>
        </w:numPr>
        <w:spacing w:after="80" w:line="276"/>
      </w:pPr>
      <w:r>
        <w:rPr>
          <w:rFonts w:ascii="Arial" w:cs="Arial" w:eastAsia="Arial" w:hAnsi="Arial"/>
          <w:color w:val="333333"/>
          <w:sz w:val="20"/>
          <w:szCs w:val="20"/>
        </w:rPr>
        <w:t xml:space="preserve">Ensure the EyeOnSite Uganda Ltd Memorandum of Association clearly states the company's objects as technology marketplace / verification services, not education.</w:t>
      </w:r>
    </w:p>
    <w:p>
      <w:pPr>
        <w:spacing w:after="0"/>
      </w:pPr>
    </w:p>
    <w:p>
      <w:pPr>
        <w:pBdr>
          <w:left w:val="single" w:color="3B82F6" w:sz="12" w:space="8"/>
        </w:pBdr>
        <w:shd w:fill="EFF6FF" w:val="clear"/>
        <w:spacing w:after="200" w:before="120"/>
      </w:pPr>
      <w:r>
        <w:rPr>
          <w:rFonts w:ascii="Arial" w:cs="Arial" w:eastAsia="Arial" w:hAnsi="Arial"/>
          <w:color w:val="333333"/>
          <w:sz w:val="20"/>
          <w:szCs w:val="20"/>
        </w:rPr>
        <w:t xml:space="preserve">Clean entity separation protects all ventures. If EyeOnSite Uganda faces a legal claim, Athlete + Her and GapSense assets are not at risk (and vice versa). This is the primary reason for incorporating EyeOnSite as a separate Ugandan entity rather than operating under Manti Labs Africa.</w:t>
      </w:r>
    </w:p>
    <w:p>
      <w:pPr>
        <w:pStyle w:val="Heading1"/>
        <w:spacing w:after="200" w:before="400"/>
      </w:pPr>
      <w:r>
        <w:rPr>
          <w:rFonts w:ascii="Arial" w:cs="Arial" w:eastAsia="Arial" w:hAnsi="Arial"/>
          <w:b/>
          <w:bCs/>
          <w:color w:val="022B1E"/>
          <w:sz w:val="28"/>
          <w:szCs w:val="28"/>
        </w:rPr>
        <w:t xml:space="preserve">9. Uganda Compliance Action Plan</w:t>
      </w:r>
    </w:p>
    <w:p>
      <w:pPr>
        <w:spacing w:after="0"/>
      </w:pPr>
    </w:p>
    <w:p>
      <w:pPr>
        <w:pStyle w:val="Heading2"/>
        <w:spacing w:after="160" w:before="300"/>
      </w:pPr>
      <w:r>
        <w:rPr>
          <w:rFonts w:ascii="Arial" w:cs="Arial" w:eastAsia="Arial" w:hAnsi="Arial"/>
          <w:b/>
          <w:bCs/>
          <w:color w:val="0B6E4F"/>
          <w:sz w:val="24"/>
          <w:szCs w:val="24"/>
        </w:rPr>
        <w:t xml:space="preserve">9.1 Phase 1 — Before Market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600"/>
            <w:shd w:fill="022B1E" w:val="clear"/>
          </w:tcPr>
          <w:p>
            <w:pPr>
              <w:spacing w:after="0"/>
            </w:pPr>
            <w:r>
              <w:rPr>
                <w:rFonts w:ascii="Arial" w:cs="Arial" w:eastAsia="Arial" w:hAnsi="Arial"/>
                <w:b/>
                <w:bCs/>
                <w:color w:val="FFFFFF"/>
                <w:sz w:val="18"/>
                <w:szCs w:val="18"/>
              </w:rPr>
              <w:t xml:space="preserve">Action</w:t>
            </w:r>
          </w:p>
        </w:tc>
        <w:tc>
          <w:tcPr>
            <w:tcW w:type="dxa" w:w="1800"/>
            <w:shd w:fill="022B1E" w:val="clear"/>
          </w:tcPr>
          <w:p>
            <w:pPr>
              <w:spacing w:after="0"/>
            </w:pPr>
            <w:r>
              <w:rPr>
                <w:rFonts w:ascii="Arial" w:cs="Arial" w:eastAsia="Arial" w:hAnsi="Arial"/>
                <w:b/>
                <w:bCs/>
                <w:color w:val="FFFFFF"/>
                <w:sz w:val="18"/>
                <w:szCs w:val="18"/>
              </w:rPr>
              <w:t xml:space="preserve">Authority</w:t>
            </w:r>
          </w:p>
        </w:tc>
        <w:tc>
          <w:tcPr>
            <w:tcW w:type="dxa" w:w="1500"/>
            <w:shd w:fill="022B1E" w:val="clear"/>
          </w:tcPr>
          <w:p>
            <w:pPr>
              <w:spacing w:after="0"/>
            </w:pPr>
            <w:r>
              <w:rPr>
                <w:rFonts w:ascii="Arial" w:cs="Arial" w:eastAsia="Arial" w:hAnsi="Arial"/>
                <w:b/>
                <w:bCs/>
                <w:color w:val="FFFFFF"/>
                <w:sz w:val="18"/>
                <w:szCs w:val="18"/>
              </w:rPr>
              <w:t xml:space="preserve">Est. Cost</w:t>
            </w:r>
          </w:p>
        </w:tc>
        <w:tc>
          <w:tcPr>
            <w:tcW w:type="dxa" w:w="1200"/>
            <w:shd w:fill="022B1E" w:val="clear"/>
          </w:tcPr>
          <w:p>
            <w:pPr>
              <w:spacing w:after="0"/>
            </w:pPr>
            <w:r>
              <w:rPr>
                <w:rFonts w:ascii="Arial" w:cs="Arial" w:eastAsia="Arial" w:hAnsi="Arial"/>
                <w:b/>
                <w:bCs/>
                <w:color w:val="FFFFFF"/>
                <w:sz w:val="18"/>
                <w:szCs w:val="18"/>
              </w:rPr>
              <w:t xml:space="preserve">Timeline</w:t>
            </w:r>
          </w:p>
        </w:tc>
        <w:tc>
          <w:tcPr>
            <w:tcW w:type="dxa" w:w="2260"/>
            <w:shd w:fill="022B1E" w:val="clear"/>
          </w:tcPr>
          <w:p>
            <w:pPr>
              <w:spacing w:after="0"/>
            </w:pPr>
            <w:r>
              <w:rPr>
                <w:rFonts w:ascii="Arial" w:cs="Arial" w:eastAsia="Arial" w:hAnsi="Arial"/>
                <w:b/>
                <w:bCs/>
                <w:color w:val="FFFFFF"/>
                <w:sz w:val="18"/>
                <w:szCs w:val="18"/>
              </w:rPr>
              <w:t xml:space="preserve">Priority</w:t>
            </w:r>
          </w:p>
        </w:tc>
      </w:tr>
      <w:tr>
        <w:tc>
          <w:tcPr>
            <w:tcW w:type="dxa" w:w="2600"/>
            <w:shd w:fill="F5F4F0" w:val="clear"/>
          </w:tcPr>
          <w:p>
            <w:pPr>
              <w:spacing w:after="0"/>
            </w:pPr>
            <w:r>
              <w:rPr>
                <w:rFonts w:ascii="Arial" w:cs="Arial" w:eastAsia="Arial" w:hAnsi="Arial"/>
                <w:color w:val="333333"/>
                <w:sz w:val="18"/>
                <w:szCs w:val="18"/>
              </w:rPr>
              <w:t xml:space="preserve">Reserve company name (3 options)</w:t>
            </w:r>
          </w:p>
        </w:tc>
        <w:tc>
          <w:tcPr>
            <w:tcW w:type="dxa" w:w="1800"/>
            <w:shd w:fill="F5F4F0" w:val="clear"/>
          </w:tcPr>
          <w:p>
            <w:pPr>
              <w:spacing w:after="0"/>
            </w:pPr>
            <w:r>
              <w:rPr>
                <w:rFonts w:ascii="Arial" w:cs="Arial" w:eastAsia="Arial" w:hAnsi="Arial"/>
                <w:color w:val="333333"/>
                <w:sz w:val="18"/>
                <w:szCs w:val="18"/>
              </w:rPr>
              <w:t xml:space="preserve">URSB</w:t>
            </w:r>
          </w:p>
        </w:tc>
        <w:tc>
          <w:tcPr>
            <w:tcW w:type="dxa" w:w="1500"/>
            <w:shd w:fill="F5F4F0" w:val="clear"/>
          </w:tcPr>
          <w:p>
            <w:pPr>
              <w:spacing w:after="0"/>
            </w:pPr>
            <w:r>
              <w:rPr>
                <w:rFonts w:ascii="Arial" w:cs="Arial" w:eastAsia="Arial" w:hAnsi="Arial"/>
                <w:color w:val="333333"/>
                <w:sz w:val="18"/>
                <w:szCs w:val="18"/>
              </w:rPr>
              <w:t xml:space="preserve">UGX 35,000 (~$9)</w:t>
            </w:r>
          </w:p>
        </w:tc>
        <w:tc>
          <w:tcPr>
            <w:tcW w:type="dxa" w:w="1200"/>
            <w:shd w:fill="F5F4F0" w:val="clear"/>
          </w:tcPr>
          <w:p>
            <w:pPr>
              <w:spacing w:after="0"/>
            </w:pPr>
            <w:r>
              <w:rPr>
                <w:rFonts w:ascii="Arial" w:cs="Arial" w:eastAsia="Arial" w:hAnsi="Arial"/>
                <w:color w:val="333333"/>
                <w:sz w:val="18"/>
                <w:szCs w:val="18"/>
              </w:rPr>
              <w:t xml:space="preserve">1-3 days</w:t>
            </w:r>
          </w:p>
        </w:tc>
        <w:tc>
          <w:tcPr>
            <w:tcW w:type="dxa" w:w="2260"/>
            <w:shd w:fill="F5F4F0" w:val="clear"/>
          </w:tcPr>
          <w:p>
            <w:pPr>
              <w:spacing w:after="0"/>
            </w:pPr>
            <w:r>
              <w:rPr>
                <w:rFonts w:ascii="Arial" w:cs="Arial" w:eastAsia="Arial" w:hAnsi="Arial"/>
                <w:color w:val="333333"/>
                <w:sz w:val="18"/>
                <w:szCs w:val="18"/>
              </w:rPr>
              <w:t xml:space="preserve">CRITICAL</w:t>
            </w:r>
          </w:p>
        </w:tc>
      </w:tr>
      <w:tr>
        <w:tc>
          <w:tcPr>
            <w:tcW w:type="dxa" w:w="2600"/>
            <w:shd w:fill="FFFFFF" w:val="clear"/>
          </w:tcPr>
          <w:p>
            <w:pPr>
              <w:spacing w:after="0"/>
            </w:pPr>
            <w:r>
              <w:rPr>
                <w:rFonts w:ascii="Arial" w:cs="Arial" w:eastAsia="Arial" w:hAnsi="Arial"/>
                <w:color w:val="333333"/>
                <w:sz w:val="18"/>
                <w:szCs w:val="18"/>
              </w:rPr>
              <w:t xml:space="preserve">Incorporate EyeOnSite Uganda Ltd</w:t>
            </w:r>
          </w:p>
        </w:tc>
        <w:tc>
          <w:tcPr>
            <w:tcW w:type="dxa" w:w="1800"/>
            <w:shd w:fill="FFFFFF" w:val="clear"/>
          </w:tcPr>
          <w:p>
            <w:pPr>
              <w:spacing w:after="0"/>
            </w:pPr>
            <w:r>
              <w:rPr>
                <w:rFonts w:ascii="Arial" w:cs="Arial" w:eastAsia="Arial" w:hAnsi="Arial"/>
                <w:color w:val="333333"/>
                <w:sz w:val="18"/>
                <w:szCs w:val="18"/>
              </w:rPr>
              <w:t xml:space="preserve">URSB</w:t>
            </w:r>
          </w:p>
        </w:tc>
        <w:tc>
          <w:tcPr>
            <w:tcW w:type="dxa" w:w="1500"/>
            <w:shd w:fill="FFFFFF" w:val="clear"/>
          </w:tcPr>
          <w:p>
            <w:pPr>
              <w:spacing w:after="0"/>
            </w:pPr>
            <w:r>
              <w:rPr>
                <w:rFonts w:ascii="Arial" w:cs="Arial" w:eastAsia="Arial" w:hAnsi="Arial"/>
                <w:color w:val="333333"/>
                <w:sz w:val="18"/>
                <w:szCs w:val="18"/>
              </w:rPr>
              <w:t xml:space="preserve">~$220-380 total</w:t>
            </w:r>
          </w:p>
        </w:tc>
        <w:tc>
          <w:tcPr>
            <w:tcW w:type="dxa" w:w="1200"/>
            <w:shd w:fill="FFFFFF" w:val="clear"/>
          </w:tcPr>
          <w:p>
            <w:pPr>
              <w:spacing w:after="0"/>
            </w:pPr>
            <w:r>
              <w:rPr>
                <w:rFonts w:ascii="Arial" w:cs="Arial" w:eastAsia="Arial" w:hAnsi="Arial"/>
                <w:color w:val="333333"/>
                <w:sz w:val="18"/>
                <w:szCs w:val="18"/>
              </w:rPr>
              <w:t xml:space="preserve">2-4 weeks</w:t>
            </w:r>
          </w:p>
        </w:tc>
        <w:tc>
          <w:tcPr>
            <w:tcW w:type="dxa" w:w="2260"/>
            <w:shd w:fill="FFFFFF" w:val="clear"/>
          </w:tcPr>
          <w:p>
            <w:pPr>
              <w:spacing w:after="0"/>
            </w:pPr>
            <w:r>
              <w:rPr>
                <w:rFonts w:ascii="Arial" w:cs="Arial" w:eastAsia="Arial" w:hAnsi="Arial"/>
                <w:color w:val="333333"/>
                <w:sz w:val="18"/>
                <w:szCs w:val="18"/>
              </w:rPr>
              <w:t xml:space="preserve">CRITICAL</w:t>
            </w:r>
          </w:p>
        </w:tc>
      </w:tr>
      <w:tr>
        <w:tc>
          <w:tcPr>
            <w:tcW w:type="dxa" w:w="2600"/>
            <w:shd w:fill="F5F4F0" w:val="clear"/>
          </w:tcPr>
          <w:p>
            <w:pPr>
              <w:spacing w:after="0"/>
            </w:pPr>
            <w:r>
              <w:rPr>
                <w:rFonts w:ascii="Arial" w:cs="Arial" w:eastAsia="Arial" w:hAnsi="Arial"/>
                <w:color w:val="333333"/>
                <w:sz w:val="18"/>
                <w:szCs w:val="18"/>
              </w:rPr>
              <w:t xml:space="preserve">Obtain TIN</w:t>
            </w:r>
          </w:p>
        </w:tc>
        <w:tc>
          <w:tcPr>
            <w:tcW w:type="dxa" w:w="1800"/>
            <w:shd w:fill="F5F4F0" w:val="clear"/>
          </w:tcPr>
          <w:p>
            <w:pPr>
              <w:spacing w:after="0"/>
            </w:pPr>
            <w:r>
              <w:rPr>
                <w:rFonts w:ascii="Arial" w:cs="Arial" w:eastAsia="Arial" w:hAnsi="Arial"/>
                <w:color w:val="333333"/>
                <w:sz w:val="18"/>
                <w:szCs w:val="18"/>
              </w:rPr>
              <w:t xml:space="preserve">URA</w:t>
            </w:r>
          </w:p>
        </w:tc>
        <w:tc>
          <w:tcPr>
            <w:tcW w:type="dxa" w:w="1500"/>
            <w:shd w:fill="F5F4F0" w:val="clear"/>
          </w:tcPr>
          <w:p>
            <w:pPr>
              <w:spacing w:after="0"/>
            </w:pPr>
            <w:r>
              <w:rPr>
                <w:rFonts w:ascii="Arial" w:cs="Arial" w:eastAsia="Arial" w:hAnsi="Arial"/>
                <w:color w:val="333333"/>
                <w:sz w:val="18"/>
                <w:szCs w:val="18"/>
              </w:rPr>
              <w:t xml:space="preserve">Free</w:t>
            </w:r>
          </w:p>
        </w:tc>
        <w:tc>
          <w:tcPr>
            <w:tcW w:type="dxa" w:w="1200"/>
            <w:shd w:fill="F5F4F0" w:val="clear"/>
          </w:tcPr>
          <w:p>
            <w:pPr>
              <w:spacing w:after="0"/>
            </w:pPr>
            <w:r>
              <w:rPr>
                <w:rFonts w:ascii="Arial" w:cs="Arial" w:eastAsia="Arial" w:hAnsi="Arial"/>
                <w:color w:val="333333"/>
                <w:sz w:val="18"/>
                <w:szCs w:val="18"/>
              </w:rPr>
              <w:t xml:space="preserve">1 week</w:t>
            </w:r>
          </w:p>
        </w:tc>
        <w:tc>
          <w:tcPr>
            <w:tcW w:type="dxa" w:w="2260"/>
            <w:shd w:fill="F5F4F0" w:val="clear"/>
          </w:tcPr>
          <w:p>
            <w:pPr>
              <w:spacing w:after="0"/>
            </w:pPr>
            <w:r>
              <w:rPr>
                <w:rFonts w:ascii="Arial" w:cs="Arial" w:eastAsia="Arial" w:hAnsi="Arial"/>
                <w:color w:val="333333"/>
                <w:sz w:val="18"/>
                <w:szCs w:val="18"/>
              </w:rPr>
              <w:t xml:space="preserve">CRITICAL</w:t>
            </w:r>
          </w:p>
        </w:tc>
      </w:tr>
      <w:tr>
        <w:tc>
          <w:tcPr>
            <w:tcW w:type="dxa" w:w="2600"/>
            <w:shd w:fill="FFFFFF" w:val="clear"/>
          </w:tcPr>
          <w:p>
            <w:pPr>
              <w:spacing w:after="0"/>
            </w:pPr>
            <w:r>
              <w:rPr>
                <w:rFonts w:ascii="Arial" w:cs="Arial" w:eastAsia="Arial" w:hAnsi="Arial"/>
                <w:color w:val="333333"/>
                <w:sz w:val="18"/>
                <w:szCs w:val="18"/>
              </w:rPr>
              <w:t xml:space="preserve">Register with PDPO as data controller</w:t>
            </w:r>
          </w:p>
        </w:tc>
        <w:tc>
          <w:tcPr>
            <w:tcW w:type="dxa" w:w="1800"/>
            <w:shd w:fill="FFFFFF" w:val="clear"/>
          </w:tcPr>
          <w:p>
            <w:pPr>
              <w:spacing w:after="0"/>
            </w:pPr>
            <w:r>
              <w:rPr>
                <w:rFonts w:ascii="Arial" w:cs="Arial" w:eastAsia="Arial" w:hAnsi="Arial"/>
                <w:color w:val="333333"/>
                <w:sz w:val="18"/>
                <w:szCs w:val="18"/>
              </w:rPr>
              <w:t xml:space="preserve">PDPO/NITA</w:t>
            </w:r>
          </w:p>
        </w:tc>
        <w:tc>
          <w:tcPr>
            <w:tcW w:type="dxa" w:w="1500"/>
            <w:shd w:fill="FFFFFF" w:val="clear"/>
          </w:tcPr>
          <w:p>
            <w:pPr>
              <w:spacing w:after="0"/>
            </w:pPr>
            <w:r>
              <w:rPr>
                <w:rFonts w:ascii="Arial" w:cs="Arial" w:eastAsia="Arial" w:hAnsi="Arial"/>
                <w:color w:val="333333"/>
                <w:sz w:val="18"/>
                <w:szCs w:val="18"/>
              </w:rPr>
              <w:t xml:space="preserve">UGX 100,000 (~$27)</w:t>
            </w:r>
          </w:p>
        </w:tc>
        <w:tc>
          <w:tcPr>
            <w:tcW w:type="dxa" w:w="1200"/>
            <w:shd w:fill="FFFFFF" w:val="clear"/>
          </w:tcPr>
          <w:p>
            <w:pPr>
              <w:spacing w:after="0"/>
            </w:pPr>
            <w:r>
              <w:rPr>
                <w:rFonts w:ascii="Arial" w:cs="Arial" w:eastAsia="Arial" w:hAnsi="Arial"/>
                <w:color w:val="333333"/>
                <w:sz w:val="18"/>
                <w:szCs w:val="18"/>
              </w:rPr>
              <w:t xml:space="preserve">2-4 weeks</w:t>
            </w:r>
          </w:p>
        </w:tc>
        <w:tc>
          <w:tcPr>
            <w:tcW w:type="dxa" w:w="2260"/>
            <w:shd w:fill="FFFFFF" w:val="clear"/>
          </w:tcPr>
          <w:p>
            <w:pPr>
              <w:spacing w:after="0"/>
            </w:pPr>
            <w:r>
              <w:rPr>
                <w:rFonts w:ascii="Arial" w:cs="Arial" w:eastAsia="Arial" w:hAnsi="Arial"/>
                <w:color w:val="333333"/>
                <w:sz w:val="18"/>
                <w:szCs w:val="18"/>
              </w:rPr>
              <w:t xml:space="preserve">CRITICAL</w:t>
            </w:r>
          </w:p>
        </w:tc>
      </w:tr>
      <w:tr>
        <w:tc>
          <w:tcPr>
            <w:tcW w:type="dxa" w:w="2600"/>
            <w:shd w:fill="F5F4F0" w:val="clear"/>
          </w:tcPr>
          <w:p>
            <w:pPr>
              <w:spacing w:after="0"/>
            </w:pPr>
            <w:r>
              <w:rPr>
                <w:rFonts w:ascii="Arial" w:cs="Arial" w:eastAsia="Arial" w:hAnsi="Arial"/>
                <w:color w:val="333333"/>
                <w:sz w:val="18"/>
                <w:szCs w:val="18"/>
              </w:rPr>
              <w:t xml:space="preserve">Appoint DPO (Maku Mazakpe initially)</w:t>
            </w:r>
          </w:p>
        </w:tc>
        <w:tc>
          <w:tcPr>
            <w:tcW w:type="dxa" w:w="1800"/>
            <w:shd w:fill="F5F4F0" w:val="clear"/>
          </w:tcPr>
          <w:p>
            <w:pPr>
              <w:spacing w:after="0"/>
            </w:pPr>
            <w:r>
              <w:rPr>
                <w:rFonts w:ascii="Arial" w:cs="Arial" w:eastAsia="Arial" w:hAnsi="Arial"/>
                <w:color w:val="333333"/>
                <w:sz w:val="18"/>
                <w:szCs w:val="18"/>
              </w:rPr>
              <w:t xml:space="preserve">Internal</w:t>
            </w:r>
          </w:p>
        </w:tc>
        <w:tc>
          <w:tcPr>
            <w:tcW w:type="dxa" w:w="1500"/>
            <w:shd w:fill="F5F4F0" w:val="clear"/>
          </w:tcPr>
          <w:p>
            <w:pPr>
              <w:spacing w:after="0"/>
            </w:pPr>
            <w:r>
              <w:rPr>
                <w:rFonts w:ascii="Arial" w:cs="Arial" w:eastAsia="Arial" w:hAnsi="Arial"/>
                <w:color w:val="333333"/>
                <w:sz w:val="18"/>
                <w:szCs w:val="18"/>
              </w:rPr>
              <w:t xml:space="preserve">$0</w:t>
            </w:r>
          </w:p>
        </w:tc>
        <w:tc>
          <w:tcPr>
            <w:tcW w:type="dxa" w:w="1200"/>
            <w:shd w:fill="F5F4F0" w:val="clear"/>
          </w:tcPr>
          <w:p>
            <w:pPr>
              <w:spacing w:after="0"/>
            </w:pPr>
            <w:r>
              <w:rPr>
                <w:rFonts w:ascii="Arial" w:cs="Arial" w:eastAsia="Arial" w:hAnsi="Arial"/>
                <w:color w:val="333333"/>
                <w:sz w:val="18"/>
                <w:szCs w:val="18"/>
              </w:rPr>
              <w:t xml:space="preserve">Immediate</w:t>
            </w:r>
          </w:p>
        </w:tc>
        <w:tc>
          <w:tcPr>
            <w:tcW w:type="dxa" w:w="2260"/>
            <w:shd w:fill="F5F4F0" w:val="clear"/>
          </w:tcPr>
          <w:p>
            <w:pPr>
              <w:spacing w:after="0"/>
            </w:pPr>
            <w:r>
              <w:rPr>
                <w:rFonts w:ascii="Arial" w:cs="Arial" w:eastAsia="Arial" w:hAnsi="Arial"/>
                <w:color w:val="333333"/>
                <w:sz w:val="18"/>
                <w:szCs w:val="18"/>
              </w:rPr>
              <w:t xml:space="preserve">CRITICAL</w:t>
            </w:r>
          </w:p>
        </w:tc>
      </w:tr>
      <w:tr>
        <w:tc>
          <w:tcPr>
            <w:tcW w:type="dxa" w:w="2600"/>
            <w:shd w:fill="FFFFFF" w:val="clear"/>
          </w:tcPr>
          <w:p>
            <w:pPr>
              <w:spacing w:after="0"/>
            </w:pPr>
            <w:r>
              <w:rPr>
                <w:rFonts w:ascii="Arial" w:cs="Arial" w:eastAsia="Arial" w:hAnsi="Arial"/>
                <w:color w:val="333333"/>
                <w:sz w:val="18"/>
                <w:szCs w:val="18"/>
              </w:rPr>
              <w:t xml:space="preserve">Legal opinion: BoU payment licensing</w:t>
            </w:r>
          </w:p>
        </w:tc>
        <w:tc>
          <w:tcPr>
            <w:tcW w:type="dxa" w:w="1800"/>
            <w:shd w:fill="FFFFFF" w:val="clear"/>
          </w:tcPr>
          <w:p>
            <w:pPr>
              <w:spacing w:after="0"/>
            </w:pPr>
            <w:r>
              <w:rPr>
                <w:rFonts w:ascii="Arial" w:cs="Arial" w:eastAsia="Arial" w:hAnsi="Arial"/>
                <w:color w:val="333333"/>
                <w:sz w:val="18"/>
                <w:szCs w:val="18"/>
              </w:rPr>
              <w:t xml:space="preserve">Uganda fintech lawyer</w:t>
            </w:r>
          </w:p>
        </w:tc>
        <w:tc>
          <w:tcPr>
            <w:tcW w:type="dxa" w:w="1500"/>
            <w:shd w:fill="FFFFFF" w:val="clear"/>
          </w:tcPr>
          <w:p>
            <w:pPr>
              <w:spacing w:after="0"/>
            </w:pPr>
            <w:r>
              <w:rPr>
                <w:rFonts w:ascii="Arial" w:cs="Arial" w:eastAsia="Arial" w:hAnsi="Arial"/>
                <w:color w:val="333333"/>
                <w:sz w:val="18"/>
                <w:szCs w:val="18"/>
              </w:rPr>
              <w:t xml:space="preserve">$1,000-1,500</w:t>
            </w:r>
          </w:p>
        </w:tc>
        <w:tc>
          <w:tcPr>
            <w:tcW w:type="dxa" w:w="1200"/>
            <w:shd w:fill="FFFFFF" w:val="clear"/>
          </w:tcPr>
          <w:p>
            <w:pPr>
              <w:spacing w:after="0"/>
            </w:pPr>
            <w:r>
              <w:rPr>
                <w:rFonts w:ascii="Arial" w:cs="Arial" w:eastAsia="Arial" w:hAnsi="Arial"/>
                <w:color w:val="333333"/>
                <w:sz w:val="18"/>
                <w:szCs w:val="18"/>
              </w:rPr>
              <w:t xml:space="preserve">2-3 weeks</w:t>
            </w:r>
          </w:p>
        </w:tc>
        <w:tc>
          <w:tcPr>
            <w:tcW w:type="dxa" w:w="2260"/>
            <w:shd w:fill="FFFFFF" w:val="clear"/>
          </w:tcPr>
          <w:p>
            <w:pPr>
              <w:spacing w:after="0"/>
            </w:pPr>
            <w:r>
              <w:rPr>
                <w:rFonts w:ascii="Arial" w:cs="Arial" w:eastAsia="Arial" w:hAnsi="Arial"/>
                <w:color w:val="333333"/>
                <w:sz w:val="18"/>
                <w:szCs w:val="18"/>
              </w:rPr>
              <w:t xml:space="preserve">HIGH</w:t>
            </w:r>
          </w:p>
        </w:tc>
      </w:tr>
      <w:tr>
        <w:tc>
          <w:tcPr>
            <w:tcW w:type="dxa" w:w="2600"/>
            <w:shd w:fill="F5F4F0" w:val="clear"/>
          </w:tcPr>
          <w:p>
            <w:pPr>
              <w:spacing w:after="0"/>
            </w:pPr>
            <w:r>
              <w:rPr>
                <w:rFonts w:ascii="Arial" w:cs="Arial" w:eastAsia="Arial" w:hAnsi="Arial"/>
                <w:color w:val="333333"/>
                <w:sz w:val="18"/>
                <w:szCs w:val="18"/>
              </w:rPr>
              <w:t xml:space="preserve">Inspector contractor agreement (Uganda version)</w:t>
            </w:r>
          </w:p>
        </w:tc>
        <w:tc>
          <w:tcPr>
            <w:tcW w:type="dxa" w:w="1800"/>
            <w:shd w:fill="F5F4F0" w:val="clear"/>
          </w:tcPr>
          <w:p>
            <w:pPr>
              <w:spacing w:after="0"/>
            </w:pPr>
            <w:r>
              <w:rPr>
                <w:rFonts w:ascii="Arial" w:cs="Arial" w:eastAsia="Arial" w:hAnsi="Arial"/>
                <w:color w:val="333333"/>
                <w:sz w:val="18"/>
                <w:szCs w:val="18"/>
              </w:rPr>
              <w:t xml:space="preserve">Employment lawyer</w:t>
            </w:r>
          </w:p>
        </w:tc>
        <w:tc>
          <w:tcPr>
            <w:tcW w:type="dxa" w:w="1500"/>
            <w:shd w:fill="F5F4F0" w:val="clear"/>
          </w:tcPr>
          <w:p>
            <w:pPr>
              <w:spacing w:after="0"/>
            </w:pPr>
            <w:r>
              <w:rPr>
                <w:rFonts w:ascii="Arial" w:cs="Arial" w:eastAsia="Arial" w:hAnsi="Arial"/>
                <w:color w:val="333333"/>
                <w:sz w:val="18"/>
                <w:szCs w:val="18"/>
              </w:rPr>
              <w:t xml:space="preserve">$500-1,000</w:t>
            </w:r>
          </w:p>
        </w:tc>
        <w:tc>
          <w:tcPr>
            <w:tcW w:type="dxa" w:w="1200"/>
            <w:shd w:fill="F5F4F0" w:val="clear"/>
          </w:tcPr>
          <w:p>
            <w:pPr>
              <w:spacing w:after="0"/>
            </w:pPr>
            <w:r>
              <w:rPr>
                <w:rFonts w:ascii="Arial" w:cs="Arial" w:eastAsia="Arial" w:hAnsi="Arial"/>
                <w:color w:val="333333"/>
                <w:sz w:val="18"/>
                <w:szCs w:val="18"/>
              </w:rPr>
              <w:t xml:space="preserve">2-3 weeks</w:t>
            </w:r>
          </w:p>
        </w:tc>
        <w:tc>
          <w:tcPr>
            <w:tcW w:type="dxa" w:w="2260"/>
            <w:shd w:fill="F5F4F0" w:val="clear"/>
          </w:tcPr>
          <w:p>
            <w:pPr>
              <w:spacing w:after="0"/>
            </w:pPr>
            <w:r>
              <w:rPr>
                <w:rFonts w:ascii="Arial" w:cs="Arial" w:eastAsia="Arial" w:hAnsi="Arial"/>
                <w:color w:val="333333"/>
                <w:sz w:val="18"/>
                <w:szCs w:val="18"/>
              </w:rPr>
              <w:t xml:space="preserve">HIGH</w:t>
            </w:r>
          </w:p>
        </w:tc>
      </w:tr>
      <w:tr>
        <w:tc>
          <w:tcPr>
            <w:tcW w:type="dxa" w:w="2600"/>
            <w:shd w:fill="FFFFFF" w:val="clear"/>
          </w:tcPr>
          <w:p>
            <w:pPr>
              <w:spacing w:after="0"/>
            </w:pPr>
            <w:r>
              <w:rPr>
                <w:rFonts w:ascii="Arial" w:cs="Arial" w:eastAsia="Arial" w:hAnsi="Arial"/>
                <w:color w:val="333333"/>
                <w:sz w:val="18"/>
                <w:szCs w:val="18"/>
              </w:rPr>
              <w:t xml:space="preserve">Tax advisory (withholding, VAT, transfer pricing)</w:t>
            </w:r>
          </w:p>
        </w:tc>
        <w:tc>
          <w:tcPr>
            <w:tcW w:type="dxa" w:w="1800"/>
            <w:shd w:fill="FFFFFF" w:val="clear"/>
          </w:tcPr>
          <w:p>
            <w:pPr>
              <w:spacing w:after="0"/>
            </w:pPr>
            <w:r>
              <w:rPr>
                <w:rFonts w:ascii="Arial" w:cs="Arial" w:eastAsia="Arial" w:hAnsi="Arial"/>
                <w:color w:val="333333"/>
                <w:sz w:val="18"/>
                <w:szCs w:val="18"/>
              </w:rPr>
              <w:t xml:space="preserve">Tax advisor</w:t>
            </w:r>
          </w:p>
        </w:tc>
        <w:tc>
          <w:tcPr>
            <w:tcW w:type="dxa" w:w="1500"/>
            <w:shd w:fill="FFFFFF" w:val="clear"/>
          </w:tcPr>
          <w:p>
            <w:pPr>
              <w:spacing w:after="0"/>
            </w:pPr>
            <w:r>
              <w:rPr>
                <w:rFonts w:ascii="Arial" w:cs="Arial" w:eastAsia="Arial" w:hAnsi="Arial"/>
                <w:color w:val="333333"/>
                <w:sz w:val="18"/>
                <w:szCs w:val="18"/>
              </w:rPr>
              <w:t xml:space="preserve">$1,000-2,000</w:t>
            </w:r>
          </w:p>
        </w:tc>
        <w:tc>
          <w:tcPr>
            <w:tcW w:type="dxa" w:w="1200"/>
            <w:shd w:fill="FFFFFF" w:val="clear"/>
          </w:tcPr>
          <w:p>
            <w:pPr>
              <w:spacing w:after="0"/>
            </w:pPr>
            <w:r>
              <w:rPr>
                <w:rFonts w:ascii="Arial" w:cs="Arial" w:eastAsia="Arial" w:hAnsi="Arial"/>
                <w:color w:val="333333"/>
                <w:sz w:val="18"/>
                <w:szCs w:val="18"/>
              </w:rPr>
              <w:t xml:space="preserve">3-4 weeks</w:t>
            </w:r>
          </w:p>
        </w:tc>
        <w:tc>
          <w:tcPr>
            <w:tcW w:type="dxa" w:w="2260"/>
            <w:shd w:fill="FFFFFF" w:val="clear"/>
          </w:tcPr>
          <w:p>
            <w:pPr>
              <w:spacing w:after="0"/>
            </w:pPr>
            <w:r>
              <w:rPr>
                <w:rFonts w:ascii="Arial" w:cs="Arial" w:eastAsia="Arial" w:hAnsi="Arial"/>
                <w:color w:val="333333"/>
                <w:sz w:val="18"/>
                <w:szCs w:val="18"/>
              </w:rPr>
              <w:t xml:space="preserve">HIGH</w:t>
            </w:r>
          </w:p>
        </w:tc>
      </w:tr>
      <w:tr>
        <w:tc>
          <w:tcPr>
            <w:tcW w:type="dxa" w:w="2600"/>
            <w:shd w:fill="F5F4F0" w:val="clear"/>
          </w:tcPr>
          <w:p>
            <w:pPr>
              <w:spacing w:after="0"/>
            </w:pPr>
            <w:r>
              <w:rPr>
                <w:rFonts w:ascii="Arial" w:cs="Arial" w:eastAsia="Arial" w:hAnsi="Arial"/>
                <w:color w:val="333333"/>
                <w:sz w:val="18"/>
                <w:szCs w:val="18"/>
              </w:rPr>
              <w:t xml:space="preserve">Privacy Policy review for DPPA compliance</w:t>
            </w:r>
          </w:p>
        </w:tc>
        <w:tc>
          <w:tcPr>
            <w:tcW w:type="dxa" w:w="1800"/>
            <w:shd w:fill="F5F4F0" w:val="clear"/>
          </w:tcPr>
          <w:p>
            <w:pPr>
              <w:spacing w:after="0"/>
            </w:pPr>
            <w:r>
              <w:rPr>
                <w:rFonts w:ascii="Arial" w:cs="Arial" w:eastAsia="Arial" w:hAnsi="Arial"/>
                <w:color w:val="333333"/>
                <w:sz w:val="18"/>
                <w:szCs w:val="18"/>
              </w:rPr>
              <w:t xml:space="preserve">Uganda data protection lawyer</w:t>
            </w:r>
          </w:p>
        </w:tc>
        <w:tc>
          <w:tcPr>
            <w:tcW w:type="dxa" w:w="1500"/>
            <w:shd w:fill="F5F4F0" w:val="clear"/>
          </w:tcPr>
          <w:p>
            <w:pPr>
              <w:spacing w:after="0"/>
            </w:pPr>
            <w:r>
              <w:rPr>
                <w:rFonts w:ascii="Arial" w:cs="Arial" w:eastAsia="Arial" w:hAnsi="Arial"/>
                <w:color w:val="333333"/>
                <w:sz w:val="18"/>
                <w:szCs w:val="18"/>
              </w:rPr>
              <w:t xml:space="preserve">$500-1,000</w:t>
            </w:r>
          </w:p>
        </w:tc>
        <w:tc>
          <w:tcPr>
            <w:tcW w:type="dxa" w:w="1200"/>
            <w:shd w:fill="F5F4F0" w:val="clear"/>
          </w:tcPr>
          <w:p>
            <w:pPr>
              <w:spacing w:after="0"/>
            </w:pPr>
            <w:r>
              <w:rPr>
                <w:rFonts w:ascii="Arial" w:cs="Arial" w:eastAsia="Arial" w:hAnsi="Arial"/>
                <w:color w:val="333333"/>
                <w:sz w:val="18"/>
                <w:szCs w:val="18"/>
              </w:rPr>
              <w:t xml:space="preserve">2-3 weeks</w:t>
            </w:r>
          </w:p>
        </w:tc>
        <w:tc>
          <w:tcPr>
            <w:tcW w:type="dxa" w:w="2260"/>
            <w:shd w:fill="F5F4F0" w:val="clear"/>
          </w:tcPr>
          <w:p>
            <w:pPr>
              <w:spacing w:after="0"/>
            </w:pPr>
            <w:r>
              <w:rPr>
                <w:rFonts w:ascii="Arial" w:cs="Arial" w:eastAsia="Arial" w:hAnsi="Arial"/>
                <w:color w:val="333333"/>
                <w:sz w:val="18"/>
                <w:szCs w:val="18"/>
              </w:rPr>
              <w:t xml:space="preserve">MEDIUM</w:t>
            </w:r>
          </w:p>
        </w:tc>
      </w:tr>
      <w:tr>
        <w:tc>
          <w:tcPr>
            <w:tcW w:type="dxa" w:w="2600"/>
            <w:shd w:fill="FFFFFF" w:val="clear"/>
          </w:tcPr>
          <w:p>
            <w:pPr>
              <w:spacing w:after="0"/>
            </w:pPr>
            <w:r>
              <w:rPr>
                <w:rFonts w:ascii="Arial" w:cs="Arial" w:eastAsia="Arial" w:hAnsi="Arial"/>
                <w:color w:val="333333"/>
                <w:sz w:val="18"/>
                <w:szCs w:val="18"/>
              </w:rPr>
              <w:t xml:space="preserve">Obtain postal address</w:t>
            </w:r>
          </w:p>
        </w:tc>
        <w:tc>
          <w:tcPr>
            <w:tcW w:type="dxa" w:w="1800"/>
            <w:shd w:fill="FFFFFF" w:val="clear"/>
          </w:tcPr>
          <w:p>
            <w:pPr>
              <w:spacing w:after="0"/>
            </w:pPr>
            <w:r>
              <w:rPr>
                <w:rFonts w:ascii="Arial" w:cs="Arial" w:eastAsia="Arial" w:hAnsi="Arial"/>
                <w:color w:val="333333"/>
                <w:sz w:val="18"/>
                <w:szCs w:val="18"/>
              </w:rPr>
              <w:t xml:space="preserve">Posta Uganda</w:t>
            </w:r>
          </w:p>
        </w:tc>
        <w:tc>
          <w:tcPr>
            <w:tcW w:type="dxa" w:w="1500"/>
            <w:shd w:fill="FFFFFF" w:val="clear"/>
          </w:tcPr>
          <w:p>
            <w:pPr>
              <w:spacing w:after="0"/>
            </w:pPr>
            <w:r>
              <w:rPr>
                <w:rFonts w:ascii="Arial" w:cs="Arial" w:eastAsia="Arial" w:hAnsi="Arial"/>
                <w:color w:val="333333"/>
                <w:sz w:val="18"/>
                <w:szCs w:val="18"/>
              </w:rPr>
              <w:t xml:space="preserve">UGX 53,000 (~$14)</w:t>
            </w:r>
          </w:p>
        </w:tc>
        <w:tc>
          <w:tcPr>
            <w:tcW w:type="dxa" w:w="1200"/>
            <w:shd w:fill="FFFFFF" w:val="clear"/>
          </w:tcPr>
          <w:p>
            <w:pPr>
              <w:spacing w:after="0"/>
            </w:pPr>
            <w:r>
              <w:rPr>
                <w:rFonts w:ascii="Arial" w:cs="Arial" w:eastAsia="Arial" w:hAnsi="Arial"/>
                <w:color w:val="333333"/>
                <w:sz w:val="18"/>
                <w:szCs w:val="18"/>
              </w:rPr>
              <w:t xml:space="preserve">1 week</w:t>
            </w:r>
          </w:p>
        </w:tc>
        <w:tc>
          <w:tcPr>
            <w:tcW w:type="dxa" w:w="2260"/>
            <w:shd w:fill="FFFFFF" w:val="clear"/>
          </w:tcPr>
          <w:p>
            <w:pPr>
              <w:spacing w:after="0"/>
            </w:pPr>
            <w:r>
              <w:rPr>
                <w:rFonts w:ascii="Arial" w:cs="Arial" w:eastAsia="Arial" w:hAnsi="Arial"/>
                <w:color w:val="333333"/>
                <w:sz w:val="18"/>
                <w:szCs w:val="18"/>
              </w:rPr>
              <w:t xml:space="preserve">MEDIUM</w:t>
            </w:r>
          </w:p>
        </w:tc>
      </w:tr>
    </w:tbl>
    <w:p>
      <w:pPr>
        <w:spacing w:after="0"/>
      </w:pPr>
    </w:p>
    <w:p>
      <w:pPr>
        <w:spacing w:after="140" w:line="276"/>
      </w:pPr>
      <w:r>
        <w:rPr>
          <w:rFonts w:ascii="Arial" w:cs="Arial" w:eastAsia="Arial" w:hAnsi="Arial"/>
          <w:b/>
          <w:bCs/>
          <w:color w:val="333333"/>
          <w:sz w:val="20"/>
          <w:szCs w:val="20"/>
        </w:rPr>
        <w:t xml:space="preserve">Total Phase 1 budget: </w:t>
      </w:r>
      <w:r>
        <w:rPr>
          <w:rFonts w:ascii="Arial" w:cs="Arial" w:eastAsia="Arial" w:hAnsi="Arial"/>
          <w:color w:val="333333"/>
          <w:sz w:val="20"/>
          <w:szCs w:val="20"/>
        </w:rPr>
        <w:t xml:space="preserve">$3,500-6,400</w:t>
      </w:r>
    </w:p>
    <w:p>
      <w:pPr>
        <w:spacing w:after="0"/>
      </w:pPr>
    </w:p>
    <w:p>
      <w:pPr>
        <w:pStyle w:val="Heading2"/>
        <w:spacing w:after="160" w:before="300"/>
      </w:pPr>
      <w:r>
        <w:rPr>
          <w:rFonts w:ascii="Arial" w:cs="Arial" w:eastAsia="Arial" w:hAnsi="Arial"/>
          <w:b/>
          <w:bCs/>
          <w:color w:val="0B6E4F"/>
          <w:sz w:val="24"/>
          <w:szCs w:val="24"/>
        </w:rPr>
        <w:t xml:space="preserve">9.2 Phase 2 — Active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600"/>
            <w:shd w:fill="022B1E" w:val="clear"/>
          </w:tcPr>
          <w:p>
            <w:pPr>
              <w:spacing w:after="0"/>
            </w:pPr>
            <w:r>
              <w:rPr>
                <w:rFonts w:ascii="Arial" w:cs="Arial" w:eastAsia="Arial" w:hAnsi="Arial"/>
                <w:b/>
                <w:bCs/>
                <w:color w:val="FFFFFF"/>
                <w:sz w:val="18"/>
                <w:szCs w:val="18"/>
              </w:rPr>
              <w:t xml:space="preserve">Action</w:t>
            </w:r>
          </w:p>
        </w:tc>
        <w:tc>
          <w:tcPr>
            <w:tcW w:type="dxa" w:w="1800"/>
            <w:shd w:fill="022B1E" w:val="clear"/>
          </w:tcPr>
          <w:p>
            <w:pPr>
              <w:spacing w:after="0"/>
            </w:pPr>
            <w:r>
              <w:rPr>
                <w:rFonts w:ascii="Arial" w:cs="Arial" w:eastAsia="Arial" w:hAnsi="Arial"/>
                <w:b/>
                <w:bCs/>
                <w:color w:val="FFFFFF"/>
                <w:sz w:val="18"/>
                <w:szCs w:val="18"/>
              </w:rPr>
              <w:t xml:space="preserve">Authority</w:t>
            </w:r>
          </w:p>
        </w:tc>
        <w:tc>
          <w:tcPr>
            <w:tcW w:type="dxa" w:w="1500"/>
            <w:shd w:fill="022B1E" w:val="clear"/>
          </w:tcPr>
          <w:p>
            <w:pPr>
              <w:spacing w:after="0"/>
            </w:pPr>
            <w:r>
              <w:rPr>
                <w:rFonts w:ascii="Arial" w:cs="Arial" w:eastAsia="Arial" w:hAnsi="Arial"/>
                <w:b/>
                <w:bCs/>
                <w:color w:val="FFFFFF"/>
                <w:sz w:val="18"/>
                <w:szCs w:val="18"/>
              </w:rPr>
              <w:t xml:space="preserve">Est. Cost</w:t>
            </w:r>
          </w:p>
        </w:tc>
        <w:tc>
          <w:tcPr>
            <w:tcW w:type="dxa" w:w="1200"/>
            <w:shd w:fill="022B1E" w:val="clear"/>
          </w:tcPr>
          <w:p>
            <w:pPr>
              <w:spacing w:after="0"/>
            </w:pPr>
            <w:r>
              <w:rPr>
                <w:rFonts w:ascii="Arial" w:cs="Arial" w:eastAsia="Arial" w:hAnsi="Arial"/>
                <w:b/>
                <w:bCs/>
                <w:color w:val="FFFFFF"/>
                <w:sz w:val="18"/>
                <w:szCs w:val="18"/>
              </w:rPr>
              <w:t xml:space="preserve">Timeline</w:t>
            </w:r>
          </w:p>
        </w:tc>
        <w:tc>
          <w:tcPr>
            <w:tcW w:type="dxa" w:w="2260"/>
            <w:shd w:fill="022B1E" w:val="clear"/>
          </w:tcPr>
          <w:p>
            <w:pPr>
              <w:spacing w:after="0"/>
            </w:pPr>
            <w:r>
              <w:rPr>
                <w:rFonts w:ascii="Arial" w:cs="Arial" w:eastAsia="Arial" w:hAnsi="Arial"/>
                <w:b/>
                <w:bCs/>
                <w:color w:val="FFFFFF"/>
                <w:sz w:val="18"/>
                <w:szCs w:val="18"/>
              </w:rPr>
              <w:t xml:space="preserve">Priority</w:t>
            </w:r>
          </w:p>
        </w:tc>
      </w:tr>
      <w:tr>
        <w:tc>
          <w:tcPr>
            <w:tcW w:type="dxa" w:w="2600"/>
            <w:shd w:fill="F5F4F0" w:val="clear"/>
          </w:tcPr>
          <w:p>
            <w:pPr>
              <w:spacing w:after="0"/>
            </w:pPr>
            <w:r>
              <w:rPr>
                <w:rFonts w:ascii="Arial" w:cs="Arial" w:eastAsia="Arial" w:hAnsi="Arial"/>
                <w:color w:val="333333"/>
                <w:sz w:val="18"/>
                <w:szCs w:val="18"/>
              </w:rPr>
              <w:t xml:space="preserve">Trading license (Kampala)</w:t>
            </w:r>
          </w:p>
        </w:tc>
        <w:tc>
          <w:tcPr>
            <w:tcW w:type="dxa" w:w="1800"/>
            <w:shd w:fill="F5F4F0" w:val="clear"/>
          </w:tcPr>
          <w:p>
            <w:pPr>
              <w:spacing w:after="0"/>
            </w:pPr>
            <w:r>
              <w:rPr>
                <w:rFonts w:ascii="Arial" w:cs="Arial" w:eastAsia="Arial" w:hAnsi="Arial"/>
                <w:color w:val="333333"/>
                <w:sz w:val="18"/>
                <w:szCs w:val="18"/>
              </w:rPr>
              <w:t xml:space="preserve">KCCA</w:t>
            </w:r>
          </w:p>
        </w:tc>
        <w:tc>
          <w:tcPr>
            <w:tcW w:type="dxa" w:w="1500"/>
            <w:shd w:fill="F5F4F0" w:val="clear"/>
          </w:tcPr>
          <w:p>
            <w:pPr>
              <w:spacing w:after="0"/>
            </w:pPr>
            <w:r>
              <w:rPr>
                <w:rFonts w:ascii="Arial" w:cs="Arial" w:eastAsia="Arial" w:hAnsi="Arial"/>
                <w:color w:val="333333"/>
                <w:sz w:val="18"/>
                <w:szCs w:val="18"/>
              </w:rPr>
              <w:t xml:space="preserve">UGX 200,000-500,000 (~$54-135)</w:t>
            </w:r>
          </w:p>
        </w:tc>
        <w:tc>
          <w:tcPr>
            <w:tcW w:type="dxa" w:w="1200"/>
            <w:shd w:fill="F5F4F0" w:val="clear"/>
          </w:tcPr>
          <w:p>
            <w:pPr>
              <w:spacing w:after="0"/>
            </w:pPr>
            <w:r>
              <w:rPr>
                <w:rFonts w:ascii="Arial" w:cs="Arial" w:eastAsia="Arial" w:hAnsi="Arial"/>
                <w:color w:val="333333"/>
                <w:sz w:val="18"/>
                <w:szCs w:val="18"/>
              </w:rPr>
              <w:t xml:space="preserve">2 weeks</w:t>
            </w:r>
          </w:p>
        </w:tc>
        <w:tc>
          <w:tcPr>
            <w:tcW w:type="dxa" w:w="2260"/>
            <w:shd w:fill="F5F4F0" w:val="clear"/>
          </w:tcPr>
          <w:p>
            <w:pPr>
              <w:spacing w:after="0"/>
            </w:pPr>
            <w:r>
              <w:rPr>
                <w:rFonts w:ascii="Arial" w:cs="Arial" w:eastAsia="Arial" w:hAnsi="Arial"/>
                <w:color w:val="333333"/>
                <w:sz w:val="18"/>
                <w:szCs w:val="18"/>
              </w:rPr>
              <w:t xml:space="preserve">HIGH</w:t>
            </w:r>
          </w:p>
        </w:tc>
      </w:tr>
      <w:tr>
        <w:tc>
          <w:tcPr>
            <w:tcW w:type="dxa" w:w="2600"/>
            <w:shd w:fill="FFFFFF" w:val="clear"/>
          </w:tcPr>
          <w:p>
            <w:pPr>
              <w:spacing w:after="0"/>
            </w:pPr>
            <w:r>
              <w:rPr>
                <w:rFonts w:ascii="Arial" w:cs="Arial" w:eastAsia="Arial" w:hAnsi="Arial"/>
                <w:color w:val="333333"/>
                <w:sz w:val="18"/>
                <w:szCs w:val="18"/>
              </w:rPr>
              <w:t xml:space="preserve">VAT registration (when threshold met)</w:t>
            </w:r>
          </w:p>
        </w:tc>
        <w:tc>
          <w:tcPr>
            <w:tcW w:type="dxa" w:w="1800"/>
            <w:shd w:fill="FFFFFF" w:val="clear"/>
          </w:tcPr>
          <w:p>
            <w:pPr>
              <w:spacing w:after="0"/>
            </w:pPr>
            <w:r>
              <w:rPr>
                <w:rFonts w:ascii="Arial" w:cs="Arial" w:eastAsia="Arial" w:hAnsi="Arial"/>
                <w:color w:val="333333"/>
                <w:sz w:val="18"/>
                <w:szCs w:val="18"/>
              </w:rPr>
              <w:t xml:space="preserve">URA</w:t>
            </w:r>
          </w:p>
        </w:tc>
        <w:tc>
          <w:tcPr>
            <w:tcW w:type="dxa" w:w="1500"/>
            <w:shd w:fill="FFFFFF" w:val="clear"/>
          </w:tcPr>
          <w:p>
            <w:pPr>
              <w:spacing w:after="0"/>
            </w:pPr>
            <w:r>
              <w:rPr>
                <w:rFonts w:ascii="Arial" w:cs="Arial" w:eastAsia="Arial" w:hAnsi="Arial"/>
                <w:color w:val="333333"/>
                <w:sz w:val="18"/>
                <w:szCs w:val="18"/>
              </w:rPr>
              <w:t xml:space="preserve">Free</w:t>
            </w:r>
          </w:p>
        </w:tc>
        <w:tc>
          <w:tcPr>
            <w:tcW w:type="dxa" w:w="1200"/>
            <w:shd w:fill="FFFFFF" w:val="clear"/>
          </w:tcPr>
          <w:p>
            <w:pPr>
              <w:spacing w:after="0"/>
            </w:pPr>
            <w:r>
              <w:rPr>
                <w:rFonts w:ascii="Arial" w:cs="Arial" w:eastAsia="Arial" w:hAnsi="Arial"/>
                <w:color w:val="333333"/>
                <w:sz w:val="18"/>
                <w:szCs w:val="18"/>
              </w:rPr>
              <w:t xml:space="preserve">2 weeks</w:t>
            </w:r>
          </w:p>
        </w:tc>
        <w:tc>
          <w:tcPr>
            <w:tcW w:type="dxa" w:w="2260"/>
            <w:shd w:fill="FFFFFF" w:val="clear"/>
          </w:tcPr>
          <w:p>
            <w:pPr>
              <w:spacing w:after="0"/>
            </w:pPr>
            <w:r>
              <w:rPr>
                <w:rFonts w:ascii="Arial" w:cs="Arial" w:eastAsia="Arial" w:hAnsi="Arial"/>
                <w:color w:val="333333"/>
                <w:sz w:val="18"/>
                <w:szCs w:val="18"/>
              </w:rPr>
              <w:t xml:space="preserve">HIGH (when turnover &gt;UGX 150M)</w:t>
            </w:r>
          </w:p>
        </w:tc>
      </w:tr>
      <w:tr>
        <w:tc>
          <w:tcPr>
            <w:tcW w:type="dxa" w:w="2600"/>
            <w:shd w:fill="F5F4F0" w:val="clear"/>
          </w:tcPr>
          <w:p>
            <w:pPr>
              <w:spacing w:after="0"/>
            </w:pPr>
            <w:r>
              <w:rPr>
                <w:rFonts w:ascii="Arial" w:cs="Arial" w:eastAsia="Arial" w:hAnsi="Arial"/>
                <w:color w:val="333333"/>
                <w:sz w:val="18"/>
                <w:szCs w:val="18"/>
              </w:rPr>
              <w:t xml:space="preserve">Build withholding tax certificate system</w:t>
            </w:r>
          </w:p>
        </w:tc>
        <w:tc>
          <w:tcPr>
            <w:tcW w:type="dxa" w:w="1800"/>
            <w:shd w:fill="F5F4F0" w:val="clear"/>
          </w:tcPr>
          <w:p>
            <w:pPr>
              <w:spacing w:after="0"/>
            </w:pPr>
            <w:r>
              <w:rPr>
                <w:rFonts w:ascii="Arial" w:cs="Arial" w:eastAsia="Arial" w:hAnsi="Arial"/>
                <w:color w:val="333333"/>
                <w:sz w:val="18"/>
                <w:szCs w:val="18"/>
              </w:rPr>
              <w:t xml:space="preserve">Internal (development)</w:t>
            </w:r>
          </w:p>
        </w:tc>
        <w:tc>
          <w:tcPr>
            <w:tcW w:type="dxa" w:w="1500"/>
            <w:shd w:fill="F5F4F0" w:val="clear"/>
          </w:tcPr>
          <w:p>
            <w:pPr>
              <w:spacing w:after="0"/>
            </w:pPr>
            <w:r>
              <w:rPr>
                <w:rFonts w:ascii="Arial" w:cs="Arial" w:eastAsia="Arial" w:hAnsi="Arial"/>
                <w:color w:val="333333"/>
                <w:sz w:val="18"/>
                <w:szCs w:val="18"/>
              </w:rPr>
              <w:t xml:space="preserve">$0 (engineering time)</w:t>
            </w:r>
          </w:p>
        </w:tc>
        <w:tc>
          <w:tcPr>
            <w:tcW w:type="dxa" w:w="1200"/>
            <w:shd w:fill="F5F4F0" w:val="clear"/>
          </w:tcPr>
          <w:p>
            <w:pPr>
              <w:spacing w:after="0"/>
            </w:pPr>
            <w:r>
              <w:rPr>
                <w:rFonts w:ascii="Arial" w:cs="Arial" w:eastAsia="Arial" w:hAnsi="Arial"/>
                <w:color w:val="333333"/>
                <w:sz w:val="18"/>
                <w:szCs w:val="18"/>
              </w:rPr>
              <w:t xml:space="preserve">V1 build</w:t>
            </w:r>
          </w:p>
        </w:tc>
        <w:tc>
          <w:tcPr>
            <w:tcW w:type="dxa" w:w="2260"/>
            <w:shd w:fill="F5F4F0" w:val="clear"/>
          </w:tcPr>
          <w:p>
            <w:pPr>
              <w:spacing w:after="0"/>
            </w:pPr>
            <w:r>
              <w:rPr>
                <w:rFonts w:ascii="Arial" w:cs="Arial" w:eastAsia="Arial" w:hAnsi="Arial"/>
                <w:color w:val="333333"/>
                <w:sz w:val="18"/>
                <w:szCs w:val="18"/>
              </w:rPr>
              <w:t xml:space="preserve">HIGH</w:t>
            </w:r>
          </w:p>
        </w:tc>
      </w:tr>
      <w:tr>
        <w:tc>
          <w:tcPr>
            <w:tcW w:type="dxa" w:w="2600"/>
            <w:shd w:fill="FFFFFF" w:val="clear"/>
          </w:tcPr>
          <w:p>
            <w:pPr>
              <w:spacing w:after="0"/>
            </w:pPr>
            <w:r>
              <w:rPr>
                <w:rFonts w:ascii="Arial" w:cs="Arial" w:eastAsia="Arial" w:hAnsi="Arial"/>
                <w:color w:val="333333"/>
                <w:sz w:val="18"/>
                <w:szCs w:val="18"/>
              </w:rPr>
              <w:t xml:space="preserve">PDPO registration renewal</w:t>
            </w:r>
          </w:p>
        </w:tc>
        <w:tc>
          <w:tcPr>
            <w:tcW w:type="dxa" w:w="1800"/>
            <w:shd w:fill="FFFFFF" w:val="clear"/>
          </w:tcPr>
          <w:p>
            <w:pPr>
              <w:spacing w:after="0"/>
            </w:pPr>
            <w:r>
              <w:rPr>
                <w:rFonts w:ascii="Arial" w:cs="Arial" w:eastAsia="Arial" w:hAnsi="Arial"/>
                <w:color w:val="333333"/>
                <w:sz w:val="18"/>
                <w:szCs w:val="18"/>
              </w:rPr>
              <w:t xml:space="preserve">PDPO</w:t>
            </w:r>
          </w:p>
        </w:tc>
        <w:tc>
          <w:tcPr>
            <w:tcW w:type="dxa" w:w="1500"/>
            <w:shd w:fill="FFFFFF" w:val="clear"/>
          </w:tcPr>
          <w:p>
            <w:pPr>
              <w:spacing w:after="0"/>
            </w:pPr>
            <w:r>
              <w:rPr>
                <w:rFonts w:ascii="Arial" w:cs="Arial" w:eastAsia="Arial" w:hAnsi="Arial"/>
                <w:color w:val="333333"/>
                <w:sz w:val="18"/>
                <w:szCs w:val="18"/>
              </w:rPr>
              <w:t xml:space="preserve">UGX 100,000/year</w:t>
            </w:r>
          </w:p>
        </w:tc>
        <w:tc>
          <w:tcPr>
            <w:tcW w:type="dxa" w:w="1200"/>
            <w:shd w:fill="FFFFFF" w:val="clear"/>
          </w:tcPr>
          <w:p>
            <w:pPr>
              <w:spacing w:after="0"/>
            </w:pPr>
            <w:r>
              <w:rPr>
                <w:rFonts w:ascii="Arial" w:cs="Arial" w:eastAsia="Arial" w:hAnsi="Arial"/>
                <w:color w:val="333333"/>
                <w:sz w:val="18"/>
                <w:szCs w:val="18"/>
              </w:rPr>
              <w:t xml:space="preserve">Annual</w:t>
            </w:r>
          </w:p>
        </w:tc>
        <w:tc>
          <w:tcPr>
            <w:tcW w:type="dxa" w:w="2260"/>
            <w:shd w:fill="FFFFFF" w:val="clear"/>
          </w:tcPr>
          <w:p>
            <w:pPr>
              <w:spacing w:after="0"/>
            </w:pPr>
            <w:r>
              <w:rPr>
                <w:rFonts w:ascii="Arial" w:cs="Arial" w:eastAsia="Arial" w:hAnsi="Arial"/>
                <w:color w:val="333333"/>
                <w:sz w:val="18"/>
                <w:szCs w:val="18"/>
              </w:rPr>
              <w:t xml:space="preserve">MANDATORY</w:t>
            </w:r>
          </w:p>
        </w:tc>
      </w:tr>
      <w:tr>
        <w:tc>
          <w:tcPr>
            <w:tcW w:type="dxa" w:w="2600"/>
            <w:shd w:fill="F5F4F0" w:val="clear"/>
          </w:tcPr>
          <w:p>
            <w:pPr>
              <w:spacing w:after="0"/>
            </w:pPr>
            <w:r>
              <w:rPr>
                <w:rFonts w:ascii="Arial" w:cs="Arial" w:eastAsia="Arial" w:hAnsi="Arial"/>
                <w:color w:val="333333"/>
                <w:sz w:val="18"/>
                <w:szCs w:val="18"/>
              </w:rPr>
              <w:t xml:space="preserve">Annual returns filing</w:t>
            </w:r>
          </w:p>
        </w:tc>
        <w:tc>
          <w:tcPr>
            <w:tcW w:type="dxa" w:w="1800"/>
            <w:shd w:fill="F5F4F0" w:val="clear"/>
          </w:tcPr>
          <w:p>
            <w:pPr>
              <w:spacing w:after="0"/>
            </w:pPr>
            <w:r>
              <w:rPr>
                <w:rFonts w:ascii="Arial" w:cs="Arial" w:eastAsia="Arial" w:hAnsi="Arial"/>
                <w:color w:val="333333"/>
                <w:sz w:val="18"/>
                <w:szCs w:val="18"/>
              </w:rPr>
              <w:t xml:space="preserve">URSB</w:t>
            </w:r>
          </w:p>
        </w:tc>
        <w:tc>
          <w:tcPr>
            <w:tcW w:type="dxa" w:w="1500"/>
            <w:shd w:fill="F5F4F0" w:val="clear"/>
          </w:tcPr>
          <w:p>
            <w:pPr>
              <w:spacing w:after="0"/>
            </w:pPr>
            <w:r>
              <w:rPr>
                <w:rFonts w:ascii="Arial" w:cs="Arial" w:eastAsia="Arial" w:hAnsi="Arial"/>
                <w:color w:val="333333"/>
                <w:sz w:val="18"/>
                <w:szCs w:val="18"/>
              </w:rPr>
              <w:t xml:space="preserve">UGX ~50,000</w:t>
            </w:r>
          </w:p>
        </w:tc>
        <w:tc>
          <w:tcPr>
            <w:tcW w:type="dxa" w:w="1200"/>
            <w:shd w:fill="F5F4F0" w:val="clear"/>
          </w:tcPr>
          <w:p>
            <w:pPr>
              <w:spacing w:after="0"/>
            </w:pPr>
            <w:r>
              <w:rPr>
                <w:rFonts w:ascii="Arial" w:cs="Arial" w:eastAsia="Arial" w:hAnsi="Arial"/>
                <w:color w:val="333333"/>
                <w:sz w:val="18"/>
                <w:szCs w:val="18"/>
              </w:rPr>
              <w:t xml:space="preserve">Annual</w:t>
            </w:r>
          </w:p>
        </w:tc>
        <w:tc>
          <w:tcPr>
            <w:tcW w:type="dxa" w:w="2260"/>
            <w:shd w:fill="F5F4F0" w:val="clear"/>
          </w:tcPr>
          <w:p>
            <w:pPr>
              <w:spacing w:after="0"/>
            </w:pPr>
            <w:r>
              <w:rPr>
                <w:rFonts w:ascii="Arial" w:cs="Arial" w:eastAsia="Arial" w:hAnsi="Arial"/>
                <w:color w:val="333333"/>
                <w:sz w:val="18"/>
                <w:szCs w:val="18"/>
              </w:rPr>
              <w:t xml:space="preserve">MANDATORY</w:t>
            </w:r>
          </w:p>
        </w:tc>
      </w:tr>
      <w:tr>
        <w:tc>
          <w:tcPr>
            <w:tcW w:type="dxa" w:w="2600"/>
            <w:shd w:fill="FFFFFF" w:val="clear"/>
          </w:tcPr>
          <w:p>
            <w:pPr>
              <w:spacing w:after="0"/>
            </w:pPr>
            <w:r>
              <w:rPr>
                <w:rFonts w:ascii="Arial" w:cs="Arial" w:eastAsia="Arial" w:hAnsi="Arial"/>
                <w:color w:val="333333"/>
                <w:sz w:val="18"/>
                <w:szCs w:val="18"/>
              </w:rPr>
              <w:t xml:space="preserve">Corporate tax filing</w:t>
            </w:r>
          </w:p>
        </w:tc>
        <w:tc>
          <w:tcPr>
            <w:tcW w:type="dxa" w:w="1800"/>
            <w:shd w:fill="FFFFFF" w:val="clear"/>
          </w:tcPr>
          <w:p>
            <w:pPr>
              <w:spacing w:after="0"/>
            </w:pPr>
            <w:r>
              <w:rPr>
                <w:rFonts w:ascii="Arial" w:cs="Arial" w:eastAsia="Arial" w:hAnsi="Arial"/>
                <w:color w:val="333333"/>
                <w:sz w:val="18"/>
                <w:szCs w:val="18"/>
              </w:rPr>
              <w:t xml:space="preserve">URA</w:t>
            </w:r>
          </w:p>
        </w:tc>
        <w:tc>
          <w:tcPr>
            <w:tcW w:type="dxa" w:w="1500"/>
            <w:shd w:fill="FFFFFF" w:val="clear"/>
          </w:tcPr>
          <w:p>
            <w:pPr>
              <w:spacing w:after="0"/>
            </w:pPr>
            <w:r>
              <w:rPr>
                <w:rFonts w:ascii="Arial" w:cs="Arial" w:eastAsia="Arial" w:hAnsi="Arial"/>
                <w:color w:val="333333"/>
                <w:sz w:val="18"/>
                <w:szCs w:val="18"/>
              </w:rPr>
              <w:t xml:space="preserve">$500-1,000 (accountant)</w:t>
            </w:r>
          </w:p>
        </w:tc>
        <w:tc>
          <w:tcPr>
            <w:tcW w:type="dxa" w:w="1200"/>
            <w:shd w:fill="FFFFFF" w:val="clear"/>
          </w:tcPr>
          <w:p>
            <w:pPr>
              <w:spacing w:after="0"/>
            </w:pPr>
            <w:r>
              <w:rPr>
                <w:rFonts w:ascii="Arial" w:cs="Arial" w:eastAsia="Arial" w:hAnsi="Arial"/>
                <w:color w:val="333333"/>
                <w:sz w:val="18"/>
                <w:szCs w:val="18"/>
              </w:rPr>
              <w:t xml:space="preserve">Annual</w:t>
            </w:r>
          </w:p>
        </w:tc>
        <w:tc>
          <w:tcPr>
            <w:tcW w:type="dxa" w:w="2260"/>
            <w:shd w:fill="FFFFFF" w:val="clear"/>
          </w:tcPr>
          <w:p>
            <w:pPr>
              <w:spacing w:after="0"/>
            </w:pPr>
            <w:r>
              <w:rPr>
                <w:rFonts w:ascii="Arial" w:cs="Arial" w:eastAsia="Arial" w:hAnsi="Arial"/>
                <w:color w:val="333333"/>
                <w:sz w:val="18"/>
                <w:szCs w:val="18"/>
              </w:rPr>
              <w:t xml:space="preserve">MANDATORY</w:t>
            </w:r>
          </w:p>
        </w:tc>
      </w:tr>
      <w:tr>
        <w:tc>
          <w:tcPr>
            <w:tcW w:type="dxa" w:w="2600"/>
            <w:shd w:fill="F5F4F0" w:val="clear"/>
          </w:tcPr>
          <w:p>
            <w:pPr>
              <w:spacing w:after="0"/>
            </w:pPr>
            <w:r>
              <w:rPr>
                <w:rFonts w:ascii="Arial" w:cs="Arial" w:eastAsia="Arial" w:hAnsi="Arial"/>
                <w:color w:val="333333"/>
                <w:sz w:val="18"/>
                <w:szCs w:val="18"/>
              </w:rPr>
              <w:t xml:space="preserve">Monitor BoU fintech guidelines</w:t>
            </w:r>
          </w:p>
        </w:tc>
        <w:tc>
          <w:tcPr>
            <w:tcW w:type="dxa" w:w="1800"/>
            <w:shd w:fill="F5F4F0" w:val="clear"/>
          </w:tcPr>
          <w:p>
            <w:pPr>
              <w:spacing w:after="0"/>
            </w:pPr>
            <w:r>
              <w:rPr>
                <w:rFonts w:ascii="Arial" w:cs="Arial" w:eastAsia="Arial" w:hAnsi="Arial"/>
                <w:color w:val="333333"/>
                <w:sz w:val="18"/>
                <w:szCs w:val="18"/>
              </w:rPr>
              <w:t xml:space="preserve">Legal monitoring</w:t>
            </w:r>
          </w:p>
        </w:tc>
        <w:tc>
          <w:tcPr>
            <w:tcW w:type="dxa" w:w="1500"/>
            <w:shd w:fill="F5F4F0" w:val="clear"/>
          </w:tcPr>
          <w:p>
            <w:pPr>
              <w:spacing w:after="0"/>
            </w:pPr>
            <w:r>
              <w:rPr>
                <w:rFonts w:ascii="Arial" w:cs="Arial" w:eastAsia="Arial" w:hAnsi="Arial"/>
                <w:color w:val="333333"/>
                <w:sz w:val="18"/>
                <w:szCs w:val="18"/>
              </w:rPr>
              <w:t xml:space="preserve">Ongoing</w:t>
            </w:r>
          </w:p>
        </w:tc>
        <w:tc>
          <w:tcPr>
            <w:tcW w:type="dxa" w:w="1200"/>
            <w:shd w:fill="F5F4F0" w:val="clear"/>
          </w:tcPr>
          <w:p>
            <w:pPr>
              <w:spacing w:after="0"/>
            </w:pPr>
            <w:r>
              <w:rPr>
                <w:rFonts w:ascii="Arial" w:cs="Arial" w:eastAsia="Arial" w:hAnsi="Arial"/>
                <w:color w:val="333333"/>
                <w:sz w:val="18"/>
                <w:szCs w:val="18"/>
              </w:rPr>
              <w:t xml:space="preserve">Ongoing</w:t>
            </w:r>
          </w:p>
        </w:tc>
        <w:tc>
          <w:tcPr>
            <w:tcW w:type="dxa" w:w="2260"/>
            <w:shd w:fill="F5F4F0" w:val="clear"/>
          </w:tcPr>
          <w:p>
            <w:pPr>
              <w:spacing w:after="0"/>
            </w:pPr>
            <w:r>
              <w:rPr>
                <w:rFonts w:ascii="Arial" w:cs="Arial" w:eastAsia="Arial" w:hAnsi="Arial"/>
                <w:color w:val="333333"/>
                <w:sz w:val="18"/>
                <w:szCs w:val="18"/>
              </w:rPr>
              <w:t xml:space="preserve">MEDIUM</w:t>
            </w:r>
          </w:p>
        </w:tc>
      </w:tr>
      <w:tr>
        <w:tc>
          <w:tcPr>
            <w:tcW w:type="dxa" w:w="2600"/>
            <w:shd w:fill="FFFFFF" w:val="clear"/>
          </w:tcPr>
          <w:p>
            <w:pPr>
              <w:spacing w:after="0"/>
            </w:pPr>
            <w:r>
              <w:rPr>
                <w:rFonts w:ascii="Arial" w:cs="Arial" w:eastAsia="Arial" w:hAnsi="Arial"/>
                <w:color w:val="333333"/>
                <w:sz w:val="18"/>
                <w:szCs w:val="18"/>
              </w:rPr>
              <w:t xml:space="preserve">Monitor gig worker legislation</w:t>
            </w:r>
          </w:p>
        </w:tc>
        <w:tc>
          <w:tcPr>
            <w:tcW w:type="dxa" w:w="1800"/>
            <w:shd w:fill="FFFFFF" w:val="clear"/>
          </w:tcPr>
          <w:p>
            <w:pPr>
              <w:spacing w:after="0"/>
            </w:pPr>
            <w:r>
              <w:rPr>
                <w:rFonts w:ascii="Arial" w:cs="Arial" w:eastAsia="Arial" w:hAnsi="Arial"/>
                <w:color w:val="333333"/>
                <w:sz w:val="18"/>
                <w:szCs w:val="18"/>
              </w:rPr>
              <w:t xml:space="preserve">Legal monitoring</w:t>
            </w:r>
          </w:p>
        </w:tc>
        <w:tc>
          <w:tcPr>
            <w:tcW w:type="dxa" w:w="1500"/>
            <w:shd w:fill="FFFFFF" w:val="clear"/>
          </w:tcPr>
          <w:p>
            <w:pPr>
              <w:spacing w:after="0"/>
            </w:pPr>
            <w:r>
              <w:rPr>
                <w:rFonts w:ascii="Arial" w:cs="Arial" w:eastAsia="Arial" w:hAnsi="Arial"/>
                <w:color w:val="333333"/>
                <w:sz w:val="18"/>
                <w:szCs w:val="18"/>
              </w:rPr>
              <w:t xml:space="preserve">Ongoing</w:t>
            </w:r>
          </w:p>
        </w:tc>
        <w:tc>
          <w:tcPr>
            <w:tcW w:type="dxa" w:w="1200"/>
            <w:shd w:fill="FFFFFF" w:val="clear"/>
          </w:tcPr>
          <w:p>
            <w:pPr>
              <w:spacing w:after="0"/>
            </w:pPr>
            <w:r>
              <w:rPr>
                <w:rFonts w:ascii="Arial" w:cs="Arial" w:eastAsia="Arial" w:hAnsi="Arial"/>
                <w:color w:val="333333"/>
                <w:sz w:val="18"/>
                <w:szCs w:val="18"/>
              </w:rPr>
              <w:t xml:space="preserve">Ongoing</w:t>
            </w:r>
          </w:p>
        </w:tc>
        <w:tc>
          <w:tcPr>
            <w:tcW w:type="dxa" w:w="2260"/>
            <w:shd w:fill="FFFFFF" w:val="clear"/>
          </w:tcPr>
          <w:p>
            <w:pPr>
              <w:spacing w:after="0"/>
            </w:pPr>
            <w:r>
              <w:rPr>
                <w:rFonts w:ascii="Arial" w:cs="Arial" w:eastAsia="Arial" w:hAnsi="Arial"/>
                <w:color w:val="333333"/>
                <w:sz w:val="18"/>
                <w:szCs w:val="18"/>
              </w:rPr>
              <w:t xml:space="preserve">MEDIUM</w:t>
            </w:r>
          </w:p>
        </w:tc>
      </w:tr>
    </w:tbl>
    <w:p>
      <w:pPr>
        <w:spacing w:after="0"/>
      </w:pPr>
    </w:p>
    <w:p>
      <w:pPr>
        <w:spacing w:after="140" w:line="276"/>
      </w:pPr>
      <w:r>
        <w:rPr>
          <w:rFonts w:ascii="Arial" w:cs="Arial" w:eastAsia="Arial" w:hAnsi="Arial"/>
          <w:b/>
          <w:bCs/>
          <w:color w:val="333333"/>
          <w:sz w:val="20"/>
          <w:szCs w:val="20"/>
        </w:rPr>
        <w:t xml:space="preserve">Total Phase 2 ongoing annual cost: </w:t>
      </w:r>
      <w:r>
        <w:rPr>
          <w:rFonts w:ascii="Arial" w:cs="Arial" w:eastAsia="Arial" w:hAnsi="Arial"/>
          <w:color w:val="333333"/>
          <w:sz w:val="20"/>
          <w:szCs w:val="20"/>
        </w:rPr>
        <w:t xml:space="preserve">$1,500-3,000/year (compliance and accounting)</w:t>
      </w:r>
    </w:p>
    <w:p>
      <w:pPr>
        <w:pStyle w:val="Heading1"/>
        <w:spacing w:after="200" w:before="400"/>
      </w:pPr>
      <w:r>
        <w:rPr>
          <w:rFonts w:ascii="Arial" w:cs="Arial" w:eastAsia="Arial" w:hAnsi="Arial"/>
          <w:b/>
          <w:bCs/>
          <w:color w:val="022B1E"/>
          <w:sz w:val="28"/>
          <w:szCs w:val="28"/>
        </w:rPr>
        <w:t xml:space="preserve">10. Uganda-Specific Risk Register</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00"/>
            <w:shd w:fill="022B1E" w:val="clear"/>
          </w:tcPr>
          <w:p>
            <w:pPr>
              <w:spacing w:after="0"/>
            </w:pPr>
            <w:r>
              <w:rPr>
                <w:rFonts w:ascii="Arial" w:cs="Arial" w:eastAsia="Arial" w:hAnsi="Arial"/>
                <w:b/>
                <w:bCs/>
                <w:color w:val="FFFFFF"/>
                <w:sz w:val="18"/>
                <w:szCs w:val="18"/>
              </w:rPr>
              <w:t xml:space="preserve">Risk</w:t>
            </w:r>
          </w:p>
        </w:tc>
        <w:tc>
          <w:tcPr>
            <w:tcW w:type="dxa" w:w="1100"/>
            <w:shd w:fill="022B1E" w:val="clear"/>
          </w:tcPr>
          <w:p>
            <w:pPr>
              <w:spacing w:after="0"/>
            </w:pPr>
            <w:r>
              <w:rPr>
                <w:rFonts w:ascii="Arial" w:cs="Arial" w:eastAsia="Arial" w:hAnsi="Arial"/>
                <w:b/>
                <w:bCs/>
                <w:color w:val="FFFFFF"/>
                <w:sz w:val="18"/>
                <w:szCs w:val="18"/>
              </w:rPr>
              <w:t xml:space="preserve">Probability</w:t>
            </w:r>
          </w:p>
        </w:tc>
        <w:tc>
          <w:tcPr>
            <w:tcW w:type="dxa" w:w="1200"/>
            <w:shd w:fill="022B1E" w:val="clear"/>
          </w:tcPr>
          <w:p>
            <w:pPr>
              <w:spacing w:after="0"/>
            </w:pPr>
            <w:r>
              <w:rPr>
                <w:rFonts w:ascii="Arial" w:cs="Arial" w:eastAsia="Arial" w:hAnsi="Arial"/>
                <w:b/>
                <w:bCs/>
                <w:color w:val="FFFFFF"/>
                <w:sz w:val="18"/>
                <w:szCs w:val="18"/>
              </w:rPr>
              <w:t xml:space="preserve">Impact</w:t>
            </w:r>
          </w:p>
        </w:tc>
        <w:tc>
          <w:tcPr>
            <w:tcW w:type="dxa" w:w="4860"/>
            <w:shd w:fill="022B1E" w:val="clear"/>
          </w:tcPr>
          <w:p>
            <w:pPr>
              <w:spacing w:after="0"/>
            </w:pPr>
            <w:r>
              <w:rPr>
                <w:rFonts w:ascii="Arial" w:cs="Arial" w:eastAsia="Arial" w:hAnsi="Arial"/>
                <w:b/>
                <w:bCs/>
                <w:color w:val="FFFFFF"/>
                <w:sz w:val="18"/>
                <w:szCs w:val="18"/>
              </w:rPr>
              <w:t xml:space="preserve">Mitigation</w:t>
            </w:r>
          </w:p>
        </w:tc>
      </w:tr>
      <w:tr>
        <w:tc>
          <w:tcPr>
            <w:tcW w:type="dxa" w:w="2200"/>
            <w:shd w:fill="F5F4F0" w:val="clear"/>
          </w:tcPr>
          <w:p>
            <w:pPr>
              <w:spacing w:after="0"/>
            </w:pPr>
            <w:r>
              <w:rPr>
                <w:rFonts w:ascii="Arial" w:cs="Arial" w:eastAsia="Arial" w:hAnsi="Arial"/>
                <w:color w:val="333333"/>
                <w:sz w:val="18"/>
                <w:szCs w:val="18"/>
              </w:rPr>
              <w:t xml:space="preserve">Gig worker reclassification legislation</w:t>
            </w:r>
          </w:p>
        </w:tc>
        <w:tc>
          <w:tcPr>
            <w:tcW w:type="dxa" w:w="1100"/>
            <w:shd w:fill="F5F4F0" w:val="clear"/>
          </w:tcPr>
          <w:p>
            <w:pPr>
              <w:spacing w:after="0"/>
            </w:pPr>
            <w:r>
              <w:rPr>
                <w:rFonts w:ascii="Arial" w:cs="Arial" w:eastAsia="Arial" w:hAnsi="Arial"/>
                <w:color w:val="333333"/>
                <w:sz w:val="18"/>
                <w:szCs w:val="18"/>
              </w:rPr>
              <w:t xml:space="preserve">MEDIUM (2-5 yr)</w:t>
            </w:r>
          </w:p>
        </w:tc>
        <w:tc>
          <w:tcPr>
            <w:tcW w:type="dxa" w:w="1200"/>
            <w:shd w:fill="F5F4F0" w:val="clear"/>
          </w:tcPr>
          <w:p>
            <w:pPr>
              <w:spacing w:after="0"/>
            </w:pPr>
            <w:r>
              <w:rPr>
                <w:rFonts w:ascii="Arial" w:cs="Arial" w:eastAsia="Arial" w:hAnsi="Arial"/>
                <w:color w:val="333333"/>
                <w:sz w:val="18"/>
                <w:szCs w:val="18"/>
              </w:rPr>
              <w:t xml:space="preserve">HIGH (15% payroll cost increase)</w:t>
            </w:r>
          </w:p>
        </w:tc>
        <w:tc>
          <w:tcPr>
            <w:tcW w:type="dxa" w:w="4860"/>
            <w:shd w:fill="F5F4F0" w:val="clear"/>
          </w:tcPr>
          <w:p>
            <w:pPr>
              <w:spacing w:after="0"/>
            </w:pPr>
            <w:r>
              <w:rPr>
                <w:rFonts w:ascii="Arial" w:cs="Arial" w:eastAsia="Arial" w:hAnsi="Arial"/>
                <w:color w:val="333333"/>
                <w:sz w:val="18"/>
                <w:szCs w:val="18"/>
              </w:rPr>
              <w:t xml:space="preserve">Maximize genuine contractor independence</w:t>
            </w:r>
          </w:p>
        </w:tc>
      </w:tr>
      <w:tr>
        <w:tc>
          <w:tcPr>
            <w:tcW w:type="dxa" w:w="2200"/>
            <w:shd w:fill="FFFFFF" w:val="clear"/>
          </w:tcPr>
          <w:p>
            <w:pPr>
              <w:spacing w:after="0"/>
            </w:pPr>
            <w:r>
              <w:rPr>
                <w:rFonts w:ascii="Arial" w:cs="Arial" w:eastAsia="Arial" w:hAnsi="Arial"/>
                <w:color w:val="333333"/>
                <w:sz w:val="18"/>
                <w:szCs w:val="18"/>
              </w:rPr>
              <w:t xml:space="preserve">BoU expands fintech licensing to marketplace facilitators</w:t>
            </w:r>
          </w:p>
        </w:tc>
        <w:tc>
          <w:tcPr>
            <w:tcW w:type="dxa" w:w="1100"/>
            <w:shd w:fill="FFFFFF" w:val="clear"/>
          </w:tcPr>
          <w:p>
            <w:pPr>
              <w:spacing w:after="0"/>
            </w:pPr>
            <w:r>
              <w:rPr>
                <w:rFonts w:ascii="Arial" w:cs="Arial" w:eastAsia="Arial" w:hAnsi="Arial"/>
                <w:color w:val="333333"/>
                <w:sz w:val="18"/>
                <w:szCs w:val="18"/>
              </w:rPr>
              <w:t xml:space="preserve">LOW-MEDIUM</w:t>
            </w:r>
          </w:p>
        </w:tc>
        <w:tc>
          <w:tcPr>
            <w:tcW w:type="dxa" w:w="1200"/>
            <w:shd w:fill="FFFFFF" w:val="clear"/>
          </w:tcPr>
          <w:p>
            <w:pPr>
              <w:spacing w:after="0"/>
            </w:pPr>
            <w:r>
              <w:rPr>
                <w:rFonts w:ascii="Arial" w:cs="Arial" w:eastAsia="Arial" w:hAnsi="Arial"/>
                <w:color w:val="333333"/>
                <w:sz w:val="18"/>
                <w:szCs w:val="18"/>
              </w:rPr>
              <w:t xml:space="preserve">MEDIUM (licensing cost + delays)</w:t>
            </w:r>
          </w:p>
        </w:tc>
        <w:tc>
          <w:tcPr>
            <w:tcW w:type="dxa" w:w="4860"/>
            <w:shd w:fill="FFFFFF" w:val="clear"/>
          </w:tcPr>
          <w:p>
            <w:pPr>
              <w:spacing w:after="0"/>
            </w:pPr>
            <w:r>
              <w:rPr>
                <w:rFonts w:ascii="Arial" w:cs="Arial" w:eastAsia="Arial" w:hAnsi="Arial"/>
                <w:color w:val="333333"/>
                <w:sz w:val="18"/>
                <w:szCs w:val="18"/>
              </w:rPr>
              <w:t xml:space="preserve">Route all payments through licensed MoMo providers</w:t>
            </w:r>
          </w:p>
        </w:tc>
      </w:tr>
      <w:tr>
        <w:tc>
          <w:tcPr>
            <w:tcW w:type="dxa" w:w="2200"/>
            <w:shd w:fill="F5F4F0" w:val="clear"/>
          </w:tcPr>
          <w:p>
            <w:pPr>
              <w:spacing w:after="0"/>
            </w:pPr>
            <w:r>
              <w:rPr>
                <w:rFonts w:ascii="Arial" w:cs="Arial" w:eastAsia="Arial" w:hAnsi="Arial"/>
                <w:color w:val="333333"/>
                <w:sz w:val="18"/>
                <w:szCs w:val="18"/>
              </w:rPr>
              <w:t xml:space="preserve">PDPO enforcement action for non-registration</w:t>
            </w:r>
          </w:p>
        </w:tc>
        <w:tc>
          <w:tcPr>
            <w:tcW w:type="dxa" w:w="1100"/>
            <w:shd w:fill="F5F4F0" w:val="clear"/>
          </w:tcPr>
          <w:p>
            <w:pPr>
              <w:spacing w:after="0"/>
            </w:pPr>
            <w:r>
              <w:rPr>
                <w:rFonts w:ascii="Arial" w:cs="Arial" w:eastAsia="Arial" w:hAnsi="Arial"/>
                <w:color w:val="333333"/>
                <w:sz w:val="18"/>
                <w:szCs w:val="18"/>
              </w:rPr>
              <w:t xml:space="preserve">HIGH (if unregistered)</w:t>
            </w:r>
          </w:p>
        </w:tc>
        <w:tc>
          <w:tcPr>
            <w:tcW w:type="dxa" w:w="1200"/>
            <w:shd w:fill="F5F4F0" w:val="clear"/>
          </w:tcPr>
          <w:p>
            <w:pPr>
              <w:spacing w:after="0"/>
            </w:pPr>
            <w:r>
              <w:rPr>
                <w:rFonts w:ascii="Arial" w:cs="Arial" w:eastAsia="Arial" w:hAnsi="Arial"/>
                <w:color w:val="333333"/>
                <w:sz w:val="18"/>
                <w:szCs w:val="18"/>
              </w:rPr>
              <w:t xml:space="preserve">HIGH (fine + imprisonment)</w:t>
            </w:r>
          </w:p>
        </w:tc>
        <w:tc>
          <w:tcPr>
            <w:tcW w:type="dxa" w:w="4860"/>
            <w:shd w:fill="F5F4F0" w:val="clear"/>
          </w:tcPr>
          <w:p>
            <w:pPr>
              <w:spacing w:after="0"/>
            </w:pPr>
            <w:r>
              <w:rPr>
                <w:rFonts w:ascii="Arial" w:cs="Arial" w:eastAsia="Arial" w:hAnsi="Arial"/>
                <w:color w:val="333333"/>
                <w:sz w:val="18"/>
                <w:szCs w:val="18"/>
              </w:rPr>
              <w:t xml:space="preserve">Register immediately — UGX 100,000</w:t>
            </w:r>
          </w:p>
        </w:tc>
      </w:tr>
      <w:tr>
        <w:tc>
          <w:tcPr>
            <w:tcW w:type="dxa" w:w="2200"/>
            <w:shd w:fill="FFFFFF" w:val="clear"/>
          </w:tcPr>
          <w:p>
            <w:pPr>
              <w:spacing w:after="0"/>
            </w:pPr>
            <w:r>
              <w:rPr>
                <w:rFonts w:ascii="Arial" w:cs="Arial" w:eastAsia="Arial" w:hAnsi="Arial"/>
                <w:color w:val="333333"/>
                <w:sz w:val="18"/>
                <w:szCs w:val="18"/>
              </w:rPr>
              <w:t xml:space="preserve">Mobile money tax increase</w:t>
            </w:r>
          </w:p>
        </w:tc>
        <w:tc>
          <w:tcPr>
            <w:tcW w:type="dxa" w:w="1100"/>
            <w:shd w:fill="FFFFFF" w:val="clear"/>
          </w:tcPr>
          <w:p>
            <w:pPr>
              <w:spacing w:after="0"/>
            </w:pPr>
            <w:r>
              <w:rPr>
                <w:rFonts w:ascii="Arial" w:cs="Arial" w:eastAsia="Arial" w:hAnsi="Arial"/>
                <w:color w:val="333333"/>
                <w:sz w:val="18"/>
                <w:szCs w:val="18"/>
              </w:rPr>
              <w:t xml:space="preserve">MEDIUM</w:t>
            </w:r>
          </w:p>
        </w:tc>
        <w:tc>
          <w:tcPr>
            <w:tcW w:type="dxa" w:w="1200"/>
            <w:shd w:fill="FFFFFF" w:val="clear"/>
          </w:tcPr>
          <w:p>
            <w:pPr>
              <w:spacing w:after="0"/>
            </w:pPr>
            <w:r>
              <w:rPr>
                <w:rFonts w:ascii="Arial" w:cs="Arial" w:eastAsia="Arial" w:hAnsi="Arial"/>
                <w:color w:val="333333"/>
                <w:sz w:val="18"/>
                <w:szCs w:val="18"/>
              </w:rPr>
              <w:t xml:space="preserve">LOW-MEDIUM (reduces inspector payout)</w:t>
            </w:r>
          </w:p>
        </w:tc>
        <w:tc>
          <w:tcPr>
            <w:tcW w:type="dxa" w:w="4860"/>
            <w:shd w:fill="FFFFFF" w:val="clear"/>
          </w:tcPr>
          <w:p>
            <w:pPr>
              <w:spacing w:after="0"/>
            </w:pPr>
            <w:r>
              <w:rPr>
                <w:rFonts w:ascii="Arial" w:cs="Arial" w:eastAsia="Arial" w:hAnsi="Arial"/>
                <w:color w:val="333333"/>
                <w:sz w:val="18"/>
                <w:szCs w:val="18"/>
              </w:rPr>
              <w:t xml:space="preserve">Monitor Uganda Finance Bill annually; factor into pricing</w:t>
            </w:r>
          </w:p>
        </w:tc>
      </w:tr>
      <w:tr>
        <w:tc>
          <w:tcPr>
            <w:tcW w:type="dxa" w:w="2200"/>
            <w:shd w:fill="F5F4F0" w:val="clear"/>
          </w:tcPr>
          <w:p>
            <w:pPr>
              <w:spacing w:after="0"/>
            </w:pPr>
            <w:r>
              <w:rPr>
                <w:rFonts w:ascii="Arial" w:cs="Arial" w:eastAsia="Arial" w:hAnsi="Arial"/>
                <w:color w:val="333333"/>
                <w:sz w:val="18"/>
                <w:szCs w:val="18"/>
              </w:rPr>
              <w:t xml:space="preserve">URA transfer pricing audit on inter-company flows</w:t>
            </w:r>
          </w:p>
        </w:tc>
        <w:tc>
          <w:tcPr>
            <w:tcW w:type="dxa" w:w="1100"/>
            <w:shd w:fill="F5F4F0" w:val="clear"/>
          </w:tcPr>
          <w:p>
            <w:pPr>
              <w:spacing w:after="0"/>
            </w:pPr>
            <w:r>
              <w:rPr>
                <w:rFonts w:ascii="Arial" w:cs="Arial" w:eastAsia="Arial" w:hAnsi="Arial"/>
                <w:color w:val="333333"/>
                <w:sz w:val="18"/>
                <w:szCs w:val="18"/>
              </w:rPr>
              <w:t xml:space="preserve">LOW</w:t>
            </w:r>
          </w:p>
        </w:tc>
        <w:tc>
          <w:tcPr>
            <w:tcW w:type="dxa" w:w="1200"/>
            <w:shd w:fill="F5F4F0" w:val="clear"/>
          </w:tcPr>
          <w:p>
            <w:pPr>
              <w:spacing w:after="0"/>
            </w:pPr>
            <w:r>
              <w:rPr>
                <w:rFonts w:ascii="Arial" w:cs="Arial" w:eastAsia="Arial" w:hAnsi="Arial"/>
                <w:color w:val="333333"/>
                <w:sz w:val="18"/>
                <w:szCs w:val="18"/>
              </w:rPr>
              <w:t xml:space="preserve">MEDIUM (penalties if not arm's length)</w:t>
            </w:r>
          </w:p>
        </w:tc>
        <w:tc>
          <w:tcPr>
            <w:tcW w:type="dxa" w:w="4860"/>
            <w:shd w:fill="F5F4F0" w:val="clear"/>
          </w:tcPr>
          <w:p>
            <w:pPr>
              <w:spacing w:after="0"/>
            </w:pPr>
            <w:r>
              <w:rPr>
                <w:rFonts w:ascii="Arial" w:cs="Arial" w:eastAsia="Arial" w:hAnsi="Arial"/>
                <w:color w:val="333333"/>
                <w:sz w:val="18"/>
                <w:szCs w:val="18"/>
              </w:rPr>
              <w:t xml:space="preserve">Maintain transfer pricing documentation from day one</w:t>
            </w:r>
          </w:p>
        </w:tc>
      </w:tr>
      <w:tr>
        <w:tc>
          <w:tcPr>
            <w:tcW w:type="dxa" w:w="2200"/>
            <w:shd w:fill="FFFFFF" w:val="clear"/>
          </w:tcPr>
          <w:p>
            <w:pPr>
              <w:spacing w:after="0"/>
            </w:pPr>
            <w:r>
              <w:rPr>
                <w:rFonts w:ascii="Arial" w:cs="Arial" w:eastAsia="Arial" w:hAnsi="Arial"/>
                <w:color w:val="333333"/>
                <w:sz w:val="18"/>
                <w:szCs w:val="18"/>
              </w:rPr>
              <w:t xml:space="preserve">Political/regulatory instability</w:t>
            </w:r>
          </w:p>
        </w:tc>
        <w:tc>
          <w:tcPr>
            <w:tcW w:type="dxa" w:w="1100"/>
            <w:shd w:fill="FFFFFF" w:val="clear"/>
          </w:tcPr>
          <w:p>
            <w:pPr>
              <w:spacing w:after="0"/>
            </w:pPr>
            <w:r>
              <w:rPr>
                <w:rFonts w:ascii="Arial" w:cs="Arial" w:eastAsia="Arial" w:hAnsi="Arial"/>
                <w:color w:val="333333"/>
                <w:sz w:val="18"/>
                <w:szCs w:val="18"/>
              </w:rPr>
              <w:t xml:space="preserve">LOW-MEDIUM</w:t>
            </w:r>
          </w:p>
        </w:tc>
        <w:tc>
          <w:tcPr>
            <w:tcW w:type="dxa" w:w="1200"/>
            <w:shd w:fill="FFFFFF" w:val="clear"/>
          </w:tcPr>
          <w:p>
            <w:pPr>
              <w:spacing w:after="0"/>
            </w:pPr>
            <w:r>
              <w:rPr>
                <w:rFonts w:ascii="Arial" w:cs="Arial" w:eastAsia="Arial" w:hAnsi="Arial"/>
                <w:color w:val="333333"/>
                <w:sz w:val="18"/>
                <w:szCs w:val="18"/>
              </w:rPr>
              <w:t xml:space="preserve">MEDIUM</w:t>
            </w:r>
          </w:p>
        </w:tc>
        <w:tc>
          <w:tcPr>
            <w:tcW w:type="dxa" w:w="4860"/>
            <w:shd w:fill="FFFFFF" w:val="clear"/>
          </w:tcPr>
          <w:p>
            <w:pPr>
              <w:spacing w:after="0"/>
            </w:pPr>
            <w:r>
              <w:rPr>
                <w:rFonts w:ascii="Arial" w:cs="Arial" w:eastAsia="Arial" w:hAnsi="Arial"/>
                <w:color w:val="333333"/>
                <w:sz w:val="18"/>
                <w:szCs w:val="18"/>
              </w:rPr>
              <w:t xml:space="preserve">Maintain lean operations; don't over-invest before market validation</w:t>
            </w:r>
          </w:p>
        </w:tc>
      </w:tr>
      <w:tr>
        <w:tc>
          <w:tcPr>
            <w:tcW w:type="dxa" w:w="2200"/>
            <w:shd w:fill="F5F4F0" w:val="clear"/>
          </w:tcPr>
          <w:p>
            <w:pPr>
              <w:spacing w:after="0"/>
            </w:pPr>
            <w:r>
              <w:rPr>
                <w:rFonts w:ascii="Arial" w:cs="Arial" w:eastAsia="Arial" w:hAnsi="Arial"/>
                <w:color w:val="333333"/>
                <w:sz w:val="18"/>
                <w:szCs w:val="18"/>
              </w:rPr>
              <w:t xml:space="preserve">Inspector safety incident (trespass, property damage)</w:t>
            </w:r>
          </w:p>
        </w:tc>
        <w:tc>
          <w:tcPr>
            <w:tcW w:type="dxa" w:w="1100"/>
            <w:shd w:fill="F5F4F0" w:val="clear"/>
          </w:tcPr>
          <w:p>
            <w:pPr>
              <w:spacing w:after="0"/>
            </w:pPr>
            <w:r>
              <w:rPr>
                <w:rFonts w:ascii="Arial" w:cs="Arial" w:eastAsia="Arial" w:hAnsi="Arial"/>
                <w:color w:val="333333"/>
                <w:sz w:val="18"/>
                <w:szCs w:val="18"/>
              </w:rPr>
              <w:t xml:space="preserve">LOW-MEDIUM</w:t>
            </w:r>
          </w:p>
        </w:tc>
        <w:tc>
          <w:tcPr>
            <w:tcW w:type="dxa" w:w="1200"/>
            <w:shd w:fill="F5F4F0" w:val="clear"/>
          </w:tcPr>
          <w:p>
            <w:pPr>
              <w:spacing w:after="0"/>
            </w:pPr>
            <w:r>
              <w:rPr>
                <w:rFonts w:ascii="Arial" w:cs="Arial" w:eastAsia="Arial" w:hAnsi="Arial"/>
                <w:color w:val="333333"/>
                <w:sz w:val="18"/>
                <w:szCs w:val="18"/>
              </w:rPr>
              <w:t xml:space="preserve">HIGH (liability, reputation)</w:t>
            </w:r>
          </w:p>
        </w:tc>
        <w:tc>
          <w:tcPr>
            <w:tcW w:type="dxa" w:w="4860"/>
            <w:shd w:fill="F5F4F0" w:val="clear"/>
          </w:tcPr>
          <w:p>
            <w:pPr>
              <w:spacing w:after="0"/>
            </w:pPr>
            <w:r>
              <w:rPr>
                <w:rFonts w:ascii="Arial" w:cs="Arial" w:eastAsia="Arial" w:hAnsi="Arial"/>
                <w:color w:val="333333"/>
                <w:sz w:val="18"/>
                <w:szCs w:val="18"/>
              </w:rPr>
              <w:t xml:space="preserve">Safety protocols, background checks, incident response SOP</w:t>
            </w:r>
          </w:p>
        </w:tc>
      </w:tr>
      <w:tr>
        <w:tc>
          <w:tcPr>
            <w:tcW w:type="dxa" w:w="2200"/>
            <w:shd w:fill="FFFFFF" w:val="clear"/>
          </w:tcPr>
          <w:p>
            <w:pPr>
              <w:spacing w:after="0"/>
            </w:pPr>
            <w:r>
              <w:rPr>
                <w:rFonts w:ascii="Arial" w:cs="Arial" w:eastAsia="Arial" w:hAnsi="Arial"/>
                <w:color w:val="333333"/>
                <w:sz w:val="18"/>
                <w:szCs w:val="18"/>
              </w:rPr>
              <w:t xml:space="preserve">Client disputes re: evidence quality</w:t>
            </w:r>
          </w:p>
        </w:tc>
        <w:tc>
          <w:tcPr>
            <w:tcW w:type="dxa" w:w="1100"/>
            <w:shd w:fill="FFFFFF" w:val="clear"/>
          </w:tcPr>
          <w:p>
            <w:pPr>
              <w:spacing w:after="0"/>
            </w:pPr>
            <w:r>
              <w:rPr>
                <w:rFonts w:ascii="Arial" w:cs="Arial" w:eastAsia="Arial" w:hAnsi="Arial"/>
                <w:color w:val="333333"/>
                <w:sz w:val="18"/>
                <w:szCs w:val="18"/>
              </w:rPr>
              <w:t xml:space="preserve">MEDIUM</w:t>
            </w:r>
          </w:p>
        </w:tc>
        <w:tc>
          <w:tcPr>
            <w:tcW w:type="dxa" w:w="1200"/>
            <w:shd w:fill="FFFFFF" w:val="clear"/>
          </w:tcPr>
          <w:p>
            <w:pPr>
              <w:spacing w:after="0"/>
            </w:pPr>
            <w:r>
              <w:rPr>
                <w:rFonts w:ascii="Arial" w:cs="Arial" w:eastAsia="Arial" w:hAnsi="Arial"/>
                <w:color w:val="333333"/>
                <w:sz w:val="18"/>
                <w:szCs w:val="18"/>
              </w:rPr>
              <w:t xml:space="preserve">LOW (financial), MEDIUM (reputation)</w:t>
            </w:r>
          </w:p>
        </w:tc>
        <w:tc>
          <w:tcPr>
            <w:tcW w:type="dxa" w:w="4860"/>
            <w:shd w:fill="FFFFFF" w:val="clear"/>
          </w:tcPr>
          <w:p>
            <w:pPr>
              <w:spacing w:after="0"/>
            </w:pPr>
            <w:r>
              <w:rPr>
                <w:rFonts w:ascii="Arial" w:cs="Arial" w:eastAsia="Arial" w:hAnsi="Arial"/>
                <w:color w:val="333333"/>
                <w:sz w:val="18"/>
                <w:szCs w:val="18"/>
              </w:rPr>
              <w:t xml:space="preserve">Prominent disclaimer, 3-tier dispute resolution, refund policy</w:t>
            </w:r>
          </w:p>
        </w:tc>
      </w:tr>
      <w:tr>
        <w:tc>
          <w:tcPr>
            <w:tcW w:type="dxa" w:w="2200"/>
            <w:shd w:fill="F5F4F0" w:val="clear"/>
          </w:tcPr>
          <w:p>
            <w:pPr>
              <w:spacing w:after="0"/>
            </w:pPr>
            <w:r>
              <w:rPr>
                <w:rFonts w:ascii="Arial" w:cs="Arial" w:eastAsia="Arial" w:hAnsi="Arial"/>
                <w:color w:val="333333"/>
                <w:sz w:val="18"/>
                <w:szCs w:val="18"/>
              </w:rPr>
              <w:t xml:space="preserve">Competition from local managed services</w:t>
            </w:r>
          </w:p>
        </w:tc>
        <w:tc>
          <w:tcPr>
            <w:tcW w:type="dxa" w:w="1100"/>
            <w:shd w:fill="F5F4F0" w:val="clear"/>
          </w:tcPr>
          <w:p>
            <w:pPr>
              <w:spacing w:after="0"/>
            </w:pPr>
            <w:r>
              <w:rPr>
                <w:rFonts w:ascii="Arial" w:cs="Arial" w:eastAsia="Arial" w:hAnsi="Arial"/>
                <w:color w:val="333333"/>
                <w:sz w:val="18"/>
                <w:szCs w:val="18"/>
              </w:rPr>
              <w:t xml:space="preserve">MEDIUM</w:t>
            </w:r>
          </w:p>
        </w:tc>
        <w:tc>
          <w:tcPr>
            <w:tcW w:type="dxa" w:w="1200"/>
            <w:shd w:fill="F5F4F0" w:val="clear"/>
          </w:tcPr>
          <w:p>
            <w:pPr>
              <w:spacing w:after="0"/>
            </w:pPr>
            <w:r>
              <w:rPr>
                <w:rFonts w:ascii="Arial" w:cs="Arial" w:eastAsia="Arial" w:hAnsi="Arial"/>
                <w:color w:val="333333"/>
                <w:sz w:val="18"/>
                <w:szCs w:val="18"/>
              </w:rPr>
              <w:t xml:space="preserve">LOW (different model)</w:t>
            </w:r>
          </w:p>
        </w:tc>
        <w:tc>
          <w:tcPr>
            <w:tcW w:type="dxa" w:w="4860"/>
            <w:shd w:fill="F5F4F0" w:val="clear"/>
          </w:tcPr>
          <w:p>
            <w:pPr>
              <w:spacing w:after="0"/>
            </w:pPr>
            <w:r>
              <w:rPr>
                <w:rFonts w:ascii="Arial" w:cs="Arial" w:eastAsia="Arial" w:hAnsi="Arial"/>
                <w:color w:val="333333"/>
                <w:sz w:val="18"/>
                <w:szCs w:val="18"/>
              </w:rPr>
              <w:t xml:space="preserve">Marketplace pricing advantage (3-5x cheaper than managed services)</w:t>
            </w:r>
          </w:p>
        </w:tc>
      </w:tr>
      <w:tr>
        <w:tc>
          <w:tcPr>
            <w:tcW w:type="dxa" w:w="2200"/>
            <w:shd w:fill="FFFFFF" w:val="clear"/>
          </w:tcPr>
          <w:p>
            <w:pPr>
              <w:spacing w:after="0"/>
            </w:pPr>
            <w:r>
              <w:rPr>
                <w:rFonts w:ascii="Arial" w:cs="Arial" w:eastAsia="Arial" w:hAnsi="Arial"/>
                <w:color w:val="333333"/>
                <w:sz w:val="18"/>
                <w:szCs w:val="18"/>
              </w:rPr>
              <w:t xml:space="preserve">Athlete + Her / GapSense entity confusion</w:t>
            </w:r>
          </w:p>
        </w:tc>
        <w:tc>
          <w:tcPr>
            <w:tcW w:type="dxa" w:w="1100"/>
            <w:shd w:fill="FFFFFF" w:val="clear"/>
          </w:tcPr>
          <w:p>
            <w:pPr>
              <w:spacing w:after="0"/>
            </w:pPr>
            <w:r>
              <w:rPr>
                <w:rFonts w:ascii="Arial" w:cs="Arial" w:eastAsia="Arial" w:hAnsi="Arial"/>
                <w:color w:val="333333"/>
                <w:sz w:val="18"/>
                <w:szCs w:val="18"/>
              </w:rPr>
              <w:t xml:space="preserve">LOW</w:t>
            </w:r>
          </w:p>
        </w:tc>
        <w:tc>
          <w:tcPr>
            <w:tcW w:type="dxa" w:w="1200"/>
            <w:shd w:fill="FFFFFF" w:val="clear"/>
          </w:tcPr>
          <w:p>
            <w:pPr>
              <w:spacing w:after="0"/>
            </w:pPr>
            <w:r>
              <w:rPr>
                <w:rFonts w:ascii="Arial" w:cs="Arial" w:eastAsia="Arial" w:hAnsi="Arial"/>
                <w:color w:val="333333"/>
                <w:sz w:val="18"/>
                <w:szCs w:val="18"/>
              </w:rPr>
              <w:t xml:space="preserve">MEDIUM (legal, tax)</w:t>
            </w:r>
          </w:p>
        </w:tc>
        <w:tc>
          <w:tcPr>
            <w:tcW w:type="dxa" w:w="4860"/>
            <w:shd w:fill="FFFFFF" w:val="clear"/>
          </w:tcPr>
          <w:p>
            <w:pPr>
              <w:spacing w:after="0"/>
            </w:pPr>
            <w:r>
              <w:rPr>
                <w:rFonts w:ascii="Arial" w:cs="Arial" w:eastAsia="Arial" w:hAnsi="Arial"/>
                <w:color w:val="333333"/>
                <w:sz w:val="18"/>
                <w:szCs w:val="18"/>
              </w:rPr>
              <w:t xml:space="preserve">Clean entity separation, distinct bank accounts, separate filings</w:t>
            </w:r>
          </w:p>
        </w:tc>
      </w:tr>
    </w:tbl>
    <w:p>
      <w:pPr>
        <w:pStyle w:val="Heading1"/>
        <w:spacing w:after="200" w:before="400"/>
      </w:pPr>
      <w:r>
        <w:rPr>
          <w:rFonts w:ascii="Arial" w:cs="Arial" w:eastAsia="Arial" w:hAnsi="Arial"/>
          <w:b/>
          <w:bCs/>
          <w:color w:val="022B1E"/>
          <w:sz w:val="28"/>
          <w:szCs w:val="28"/>
        </w:rPr>
        <w:t xml:space="preserve">11. Recommended Ugandan Legal Counsel</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shd w:fill="022B1E" w:val="clear"/>
          </w:tcPr>
          <w:p>
            <w:pPr>
              <w:spacing w:after="0"/>
            </w:pPr>
            <w:r>
              <w:rPr>
                <w:rFonts w:ascii="Arial" w:cs="Arial" w:eastAsia="Arial" w:hAnsi="Arial"/>
                <w:b/>
                <w:bCs/>
                <w:color w:val="FFFFFF"/>
                <w:sz w:val="18"/>
                <w:szCs w:val="18"/>
              </w:rPr>
              <w:t xml:space="preserve">Specialty</w:t>
            </w:r>
          </w:p>
        </w:tc>
        <w:tc>
          <w:tcPr>
            <w:tcW w:type="dxa" w:w="3000"/>
            <w:shd w:fill="022B1E" w:val="clear"/>
          </w:tcPr>
          <w:p>
            <w:pPr>
              <w:spacing w:after="0"/>
            </w:pPr>
            <w:r>
              <w:rPr>
                <w:rFonts w:ascii="Arial" w:cs="Arial" w:eastAsia="Arial" w:hAnsi="Arial"/>
                <w:b/>
                <w:bCs/>
                <w:color w:val="FFFFFF"/>
                <w:sz w:val="18"/>
                <w:szCs w:val="18"/>
              </w:rPr>
              <w:t xml:space="preserve">Purpose</w:t>
            </w:r>
          </w:p>
        </w:tc>
        <w:tc>
          <w:tcPr>
            <w:tcW w:type="dxa" w:w="1600"/>
            <w:shd w:fill="022B1E" w:val="clear"/>
          </w:tcPr>
          <w:p>
            <w:pPr>
              <w:spacing w:after="0"/>
            </w:pPr>
            <w:r>
              <w:rPr>
                <w:rFonts w:ascii="Arial" w:cs="Arial" w:eastAsia="Arial" w:hAnsi="Arial"/>
                <w:b/>
                <w:bCs/>
                <w:color w:val="FFFFFF"/>
                <w:sz w:val="18"/>
                <w:szCs w:val="18"/>
              </w:rPr>
              <w:t xml:space="preserve">Est. Budget</w:t>
            </w:r>
          </w:p>
        </w:tc>
        <w:tc>
          <w:tcPr>
            <w:tcW w:type="dxa" w:w="2760"/>
            <w:shd w:fill="022B1E" w:val="clear"/>
          </w:tcPr>
          <w:p>
            <w:pPr>
              <w:spacing w:after="0"/>
            </w:pPr>
            <w:r>
              <w:rPr>
                <w:rFonts w:ascii="Arial" w:cs="Arial" w:eastAsia="Arial" w:hAnsi="Arial"/>
                <w:b/>
                <w:bCs/>
                <w:color w:val="FFFFFF"/>
                <w:sz w:val="18"/>
                <w:szCs w:val="18"/>
              </w:rPr>
              <w:t xml:space="preserve">When Needed</w:t>
            </w:r>
          </w:p>
        </w:tc>
      </w:tr>
      <w:tr>
        <w:tc>
          <w:tcPr>
            <w:tcW w:type="dxa" w:w="2000"/>
            <w:shd w:fill="F5F4F0" w:val="clear"/>
          </w:tcPr>
          <w:p>
            <w:pPr>
              <w:spacing w:after="0"/>
            </w:pPr>
            <w:r>
              <w:rPr>
                <w:rFonts w:ascii="Arial" w:cs="Arial" w:eastAsia="Arial" w:hAnsi="Arial"/>
                <w:color w:val="333333"/>
                <w:sz w:val="18"/>
                <w:szCs w:val="18"/>
              </w:rPr>
              <w:t xml:space="preserve">Corporate / company formation</w:t>
            </w:r>
          </w:p>
        </w:tc>
        <w:tc>
          <w:tcPr>
            <w:tcW w:type="dxa" w:w="3000"/>
            <w:shd w:fill="F5F4F0" w:val="clear"/>
          </w:tcPr>
          <w:p>
            <w:pPr>
              <w:spacing w:after="0"/>
            </w:pPr>
            <w:r>
              <w:rPr>
                <w:rFonts w:ascii="Arial" w:cs="Arial" w:eastAsia="Arial" w:hAnsi="Arial"/>
                <w:color w:val="333333"/>
                <w:sz w:val="18"/>
                <w:szCs w:val="18"/>
              </w:rPr>
              <w:t xml:space="preserve">EyeOnSite Uganda Ltd incorporation, URSB filing</w:t>
            </w:r>
          </w:p>
        </w:tc>
        <w:tc>
          <w:tcPr>
            <w:tcW w:type="dxa" w:w="1600"/>
            <w:shd w:fill="F5F4F0" w:val="clear"/>
          </w:tcPr>
          <w:p>
            <w:pPr>
              <w:spacing w:after="0"/>
            </w:pPr>
            <w:r>
              <w:rPr>
                <w:rFonts w:ascii="Arial" w:cs="Arial" w:eastAsia="Arial" w:hAnsi="Arial"/>
                <w:color w:val="333333"/>
                <w:sz w:val="18"/>
                <w:szCs w:val="18"/>
              </w:rPr>
              <w:t xml:space="preserve">$300-500</w:t>
            </w:r>
          </w:p>
        </w:tc>
        <w:tc>
          <w:tcPr>
            <w:tcW w:type="dxa" w:w="2760"/>
            <w:shd w:fill="F5F4F0" w:val="clear"/>
          </w:tcPr>
          <w:p>
            <w:pPr>
              <w:spacing w:after="0"/>
            </w:pPr>
            <w:r>
              <w:rPr>
                <w:rFonts w:ascii="Arial" w:cs="Arial" w:eastAsia="Arial" w:hAnsi="Arial"/>
                <w:color w:val="333333"/>
                <w:sz w:val="18"/>
                <w:szCs w:val="18"/>
              </w:rPr>
              <w:t xml:space="preserve">Phase 1 (immediate)</w:t>
            </w:r>
          </w:p>
        </w:tc>
      </w:tr>
      <w:tr>
        <w:tc>
          <w:tcPr>
            <w:tcW w:type="dxa" w:w="2000"/>
            <w:shd w:fill="FFFFFF" w:val="clear"/>
          </w:tcPr>
          <w:p>
            <w:pPr>
              <w:spacing w:after="0"/>
            </w:pPr>
            <w:r>
              <w:rPr>
                <w:rFonts w:ascii="Arial" w:cs="Arial" w:eastAsia="Arial" w:hAnsi="Arial"/>
                <w:color w:val="333333"/>
                <w:sz w:val="18"/>
                <w:szCs w:val="18"/>
              </w:rPr>
              <w:t xml:space="preserve">Data protection</w:t>
            </w:r>
          </w:p>
        </w:tc>
        <w:tc>
          <w:tcPr>
            <w:tcW w:type="dxa" w:w="3000"/>
            <w:shd w:fill="FFFFFF" w:val="clear"/>
          </w:tcPr>
          <w:p>
            <w:pPr>
              <w:spacing w:after="0"/>
            </w:pPr>
            <w:r>
              <w:rPr>
                <w:rFonts w:ascii="Arial" w:cs="Arial" w:eastAsia="Arial" w:hAnsi="Arial"/>
                <w:color w:val="333333"/>
                <w:sz w:val="18"/>
                <w:szCs w:val="18"/>
              </w:rPr>
              <w:t xml:space="preserve">PDPO registration, DPPA compliance review, Privacy Policy</w:t>
            </w:r>
          </w:p>
        </w:tc>
        <w:tc>
          <w:tcPr>
            <w:tcW w:type="dxa" w:w="1600"/>
            <w:shd w:fill="FFFFFF" w:val="clear"/>
          </w:tcPr>
          <w:p>
            <w:pPr>
              <w:spacing w:after="0"/>
            </w:pPr>
            <w:r>
              <w:rPr>
                <w:rFonts w:ascii="Arial" w:cs="Arial" w:eastAsia="Arial" w:hAnsi="Arial"/>
                <w:color w:val="333333"/>
                <w:sz w:val="18"/>
                <w:szCs w:val="18"/>
              </w:rPr>
              <w:t xml:space="preserve">$500-1,000</w:t>
            </w:r>
          </w:p>
        </w:tc>
        <w:tc>
          <w:tcPr>
            <w:tcW w:type="dxa" w:w="2760"/>
            <w:shd w:fill="FFFFFF" w:val="clear"/>
          </w:tcPr>
          <w:p>
            <w:pPr>
              <w:spacing w:after="0"/>
            </w:pPr>
            <w:r>
              <w:rPr>
                <w:rFonts w:ascii="Arial" w:cs="Arial" w:eastAsia="Arial" w:hAnsi="Arial"/>
                <w:color w:val="333333"/>
                <w:sz w:val="18"/>
                <w:szCs w:val="18"/>
              </w:rPr>
              <w:t xml:space="preserve">Phase 1</w:t>
            </w:r>
          </w:p>
        </w:tc>
      </w:tr>
      <w:tr>
        <w:tc>
          <w:tcPr>
            <w:tcW w:type="dxa" w:w="2000"/>
            <w:shd w:fill="F5F4F0" w:val="clear"/>
          </w:tcPr>
          <w:p>
            <w:pPr>
              <w:spacing w:after="0"/>
            </w:pPr>
            <w:r>
              <w:rPr>
                <w:rFonts w:ascii="Arial" w:cs="Arial" w:eastAsia="Arial" w:hAnsi="Arial"/>
                <w:color w:val="333333"/>
                <w:sz w:val="18"/>
                <w:szCs w:val="18"/>
              </w:rPr>
              <w:t xml:space="preserve">Fintech / payment regulation</w:t>
            </w:r>
          </w:p>
        </w:tc>
        <w:tc>
          <w:tcPr>
            <w:tcW w:type="dxa" w:w="3000"/>
            <w:shd w:fill="F5F4F0" w:val="clear"/>
          </w:tcPr>
          <w:p>
            <w:pPr>
              <w:spacing w:after="0"/>
            </w:pPr>
            <w:r>
              <w:rPr>
                <w:rFonts w:ascii="Arial" w:cs="Arial" w:eastAsia="Arial" w:hAnsi="Arial"/>
                <w:color w:val="333333"/>
                <w:sz w:val="18"/>
                <w:szCs w:val="18"/>
              </w:rPr>
              <w:t xml:space="preserve">BoU licensing opinion, mobile money compliance</w:t>
            </w:r>
          </w:p>
        </w:tc>
        <w:tc>
          <w:tcPr>
            <w:tcW w:type="dxa" w:w="1600"/>
            <w:shd w:fill="F5F4F0" w:val="clear"/>
          </w:tcPr>
          <w:p>
            <w:pPr>
              <w:spacing w:after="0"/>
            </w:pPr>
            <w:r>
              <w:rPr>
                <w:rFonts w:ascii="Arial" w:cs="Arial" w:eastAsia="Arial" w:hAnsi="Arial"/>
                <w:color w:val="333333"/>
                <w:sz w:val="18"/>
                <w:szCs w:val="18"/>
              </w:rPr>
              <w:t xml:space="preserve">$1,000-1,500</w:t>
            </w:r>
          </w:p>
        </w:tc>
        <w:tc>
          <w:tcPr>
            <w:tcW w:type="dxa" w:w="2760"/>
            <w:shd w:fill="F5F4F0" w:val="clear"/>
          </w:tcPr>
          <w:p>
            <w:pPr>
              <w:spacing w:after="0"/>
            </w:pPr>
            <w:r>
              <w:rPr>
                <w:rFonts w:ascii="Arial" w:cs="Arial" w:eastAsia="Arial" w:hAnsi="Arial"/>
                <w:color w:val="333333"/>
                <w:sz w:val="18"/>
                <w:szCs w:val="18"/>
              </w:rPr>
              <w:t xml:space="preserve">Phase 1</w:t>
            </w:r>
          </w:p>
        </w:tc>
      </w:tr>
      <w:tr>
        <w:tc>
          <w:tcPr>
            <w:tcW w:type="dxa" w:w="2000"/>
            <w:shd w:fill="FFFFFF" w:val="clear"/>
          </w:tcPr>
          <w:p>
            <w:pPr>
              <w:spacing w:after="0"/>
            </w:pPr>
            <w:r>
              <w:rPr>
                <w:rFonts w:ascii="Arial" w:cs="Arial" w:eastAsia="Arial" w:hAnsi="Arial"/>
                <w:color w:val="333333"/>
                <w:sz w:val="18"/>
                <w:szCs w:val="18"/>
              </w:rPr>
              <w:t xml:space="preserve">Employment / contractor law</w:t>
            </w:r>
          </w:p>
        </w:tc>
        <w:tc>
          <w:tcPr>
            <w:tcW w:type="dxa" w:w="3000"/>
            <w:shd w:fill="FFFFFF" w:val="clear"/>
          </w:tcPr>
          <w:p>
            <w:pPr>
              <w:spacing w:after="0"/>
            </w:pPr>
            <w:r>
              <w:rPr>
                <w:rFonts w:ascii="Arial" w:cs="Arial" w:eastAsia="Arial" w:hAnsi="Arial"/>
                <w:color w:val="333333"/>
                <w:sz w:val="18"/>
                <w:szCs w:val="18"/>
              </w:rPr>
              <w:t xml:space="preserve">Inspector agreement, classification defense</w:t>
            </w:r>
          </w:p>
        </w:tc>
        <w:tc>
          <w:tcPr>
            <w:tcW w:type="dxa" w:w="1600"/>
            <w:shd w:fill="FFFFFF" w:val="clear"/>
          </w:tcPr>
          <w:p>
            <w:pPr>
              <w:spacing w:after="0"/>
            </w:pPr>
            <w:r>
              <w:rPr>
                <w:rFonts w:ascii="Arial" w:cs="Arial" w:eastAsia="Arial" w:hAnsi="Arial"/>
                <w:color w:val="333333"/>
                <w:sz w:val="18"/>
                <w:szCs w:val="18"/>
              </w:rPr>
              <w:t xml:space="preserve">$500-1,000</w:t>
            </w:r>
          </w:p>
        </w:tc>
        <w:tc>
          <w:tcPr>
            <w:tcW w:type="dxa" w:w="2760"/>
            <w:shd w:fill="FFFFFF" w:val="clear"/>
          </w:tcPr>
          <w:p>
            <w:pPr>
              <w:spacing w:after="0"/>
            </w:pPr>
            <w:r>
              <w:rPr>
                <w:rFonts w:ascii="Arial" w:cs="Arial" w:eastAsia="Arial" w:hAnsi="Arial"/>
                <w:color w:val="333333"/>
                <w:sz w:val="18"/>
                <w:szCs w:val="18"/>
              </w:rPr>
              <w:t xml:space="preserve">Phase 1</w:t>
            </w:r>
          </w:p>
        </w:tc>
      </w:tr>
      <w:tr>
        <w:tc>
          <w:tcPr>
            <w:tcW w:type="dxa" w:w="2000"/>
            <w:shd w:fill="F5F4F0" w:val="clear"/>
          </w:tcPr>
          <w:p>
            <w:pPr>
              <w:spacing w:after="0"/>
            </w:pPr>
            <w:r>
              <w:rPr>
                <w:rFonts w:ascii="Arial" w:cs="Arial" w:eastAsia="Arial" w:hAnsi="Arial"/>
                <w:color w:val="333333"/>
                <w:sz w:val="18"/>
                <w:szCs w:val="18"/>
              </w:rPr>
              <w:t xml:space="preserve">Tax advisory</w:t>
            </w:r>
          </w:p>
        </w:tc>
        <w:tc>
          <w:tcPr>
            <w:tcW w:type="dxa" w:w="3000"/>
            <w:shd w:fill="F5F4F0" w:val="clear"/>
          </w:tcPr>
          <w:p>
            <w:pPr>
              <w:spacing w:after="0"/>
            </w:pPr>
            <w:r>
              <w:rPr>
                <w:rFonts w:ascii="Arial" w:cs="Arial" w:eastAsia="Arial" w:hAnsi="Arial"/>
                <w:color w:val="333333"/>
                <w:sz w:val="18"/>
                <w:szCs w:val="18"/>
              </w:rPr>
              <w:t xml:space="preserve">Withholding tax, VAT, transfer pricing, corporate tax structure</w:t>
            </w:r>
          </w:p>
        </w:tc>
        <w:tc>
          <w:tcPr>
            <w:tcW w:type="dxa" w:w="1600"/>
            <w:shd w:fill="F5F4F0" w:val="clear"/>
          </w:tcPr>
          <w:p>
            <w:pPr>
              <w:spacing w:after="0"/>
            </w:pPr>
            <w:r>
              <w:rPr>
                <w:rFonts w:ascii="Arial" w:cs="Arial" w:eastAsia="Arial" w:hAnsi="Arial"/>
                <w:color w:val="333333"/>
                <w:sz w:val="18"/>
                <w:szCs w:val="18"/>
              </w:rPr>
              <w:t xml:space="preserve">$1,000-2,000</w:t>
            </w:r>
          </w:p>
        </w:tc>
        <w:tc>
          <w:tcPr>
            <w:tcW w:type="dxa" w:w="2760"/>
            <w:shd w:fill="F5F4F0" w:val="clear"/>
          </w:tcPr>
          <w:p>
            <w:pPr>
              <w:spacing w:after="0"/>
            </w:pPr>
            <w:r>
              <w:rPr>
                <w:rFonts w:ascii="Arial" w:cs="Arial" w:eastAsia="Arial" w:hAnsi="Arial"/>
                <w:color w:val="333333"/>
                <w:sz w:val="18"/>
                <w:szCs w:val="18"/>
              </w:rPr>
              <w:t xml:space="preserve">Phase 1 (before first inter-company payment)</w:t>
            </w:r>
          </w:p>
        </w:tc>
      </w:tr>
      <w:tr>
        <w:tc>
          <w:tcPr>
            <w:tcW w:type="dxa" w:w="2000"/>
            <w:shd w:fill="FFFFFF" w:val="clear"/>
          </w:tcPr>
          <w:p>
            <w:pPr>
              <w:spacing w:after="0"/>
            </w:pPr>
            <w:r>
              <w:rPr>
                <w:rFonts w:ascii="Arial" w:cs="Arial" w:eastAsia="Arial" w:hAnsi="Arial"/>
                <w:color w:val="333333"/>
                <w:sz w:val="18"/>
                <w:szCs w:val="18"/>
              </w:rPr>
              <w:t xml:space="preserve">IP / commercial</w:t>
            </w:r>
          </w:p>
        </w:tc>
        <w:tc>
          <w:tcPr>
            <w:tcW w:type="dxa" w:w="3000"/>
            <w:shd w:fill="FFFFFF" w:val="clear"/>
          </w:tcPr>
          <w:p>
            <w:pPr>
              <w:spacing w:after="0"/>
            </w:pPr>
            <w:r>
              <w:rPr>
                <w:rFonts w:ascii="Arial" w:cs="Arial" w:eastAsia="Arial" w:hAnsi="Arial"/>
                <w:color w:val="333333"/>
                <w:sz w:val="18"/>
                <w:szCs w:val="18"/>
              </w:rPr>
              <w:t xml:space="preserve">Inter-company IP license agreement, brand protection</w:t>
            </w:r>
          </w:p>
        </w:tc>
        <w:tc>
          <w:tcPr>
            <w:tcW w:type="dxa" w:w="1600"/>
            <w:shd w:fill="FFFFFF" w:val="clear"/>
          </w:tcPr>
          <w:p>
            <w:pPr>
              <w:spacing w:after="0"/>
            </w:pPr>
            <w:r>
              <w:rPr>
                <w:rFonts w:ascii="Arial" w:cs="Arial" w:eastAsia="Arial" w:hAnsi="Arial"/>
                <w:color w:val="333333"/>
                <w:sz w:val="18"/>
                <w:szCs w:val="18"/>
              </w:rPr>
              <w:t xml:space="preserve">$500-1,000</w:t>
            </w:r>
          </w:p>
        </w:tc>
        <w:tc>
          <w:tcPr>
            <w:tcW w:type="dxa" w:w="2760"/>
            <w:shd w:fill="FFFFFF" w:val="clear"/>
          </w:tcPr>
          <w:p>
            <w:pPr>
              <w:spacing w:after="0"/>
            </w:pPr>
            <w:r>
              <w:rPr>
                <w:rFonts w:ascii="Arial" w:cs="Arial" w:eastAsia="Arial" w:hAnsi="Arial"/>
                <w:color w:val="333333"/>
                <w:sz w:val="18"/>
                <w:szCs w:val="18"/>
              </w:rPr>
              <w:t xml:space="preserve">Phase 1-2</w:t>
            </w:r>
          </w:p>
        </w:tc>
      </w:tr>
      <w:tr>
        <w:tc>
          <w:tcPr>
            <w:tcW w:type="dxa" w:w="2000"/>
            <w:shd w:fill="F5F4F0" w:val="clear"/>
          </w:tcPr>
          <w:p>
            <w:pPr>
              <w:spacing w:after="0"/>
            </w:pPr>
            <w:r>
              <w:rPr>
                <w:rFonts w:ascii="Arial" w:cs="Arial" w:eastAsia="Arial" w:hAnsi="Arial"/>
                <w:color w:val="333333"/>
                <w:sz w:val="18"/>
                <w:szCs w:val="18"/>
              </w:rPr>
              <w:t xml:space="preserve">Ongoing compliance &amp; accounting</w:t>
            </w:r>
          </w:p>
        </w:tc>
        <w:tc>
          <w:tcPr>
            <w:tcW w:type="dxa" w:w="3000"/>
            <w:shd w:fill="F5F4F0" w:val="clear"/>
          </w:tcPr>
          <w:p>
            <w:pPr>
              <w:spacing w:after="0"/>
            </w:pPr>
            <w:r>
              <w:rPr>
                <w:rFonts w:ascii="Arial" w:cs="Arial" w:eastAsia="Arial" w:hAnsi="Arial"/>
                <w:color w:val="333333"/>
                <w:sz w:val="18"/>
                <w:szCs w:val="18"/>
              </w:rPr>
              <w:t xml:space="preserve">Annual filings, tax returns, PDPO renewal</w:t>
            </w:r>
          </w:p>
        </w:tc>
        <w:tc>
          <w:tcPr>
            <w:tcW w:type="dxa" w:w="1600"/>
            <w:shd w:fill="F5F4F0" w:val="clear"/>
          </w:tcPr>
          <w:p>
            <w:pPr>
              <w:spacing w:after="0"/>
            </w:pPr>
            <w:r>
              <w:rPr>
                <w:rFonts w:ascii="Arial" w:cs="Arial" w:eastAsia="Arial" w:hAnsi="Arial"/>
                <w:color w:val="333333"/>
                <w:sz w:val="18"/>
                <w:szCs w:val="18"/>
              </w:rPr>
              <w:t xml:space="preserve">$1,500-3,000/year</w:t>
            </w:r>
          </w:p>
        </w:tc>
        <w:tc>
          <w:tcPr>
            <w:tcW w:type="dxa" w:w="2760"/>
            <w:shd w:fill="F5F4F0" w:val="clear"/>
          </w:tcPr>
          <w:p>
            <w:pPr>
              <w:spacing w:after="0"/>
            </w:pPr>
            <w:r>
              <w:rPr>
                <w:rFonts w:ascii="Arial" w:cs="Arial" w:eastAsia="Arial" w:hAnsi="Arial"/>
                <w:color w:val="333333"/>
                <w:sz w:val="18"/>
                <w:szCs w:val="18"/>
              </w:rPr>
              <w:t xml:space="preserve">Phase 2 (ongoing)</w:t>
            </w:r>
          </w:p>
        </w:tc>
      </w:tr>
    </w:tbl>
    <w:p>
      <w:pPr>
        <w:spacing w:after="0"/>
      </w:pPr>
    </w:p>
    <w:p>
      <w:pPr>
        <w:spacing w:after="140" w:line="276"/>
      </w:pPr>
      <w:r>
        <w:rPr>
          <w:rFonts w:ascii="Arial" w:cs="Arial" w:eastAsia="Arial" w:hAnsi="Arial"/>
          <w:b/>
          <w:bCs/>
          <w:color w:val="333333"/>
          <w:sz w:val="20"/>
          <w:szCs w:val="20"/>
        </w:rPr>
        <w:t xml:space="preserve">Total Uganda legal/compliance budget (Year 1): </w:t>
      </w:r>
      <w:r>
        <w:rPr>
          <w:rFonts w:ascii="Arial" w:cs="Arial" w:eastAsia="Arial" w:hAnsi="Arial"/>
          <w:color w:val="333333"/>
          <w:sz w:val="20"/>
          <w:szCs w:val="20"/>
        </w:rPr>
        <w:t xml:space="preserve">$5,000-9,000</w:t>
      </w:r>
    </w:p>
    <w:p>
      <w:pPr>
        <w:spacing w:after="140" w:line="276"/>
      </w:pPr>
      <w:r>
        <w:rPr>
          <w:rFonts w:ascii="Arial" w:cs="Arial" w:eastAsia="Arial" w:hAnsi="Arial"/>
          <w:b/>
          <w:bCs/>
          <w:color w:val="333333"/>
          <w:sz w:val="20"/>
          <w:szCs w:val="20"/>
        </w:rPr>
        <w:t xml:space="preserve">Total Uganda ongoing annual compliance: </w:t>
      </w:r>
      <w:r>
        <w:rPr>
          <w:rFonts w:ascii="Arial" w:cs="Arial" w:eastAsia="Arial" w:hAnsi="Arial"/>
          <w:color w:val="333333"/>
          <w:sz w:val="20"/>
          <w:szCs w:val="20"/>
        </w:rPr>
        <w:t xml:space="preserve">$1,500-3,000/year</w:t>
      </w:r>
    </w:p>
    <w:p>
      <w:pPr>
        <w:spacing w:after="0"/>
      </w:pPr>
    </w:p>
    <w:p>
      <w:pPr>
        <w:pBdr>
          <w:left w:val="single" w:color="0B6E4F" w:sz="12" w:space="8"/>
        </w:pBdr>
        <w:shd w:fill="F0FDF4" w:val="clear"/>
        <w:spacing w:after="200" w:before="120"/>
      </w:pPr>
      <w:r>
        <w:rPr>
          <w:rFonts w:ascii="Arial" w:cs="Arial" w:eastAsia="Arial" w:hAnsi="Arial"/>
          <w:color w:val="333333"/>
          <w:sz w:val="20"/>
          <w:szCs w:val="20"/>
        </w:rPr>
        <w:t xml:space="preserve">For context: Uganda company registration costs ($220-380) are among the lowest in East Africa. The total Year 1 compliance budget ($5,000-9,000) is recoverable from approximately 55-100 completed Standard inspection tasks ($80 each, 18% platform fee). At 50 tasks/month in Uganda, the compliance budget is recovered within 1-2 months of active operations.</w:t>
      </w:r>
    </w:p>
    <w:p>
      <w:pPr>
        <w:spacing w:after="0"/>
      </w:pPr>
    </w:p>
    <w:p>
      <w:pPr>
        <w:pBdr>
          <w:top w:val="single" w:color="E8E6DD" w:sz="2" w:space="8"/>
        </w:pBdr>
        <w:spacing w:before="200"/>
        <w:jc w:val="center"/>
      </w:pPr>
      <w:r>
        <w:rPr>
          <w:rFonts w:ascii="Arial" w:cs="Arial" w:eastAsia="Arial" w:hAnsi="Arial"/>
          <w:i/>
          <w:iCs/>
          <w:color w:val="999999"/>
          <w:sz w:val="18"/>
          <w:szCs w:val="18"/>
        </w:rPr>
        <w:t xml:space="preserve">End of Uganda Regulatory Framework — EOS-16-UG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22B1E"/>
      <w:sz w:val="28"/>
      <w:szCs w:val="28"/>
    </w:rPr>
  </w:style>
  <w:style w:type="paragraph" w:styleId="Heading2">
    <w:name w:val="Heading 2"/>
    <w:basedOn w:val="Normal"/>
    <w:next w:val="Normal"/>
    <w:qFormat/>
    <w:pPr>
      <w:spacing w:after="160" w:before="300"/>
      <w:outlineLvl w:val="1"/>
    </w:pPr>
    <w:rPr>
      <w:rFonts w:ascii="Arial" w:cs="Arial" w:eastAsia="Arial" w:hAnsi="Arial"/>
      <w:b/>
      <w:bCs/>
      <w:color w:val="0B6E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2026-05-26T13:27:34.962Z</dcterms:created>
  <dcterms:modified xsi:type="dcterms:W3CDTF">2026-05-26T13:27:34.975Z</dcterms:modified>
</cp:coreProperties>
</file>

<file path=docProps/custom.xml><?xml version="1.0" encoding="utf-8"?>
<Properties xmlns="http://schemas.openxmlformats.org/officeDocument/2006/custom-properties" xmlns:vt="http://schemas.openxmlformats.org/officeDocument/2006/docPropsVTypes"/>
</file>