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0B6E4F"/>
          <w:sz w:val="36"/>
          <w:szCs w:val="36"/>
        </w:rPr>
        <w:t xml:space="preserve">EYEONSITE</w:t>
      </w:r>
    </w:p>
    <w:p>
      <w:pPr>
        <w:spacing w:after="40"/>
        <w:jc w:val="center"/>
      </w:pPr>
      <w:r>
        <w:rPr>
          <w:rFonts w:ascii="Arial" w:cs="Arial" w:eastAsia="Arial" w:hAnsi="Arial"/>
          <w:b/>
          <w:bCs/>
          <w:color w:val="022B1E"/>
          <w:sz w:val="30"/>
          <w:szCs w:val="30"/>
        </w:rPr>
        <w:t xml:space="preserve">PRIVACY POLICY</w:t>
      </w:r>
    </w:p>
    <w:p>
      <w:pPr>
        <w:spacing w:after="200"/>
        <w:jc w:val="center"/>
      </w:pPr>
      <w:r>
        <w:rPr>
          <w:rFonts w:ascii="Arial" w:cs="Arial" w:eastAsia="Arial" w:hAnsi="Arial"/>
          <w:color w:val="999999"/>
          <w:sz w:val="18"/>
          <w:szCs w:val="18"/>
        </w:rPr>
        <w:t xml:space="preserve">Effective Date: [DATE] | Version 1.0</w:t>
      </w:r>
    </w:p>
    <w:p>
      <w:pPr>
        <w:spacing w:after="400"/>
        <w:jc w:val="center"/>
      </w:pPr>
      <w:r>
        <w:rPr>
          <w:rFonts w:ascii="Arial" w:cs="Arial" w:eastAsia="Arial" w:hAnsi="Arial"/>
          <w:i/>
          <w:iCs/>
          <w:color w:val="999999"/>
          <w:sz w:val="16"/>
          <w:szCs w:val="16"/>
        </w:rPr>
        <w:t xml:space="preserve">Compliant with: Ghana Data Protection Act 2012 (Act 843) | Nigeria Data Protection Act 2023 | Kenya Data Protection Act 2019 | UK GDPR &amp; DPA 2018 | EU GDPR</w:t>
      </w:r>
    </w:p>
    <w:p>
      <w:pPr>
        <w:pStyle w:val="Heading1"/>
        <w:spacing w:after="200" w:before="360"/>
      </w:pPr>
      <w:r>
        <w:rPr>
          <w:rFonts w:ascii="Arial" w:cs="Arial" w:eastAsia="Arial" w:hAnsi="Arial"/>
          <w:b/>
          <w:bCs/>
          <w:color w:val="022B1E"/>
          <w:sz w:val="28"/>
          <w:szCs w:val="28"/>
        </w:rPr>
        <w:t xml:space="preserve">1. Who We Are</w:t>
      </w:r>
    </w:p>
    <w:p>
      <w:pPr>
        <w:spacing w:after="160" w:line="276"/>
      </w:pPr>
      <w:r>
        <w:rPr>
          <w:rFonts w:ascii="Arial" w:cs="Arial" w:eastAsia="Arial" w:hAnsi="Arial"/>
          <w:color w:val="333333"/>
          <w:sz w:val="20"/>
          <w:szCs w:val="20"/>
        </w:rPr>
        <w:t xml:space="preserve">EyeOnSite is operated by Manti Labs LLC, a Delaware limited liability company with operations in Accra, Ghana ("Manti Labs," "we," "us," or "our"). We are the data controller responsible for your personal data when you use the EyeOnSite platform.</w:t>
      </w:r>
    </w:p>
    <w:p>
      <w:pPr>
        <w:spacing w:after="160" w:line="276"/>
      </w:pPr>
      <w:r>
        <w:rPr>
          <w:rFonts w:ascii="Arial" w:cs="Arial" w:eastAsia="Arial" w:hAnsi="Arial"/>
          <w:b/>
          <w:bCs/>
          <w:color w:val="333333"/>
          <w:sz w:val="20"/>
          <w:szCs w:val="20"/>
        </w:rPr>
        <w:t xml:space="preserve">Data Protection Officer: </w:t>
      </w:r>
      <w:r>
        <w:rPr>
          <w:rFonts w:ascii="Arial" w:cs="Arial" w:eastAsia="Arial" w:hAnsi="Arial"/>
          <w:color w:val="333333"/>
          <w:sz w:val="20"/>
          <w:szCs w:val="20"/>
        </w:rPr>
        <w:t xml:space="preserve">Maku Mazakpe (dpo@eyeonsite.com). For UK/EU matters, our representative can be contacted at the same address.</w:t>
      </w:r>
    </w:p>
    <w:p>
      <w:pPr>
        <w:pStyle w:val="Heading1"/>
        <w:spacing w:after="200" w:before="360"/>
      </w:pPr>
      <w:r>
        <w:rPr>
          <w:rFonts w:ascii="Arial" w:cs="Arial" w:eastAsia="Arial" w:hAnsi="Arial"/>
          <w:b/>
          <w:bCs/>
          <w:color w:val="022B1E"/>
          <w:sz w:val="28"/>
          <w:szCs w:val="28"/>
        </w:rPr>
        <w:t xml:space="preserve">2. What Personal Data We Collect</w:t>
      </w:r>
    </w:p>
    <w:p>
      <w:pPr>
        <w:pStyle w:val="Heading2"/>
        <w:spacing w:after="160" w:before="280"/>
      </w:pPr>
      <w:r>
        <w:rPr>
          <w:rFonts w:ascii="Arial" w:cs="Arial" w:eastAsia="Arial" w:hAnsi="Arial"/>
          <w:b/>
          <w:bCs/>
          <w:color w:val="0B6E4F"/>
          <w:sz w:val="24"/>
          <w:szCs w:val="24"/>
        </w:rPr>
        <w:t xml:space="preserve">2.1 Data You Provide Directly</w:t>
      </w:r>
    </w:p>
    <w:p>
      <w:pPr>
        <w:pStyle w:val="ListParagraph"/>
        <w:numPr>
          <w:ilvl w:val="0"/>
          <w:numId w:val="2"/>
        </w:numPr>
        <w:spacing w:after="80" w:line="276"/>
      </w:pPr>
      <w:r>
        <w:rPr>
          <w:rFonts w:ascii="Arial" w:cs="Arial" w:eastAsia="Arial" w:hAnsi="Arial"/>
          <w:color w:val="333333"/>
          <w:sz w:val="20"/>
          <w:szCs w:val="20"/>
        </w:rPr>
        <w:t xml:space="preserve">Account information: phone number, name, email address, profile photo</w:t>
      </w:r>
    </w:p>
    <w:p>
      <w:pPr>
        <w:pStyle w:val="ListParagraph"/>
        <w:numPr>
          <w:ilvl w:val="0"/>
          <w:numId w:val="2"/>
        </w:numPr>
        <w:spacing w:after="80" w:line="276"/>
      </w:pPr>
      <w:r>
        <w:rPr>
          <w:rFonts w:ascii="Arial" w:cs="Arial" w:eastAsia="Arial" w:hAnsi="Arial"/>
          <w:color w:val="333333"/>
          <w:sz w:val="20"/>
          <w:szCs w:val="20"/>
        </w:rPr>
        <w:t xml:space="preserve">Identity verification (Inspectors): government-issued ID document, selfie for liveness verification</w:t>
      </w:r>
    </w:p>
    <w:p>
      <w:pPr>
        <w:pStyle w:val="ListParagraph"/>
        <w:numPr>
          <w:ilvl w:val="0"/>
          <w:numId w:val="2"/>
        </w:numPr>
        <w:spacing w:after="80" w:line="276"/>
      </w:pPr>
      <w:r>
        <w:rPr>
          <w:rFonts w:ascii="Arial" w:cs="Arial" w:eastAsia="Arial" w:hAnsi="Arial"/>
          <w:color w:val="333333"/>
          <w:sz w:val="20"/>
          <w:szCs w:val="20"/>
        </w:rPr>
        <w:t xml:space="preserve">Payment information: credit/debit card details (processed by Stripe), mobile money number (processed by Flutterwave), bank account details</w:t>
      </w:r>
    </w:p>
    <w:p>
      <w:pPr>
        <w:pStyle w:val="ListParagraph"/>
        <w:numPr>
          <w:ilvl w:val="0"/>
          <w:numId w:val="2"/>
        </w:numPr>
        <w:spacing w:after="80" w:line="276"/>
      </w:pPr>
      <w:r>
        <w:rPr>
          <w:rFonts w:ascii="Arial" w:cs="Arial" w:eastAsia="Arial" w:hAnsi="Arial"/>
          <w:color w:val="333333"/>
          <w:sz w:val="20"/>
          <w:szCs w:val="20"/>
        </w:rPr>
        <w:t xml:space="preserve">Task information (Clients): property locations, inspection instructions, project descriptions</w:t>
      </w:r>
    </w:p>
    <w:p>
      <w:pPr>
        <w:pStyle w:val="ListParagraph"/>
        <w:numPr>
          <w:ilvl w:val="0"/>
          <w:numId w:val="2"/>
        </w:numPr>
        <w:spacing w:after="80" w:line="276"/>
      </w:pPr>
      <w:r>
        <w:rPr>
          <w:rFonts w:ascii="Arial" w:cs="Arial" w:eastAsia="Arial" w:hAnsi="Arial"/>
          <w:color w:val="333333"/>
          <w:sz w:val="20"/>
          <w:szCs w:val="20"/>
        </w:rPr>
        <w:t xml:space="preserve">Evidence data (Inspectors): photographs, videos, checklist responses, written notes and observations</w:t>
      </w:r>
    </w:p>
    <w:p>
      <w:pPr>
        <w:pStyle w:val="ListParagraph"/>
        <w:numPr>
          <w:ilvl w:val="0"/>
          <w:numId w:val="2"/>
        </w:numPr>
        <w:spacing w:after="80" w:line="276"/>
      </w:pPr>
      <w:r>
        <w:rPr>
          <w:rFonts w:ascii="Arial" w:cs="Arial" w:eastAsia="Arial" w:hAnsi="Arial"/>
          <w:color w:val="333333"/>
          <w:sz w:val="20"/>
          <w:szCs w:val="20"/>
        </w:rPr>
        <w:t xml:space="preserve">Communications: messages sent through the Platform, support requests, feedback</w:t>
      </w:r>
    </w:p>
    <w:p>
      <w:pPr>
        <w:pStyle w:val="Heading2"/>
        <w:spacing w:after="160" w:before="280"/>
      </w:pPr>
      <w:r>
        <w:rPr>
          <w:rFonts w:ascii="Arial" w:cs="Arial" w:eastAsia="Arial" w:hAnsi="Arial"/>
          <w:b/>
          <w:bCs/>
          <w:color w:val="0B6E4F"/>
          <w:sz w:val="24"/>
          <w:szCs w:val="24"/>
        </w:rPr>
        <w:t xml:space="preserve">2.2 Data We Collect Automatically</w:t>
      </w:r>
    </w:p>
    <w:p>
      <w:pPr>
        <w:pStyle w:val="ListParagraph"/>
        <w:numPr>
          <w:ilvl w:val="0"/>
          <w:numId w:val="2"/>
        </w:numPr>
        <w:spacing w:after="80" w:line="276"/>
      </w:pPr>
      <w:r>
        <w:rPr>
          <w:rFonts w:ascii="Arial" w:cs="Arial" w:eastAsia="Arial" w:hAnsi="Arial"/>
          <w:color w:val="333333"/>
          <w:sz w:val="20"/>
          <w:szCs w:val="20"/>
        </w:rPr>
        <w:t xml:space="preserve">Device information: device model, operating system version, app version, unique device identifiers</w:t>
      </w:r>
    </w:p>
    <w:p>
      <w:pPr>
        <w:pStyle w:val="ListParagraph"/>
        <w:numPr>
          <w:ilvl w:val="0"/>
          <w:numId w:val="2"/>
        </w:numPr>
        <w:spacing w:after="80" w:line="276"/>
      </w:pPr>
      <w:r>
        <w:rPr>
          <w:rFonts w:ascii="Arial" w:cs="Arial" w:eastAsia="Arial" w:hAnsi="Arial"/>
          <w:color w:val="333333"/>
          <w:sz w:val="20"/>
          <w:szCs w:val="20"/>
        </w:rPr>
        <w:t xml:space="preserve">Location data: GPS coordinates during evidence capture (Inspectors), approximate location for task matching</w:t>
      </w:r>
    </w:p>
    <w:p>
      <w:pPr>
        <w:pStyle w:val="ListParagraph"/>
        <w:numPr>
          <w:ilvl w:val="0"/>
          <w:numId w:val="2"/>
        </w:numPr>
        <w:spacing w:after="80" w:line="276"/>
      </w:pPr>
      <w:r>
        <w:rPr>
          <w:rFonts w:ascii="Arial" w:cs="Arial" w:eastAsia="Arial" w:hAnsi="Arial"/>
          <w:color w:val="333333"/>
          <w:sz w:val="20"/>
          <w:szCs w:val="20"/>
        </w:rPr>
        <w:t xml:space="preserve">Usage data: features accessed, tasks created or completed, session duration, interaction patterns</w:t>
      </w:r>
    </w:p>
    <w:p>
      <w:pPr>
        <w:pStyle w:val="ListParagraph"/>
        <w:numPr>
          <w:ilvl w:val="0"/>
          <w:numId w:val="2"/>
        </w:numPr>
        <w:spacing w:after="80" w:line="276"/>
      </w:pPr>
      <w:r>
        <w:rPr>
          <w:rFonts w:ascii="Arial" w:cs="Arial" w:eastAsia="Arial" w:hAnsi="Arial"/>
          <w:color w:val="333333"/>
          <w:sz w:val="20"/>
          <w:szCs w:val="20"/>
        </w:rPr>
        <w:t xml:space="preserve">Log data: IP addresses, access timestamps, error logs, referral URLs</w:t>
      </w:r>
    </w:p>
    <w:p>
      <w:pPr>
        <w:pStyle w:val="ListParagraph"/>
        <w:numPr>
          <w:ilvl w:val="0"/>
          <w:numId w:val="2"/>
        </w:numPr>
        <w:spacing w:after="80" w:line="276"/>
      </w:pPr>
      <w:r>
        <w:rPr>
          <w:rFonts w:ascii="Arial" w:cs="Arial" w:eastAsia="Arial" w:hAnsi="Arial"/>
          <w:color w:val="333333"/>
          <w:sz w:val="20"/>
          <w:szCs w:val="20"/>
        </w:rPr>
        <w:t xml:space="preserve">Photo metadata: EXIF data including capture timestamp, camera sensor information, GPS coordinates embedded in photographs</w:t>
      </w:r>
    </w:p>
    <w:p>
      <w:pPr>
        <w:pStyle w:val="ListParagraph"/>
        <w:numPr>
          <w:ilvl w:val="0"/>
          <w:numId w:val="2"/>
        </w:numPr>
        <w:spacing w:after="80" w:line="276"/>
      </w:pPr>
      <w:r>
        <w:rPr>
          <w:rFonts w:ascii="Arial" w:cs="Arial" w:eastAsia="Arial" w:hAnsi="Arial"/>
          <w:color w:val="333333"/>
          <w:sz w:val="20"/>
          <w:szCs w:val="20"/>
        </w:rPr>
        <w:t xml:space="preserve">Motion data: accelerometer readings during evidence capture (used for fraud detection)</w:t>
      </w:r>
    </w:p>
    <w:p>
      <w:pPr>
        <w:pStyle w:val="Heading2"/>
        <w:spacing w:after="160" w:before="280"/>
      </w:pPr>
      <w:r>
        <w:rPr>
          <w:rFonts w:ascii="Arial" w:cs="Arial" w:eastAsia="Arial" w:hAnsi="Arial"/>
          <w:b/>
          <w:bCs/>
          <w:color w:val="0B6E4F"/>
          <w:sz w:val="24"/>
          <w:szCs w:val="24"/>
        </w:rPr>
        <w:t xml:space="preserve">2.3 Data from Third Parties</w:t>
      </w:r>
    </w:p>
    <w:p>
      <w:pPr>
        <w:pStyle w:val="ListParagraph"/>
        <w:numPr>
          <w:ilvl w:val="0"/>
          <w:numId w:val="2"/>
        </w:numPr>
        <w:spacing w:after="80" w:line="276"/>
      </w:pPr>
      <w:r>
        <w:rPr>
          <w:rFonts w:ascii="Arial" w:cs="Arial" w:eastAsia="Arial" w:hAnsi="Arial"/>
          <w:color w:val="333333"/>
          <w:sz w:val="20"/>
          <w:szCs w:val="20"/>
        </w:rPr>
        <w:t xml:space="preserve">Payment processors: transaction confirmation, payment status (from Stripe and Flutterwave)</w:t>
      </w:r>
    </w:p>
    <w:p>
      <w:pPr>
        <w:pStyle w:val="ListParagraph"/>
        <w:numPr>
          <w:ilvl w:val="0"/>
          <w:numId w:val="2"/>
        </w:numPr>
        <w:spacing w:after="80" w:line="276"/>
      </w:pPr>
      <w:r>
        <w:rPr>
          <w:rFonts w:ascii="Arial" w:cs="Arial" w:eastAsia="Arial" w:hAnsi="Arial"/>
          <w:color w:val="333333"/>
          <w:sz w:val="20"/>
          <w:szCs w:val="20"/>
        </w:rPr>
        <w:t xml:space="preserve">Background check providers: screening results for Inspector verification (where available)</w:t>
      </w:r>
    </w:p>
    <w:p>
      <w:pPr>
        <w:pStyle w:val="ListParagraph"/>
        <w:numPr>
          <w:ilvl w:val="0"/>
          <w:numId w:val="2"/>
        </w:numPr>
        <w:spacing w:after="80" w:line="276"/>
      </w:pPr>
      <w:r>
        <w:rPr>
          <w:rFonts w:ascii="Arial" w:cs="Arial" w:eastAsia="Arial" w:hAnsi="Arial"/>
          <w:color w:val="333333"/>
          <w:sz w:val="20"/>
          <w:szCs w:val="20"/>
        </w:rPr>
        <w:t xml:space="preserve">Google Maps: geocoding data, map imagery</w:t>
      </w:r>
    </w:p>
    <w:p>
      <w:pPr>
        <w:pStyle w:val="Heading1"/>
        <w:spacing w:after="200" w:before="360"/>
      </w:pPr>
      <w:r>
        <w:rPr>
          <w:rFonts w:ascii="Arial" w:cs="Arial" w:eastAsia="Arial" w:hAnsi="Arial"/>
          <w:b/>
          <w:bCs/>
          <w:color w:val="022B1E"/>
          <w:sz w:val="28"/>
          <w:szCs w:val="28"/>
        </w:rPr>
        <w:t xml:space="preserve">3. How We Use Your Data</w:t>
      </w:r>
    </w:p>
    <w:p>
      <w:pPr>
        <w:pStyle w:val="Heading2"/>
        <w:spacing w:after="160" w:before="280"/>
      </w:pPr>
      <w:r>
        <w:rPr>
          <w:rFonts w:ascii="Arial" w:cs="Arial" w:eastAsia="Arial" w:hAnsi="Arial"/>
          <w:b/>
          <w:bCs/>
          <w:color w:val="0B6E4F"/>
          <w:sz w:val="24"/>
          <w:szCs w:val="24"/>
        </w:rPr>
        <w:t xml:space="preserve">3.1 To Provide the Service</w:t>
      </w:r>
    </w:p>
    <w:p>
      <w:pPr>
        <w:pStyle w:val="ListParagraph"/>
        <w:numPr>
          <w:ilvl w:val="0"/>
          <w:numId w:val="2"/>
        </w:numPr>
        <w:spacing w:after="80" w:line="276"/>
      </w:pPr>
      <w:r>
        <w:rPr>
          <w:rFonts w:ascii="Arial" w:cs="Arial" w:eastAsia="Arial" w:hAnsi="Arial"/>
          <w:color w:val="333333"/>
          <w:sz w:val="20"/>
          <w:szCs w:val="20"/>
        </w:rPr>
        <w:t xml:space="preserve">Create and manage your account</w:t>
      </w:r>
    </w:p>
    <w:p>
      <w:pPr>
        <w:pStyle w:val="ListParagraph"/>
        <w:numPr>
          <w:ilvl w:val="0"/>
          <w:numId w:val="2"/>
        </w:numPr>
        <w:spacing w:after="80" w:line="276"/>
      </w:pPr>
      <w:r>
        <w:rPr>
          <w:rFonts w:ascii="Arial" w:cs="Arial" w:eastAsia="Arial" w:hAnsi="Arial"/>
          <w:color w:val="333333"/>
          <w:sz w:val="20"/>
          <w:szCs w:val="20"/>
        </w:rPr>
        <w:t xml:space="preserve">Match Inspectors with Tasks based on location, availability, and qualifications</w:t>
      </w:r>
    </w:p>
    <w:p>
      <w:pPr>
        <w:pStyle w:val="ListParagraph"/>
        <w:numPr>
          <w:ilvl w:val="0"/>
          <w:numId w:val="2"/>
        </w:numPr>
        <w:spacing w:after="80" w:line="276"/>
      </w:pPr>
      <w:r>
        <w:rPr>
          <w:rFonts w:ascii="Arial" w:cs="Arial" w:eastAsia="Arial" w:hAnsi="Arial"/>
          <w:color w:val="333333"/>
          <w:sz w:val="20"/>
          <w:szCs w:val="20"/>
        </w:rPr>
        <w:t xml:space="preserve">Process payments and manage escrow</w:t>
      </w:r>
    </w:p>
    <w:p>
      <w:pPr>
        <w:pStyle w:val="ListParagraph"/>
        <w:numPr>
          <w:ilvl w:val="0"/>
          <w:numId w:val="2"/>
        </w:numPr>
        <w:spacing w:after="80" w:line="276"/>
      </w:pPr>
      <w:r>
        <w:rPr>
          <w:rFonts w:ascii="Arial" w:cs="Arial" w:eastAsia="Arial" w:hAnsi="Arial"/>
          <w:color w:val="333333"/>
          <w:sz w:val="20"/>
          <w:szCs w:val="20"/>
        </w:rPr>
        <w:t xml:space="preserve">Deliver Evidence Packages to Clients</w:t>
      </w:r>
    </w:p>
    <w:p>
      <w:pPr>
        <w:pStyle w:val="ListParagraph"/>
        <w:numPr>
          <w:ilvl w:val="0"/>
          <w:numId w:val="2"/>
        </w:numPr>
        <w:spacing w:after="80" w:line="276"/>
      </w:pPr>
      <w:r>
        <w:rPr>
          <w:rFonts w:ascii="Arial" w:cs="Arial" w:eastAsia="Arial" w:hAnsi="Arial"/>
          <w:color w:val="333333"/>
          <w:sz w:val="20"/>
          <w:szCs w:val="20"/>
        </w:rPr>
        <w:t xml:space="preserve">Send notifications about task status, payments, and platform updates</w:t>
      </w:r>
    </w:p>
    <w:p>
      <w:pPr>
        <w:pStyle w:val="Heading2"/>
        <w:spacing w:after="160" w:before="280"/>
      </w:pPr>
      <w:r>
        <w:rPr>
          <w:rFonts w:ascii="Arial" w:cs="Arial" w:eastAsia="Arial" w:hAnsi="Arial"/>
          <w:b/>
          <w:bCs/>
          <w:color w:val="0B6E4F"/>
          <w:sz w:val="24"/>
          <w:szCs w:val="24"/>
        </w:rPr>
        <w:t xml:space="preserve">3.2 To Ensure Trust and Safety</w:t>
      </w:r>
    </w:p>
    <w:p>
      <w:pPr>
        <w:pStyle w:val="ListParagraph"/>
        <w:numPr>
          <w:ilvl w:val="0"/>
          <w:numId w:val="2"/>
        </w:numPr>
        <w:spacing w:after="80" w:line="276"/>
      </w:pPr>
      <w:r>
        <w:rPr>
          <w:rFonts w:ascii="Arial" w:cs="Arial" w:eastAsia="Arial" w:hAnsi="Arial"/>
          <w:color w:val="333333"/>
          <w:sz w:val="20"/>
          <w:szCs w:val="20"/>
        </w:rPr>
        <w:t xml:space="preserve">Verify Inspector identity and conduct background screening</w:t>
      </w:r>
    </w:p>
    <w:p>
      <w:pPr>
        <w:pStyle w:val="ListParagraph"/>
        <w:numPr>
          <w:ilvl w:val="0"/>
          <w:numId w:val="2"/>
        </w:numPr>
        <w:spacing w:after="80" w:line="276"/>
      </w:pPr>
      <w:r>
        <w:rPr>
          <w:rFonts w:ascii="Arial" w:cs="Arial" w:eastAsia="Arial" w:hAnsi="Arial"/>
          <w:color w:val="333333"/>
          <w:sz w:val="20"/>
          <w:szCs w:val="20"/>
        </w:rPr>
        <w:t xml:space="preserve">Detect and prevent fraud, including GPS spoofing, evidence fabrication, and duplicate submissions</w:t>
      </w:r>
    </w:p>
    <w:p>
      <w:pPr>
        <w:pStyle w:val="ListParagraph"/>
        <w:numPr>
          <w:ilvl w:val="0"/>
          <w:numId w:val="2"/>
        </w:numPr>
        <w:spacing w:after="80" w:line="276"/>
      </w:pPr>
      <w:r>
        <w:rPr>
          <w:rFonts w:ascii="Arial" w:cs="Arial" w:eastAsia="Arial" w:hAnsi="Arial"/>
          <w:color w:val="333333"/>
          <w:sz w:val="20"/>
          <w:szCs w:val="20"/>
        </w:rPr>
        <w:t xml:space="preserve">Compute evidence quality scores and Trust Scores</w:t>
      </w:r>
    </w:p>
    <w:p>
      <w:pPr>
        <w:pStyle w:val="ListParagraph"/>
        <w:numPr>
          <w:ilvl w:val="0"/>
          <w:numId w:val="2"/>
        </w:numPr>
        <w:spacing w:after="80" w:line="276"/>
      </w:pPr>
      <w:r>
        <w:rPr>
          <w:rFonts w:ascii="Arial" w:cs="Arial" w:eastAsia="Arial" w:hAnsi="Arial"/>
          <w:color w:val="333333"/>
          <w:sz w:val="20"/>
          <w:szCs w:val="20"/>
        </w:rPr>
        <w:t xml:space="preserve">Resolve disputes between Clients and Inspectors</w:t>
      </w:r>
    </w:p>
    <w:p>
      <w:pPr>
        <w:pStyle w:val="ListParagraph"/>
        <w:numPr>
          <w:ilvl w:val="0"/>
          <w:numId w:val="2"/>
        </w:numPr>
        <w:spacing w:after="80" w:line="276"/>
      </w:pPr>
      <w:r>
        <w:rPr>
          <w:rFonts w:ascii="Arial" w:cs="Arial" w:eastAsia="Arial" w:hAnsi="Arial"/>
          <w:color w:val="333333"/>
          <w:sz w:val="20"/>
          <w:szCs w:val="20"/>
        </w:rPr>
        <w:t xml:space="preserve">Enforce our Terms of Service and Community Guidelines</w:t>
      </w:r>
    </w:p>
    <w:p>
      <w:pPr>
        <w:pStyle w:val="Heading2"/>
        <w:spacing w:after="160" w:before="280"/>
      </w:pPr>
      <w:r>
        <w:rPr>
          <w:rFonts w:ascii="Arial" w:cs="Arial" w:eastAsia="Arial" w:hAnsi="Arial"/>
          <w:b/>
          <w:bCs/>
          <w:color w:val="0B6E4F"/>
          <w:sz w:val="24"/>
          <w:szCs w:val="24"/>
        </w:rPr>
        <w:t xml:space="preserve">3.3 To Improve the Platform</w:t>
      </w:r>
    </w:p>
    <w:p>
      <w:pPr>
        <w:pStyle w:val="ListParagraph"/>
        <w:numPr>
          <w:ilvl w:val="0"/>
          <w:numId w:val="2"/>
        </w:numPr>
        <w:spacing w:after="80" w:line="276"/>
      </w:pPr>
      <w:r>
        <w:rPr>
          <w:rFonts w:ascii="Arial" w:cs="Arial" w:eastAsia="Arial" w:hAnsi="Arial"/>
          <w:color w:val="333333"/>
          <w:sz w:val="20"/>
          <w:szCs w:val="20"/>
        </w:rPr>
        <w:t xml:space="preserve">Analyze usage patterns to improve features and user experience</w:t>
      </w:r>
    </w:p>
    <w:p>
      <w:pPr>
        <w:pStyle w:val="ListParagraph"/>
        <w:numPr>
          <w:ilvl w:val="0"/>
          <w:numId w:val="2"/>
        </w:numPr>
        <w:spacing w:after="80" w:line="276"/>
      </w:pPr>
      <w:r>
        <w:rPr>
          <w:rFonts w:ascii="Arial" w:cs="Arial" w:eastAsia="Arial" w:hAnsi="Arial"/>
          <w:color w:val="333333"/>
          <w:sz w:val="20"/>
          <w:szCs w:val="20"/>
        </w:rPr>
        <w:t xml:space="preserve">Train and improve our fraud detection and quality assessment systems</w:t>
      </w:r>
    </w:p>
    <w:p>
      <w:pPr>
        <w:pStyle w:val="ListParagraph"/>
        <w:numPr>
          <w:ilvl w:val="0"/>
          <w:numId w:val="2"/>
        </w:numPr>
        <w:spacing w:after="80" w:line="276"/>
      </w:pPr>
      <w:r>
        <w:rPr>
          <w:rFonts w:ascii="Arial" w:cs="Arial" w:eastAsia="Arial" w:hAnsi="Arial"/>
          <w:color w:val="333333"/>
          <w:sz w:val="20"/>
          <w:szCs w:val="20"/>
        </w:rPr>
        <w:t xml:space="preserve">Conduct research using anonymized and aggregated data</w:t>
      </w:r>
    </w:p>
    <w:p>
      <w:pPr>
        <w:pStyle w:val="ListParagraph"/>
        <w:numPr>
          <w:ilvl w:val="0"/>
          <w:numId w:val="2"/>
        </w:numPr>
        <w:spacing w:after="80" w:line="276"/>
      </w:pPr>
      <w:r>
        <w:rPr>
          <w:rFonts w:ascii="Arial" w:cs="Arial" w:eastAsia="Arial" w:hAnsi="Arial"/>
          <w:color w:val="333333"/>
          <w:sz w:val="20"/>
          <w:szCs w:val="20"/>
        </w:rPr>
        <w:t xml:space="preserve">Develop new features, products, and services</w:t>
      </w:r>
    </w:p>
    <w:p>
      <w:pPr>
        <w:pStyle w:val="Heading2"/>
        <w:spacing w:after="160" w:before="280"/>
      </w:pPr>
      <w:r>
        <w:rPr>
          <w:rFonts w:ascii="Arial" w:cs="Arial" w:eastAsia="Arial" w:hAnsi="Arial"/>
          <w:b/>
          <w:bCs/>
          <w:color w:val="0B6E4F"/>
          <w:sz w:val="24"/>
          <w:szCs w:val="24"/>
        </w:rPr>
        <w:t xml:space="preserve">3.4 To Communicate with You</w:t>
      </w:r>
    </w:p>
    <w:p>
      <w:pPr>
        <w:pStyle w:val="ListParagraph"/>
        <w:numPr>
          <w:ilvl w:val="0"/>
          <w:numId w:val="2"/>
        </w:numPr>
        <w:spacing w:after="80" w:line="276"/>
      </w:pPr>
      <w:r>
        <w:rPr>
          <w:rFonts w:ascii="Arial" w:cs="Arial" w:eastAsia="Arial" w:hAnsi="Arial"/>
          <w:color w:val="333333"/>
          <w:sz w:val="20"/>
          <w:szCs w:val="20"/>
        </w:rPr>
        <w:t xml:space="preserve">Send service-related notifications (task updates, payment confirmations)</w:t>
      </w:r>
    </w:p>
    <w:p>
      <w:pPr>
        <w:pStyle w:val="ListParagraph"/>
        <w:numPr>
          <w:ilvl w:val="0"/>
          <w:numId w:val="2"/>
        </w:numPr>
        <w:spacing w:after="80" w:line="276"/>
      </w:pPr>
      <w:r>
        <w:rPr>
          <w:rFonts w:ascii="Arial" w:cs="Arial" w:eastAsia="Arial" w:hAnsi="Arial"/>
          <w:color w:val="333333"/>
          <w:sz w:val="20"/>
          <w:szCs w:val="20"/>
        </w:rPr>
        <w:t xml:space="preserve">Provide customer support</w:t>
      </w:r>
    </w:p>
    <w:p>
      <w:pPr>
        <w:pStyle w:val="ListParagraph"/>
        <w:numPr>
          <w:ilvl w:val="0"/>
          <w:numId w:val="2"/>
        </w:numPr>
        <w:spacing w:after="80" w:line="276"/>
      </w:pPr>
      <w:r>
        <w:rPr>
          <w:rFonts w:ascii="Arial" w:cs="Arial" w:eastAsia="Arial" w:hAnsi="Arial"/>
          <w:color w:val="333333"/>
          <w:sz w:val="20"/>
          <w:szCs w:val="20"/>
        </w:rPr>
        <w:t xml:space="preserve">Send marketing communications (with your consent, and you can opt out at any time)</w:t>
      </w:r>
    </w:p>
    <w:p>
      <w:pPr>
        <w:pStyle w:val="Heading2"/>
        <w:spacing w:after="160" w:before="280"/>
      </w:pPr>
      <w:r>
        <w:rPr>
          <w:rFonts w:ascii="Arial" w:cs="Arial" w:eastAsia="Arial" w:hAnsi="Arial"/>
          <w:b/>
          <w:bCs/>
          <w:color w:val="0B6E4F"/>
          <w:sz w:val="24"/>
          <w:szCs w:val="24"/>
        </w:rPr>
        <w:t xml:space="preserve">3.5 Legal Basis for Processing (UK/EU Users)</w:t>
      </w:r>
    </w:p>
    <w:p>
      <w:pPr>
        <w:spacing w:after="160" w:line="276"/>
      </w:pPr>
      <w:r>
        <w:rPr>
          <w:rFonts w:ascii="Arial" w:cs="Arial" w:eastAsia="Arial" w:hAnsi="Arial"/>
          <w:color w:val="333333"/>
          <w:sz w:val="20"/>
          <w:szCs w:val="20"/>
        </w:rPr>
        <w:t xml:space="preserve">Under UK GDPR and EU GDPR, we process your data on the following legal bases:</w:t>
      </w:r>
    </w:p>
    <w:p>
      <w:pPr>
        <w:pStyle w:val="ListParagraph"/>
        <w:numPr>
          <w:ilvl w:val="0"/>
          <w:numId w:val="2"/>
        </w:numPr>
        <w:spacing w:after="80" w:line="276"/>
      </w:pPr>
      <w:r>
        <w:rPr>
          <w:rFonts w:ascii="Arial" w:cs="Arial" w:eastAsia="Arial" w:hAnsi="Arial"/>
          <w:color w:val="333333"/>
          <w:sz w:val="20"/>
          <w:szCs w:val="20"/>
        </w:rPr>
        <w:t xml:space="preserve">Contract performance: processing necessary to provide the Platform services you have requested</w:t>
      </w:r>
    </w:p>
    <w:p>
      <w:pPr>
        <w:pStyle w:val="ListParagraph"/>
        <w:numPr>
          <w:ilvl w:val="0"/>
          <w:numId w:val="2"/>
        </w:numPr>
        <w:spacing w:after="80" w:line="276"/>
      </w:pPr>
      <w:r>
        <w:rPr>
          <w:rFonts w:ascii="Arial" w:cs="Arial" w:eastAsia="Arial" w:hAnsi="Arial"/>
          <w:color w:val="333333"/>
          <w:sz w:val="20"/>
          <w:szCs w:val="20"/>
        </w:rPr>
        <w:t xml:space="preserve">Legitimate interests: fraud prevention, platform security, service improvement, and aggregated analytics</w:t>
      </w:r>
    </w:p>
    <w:p>
      <w:pPr>
        <w:pStyle w:val="ListParagraph"/>
        <w:numPr>
          <w:ilvl w:val="0"/>
          <w:numId w:val="2"/>
        </w:numPr>
        <w:spacing w:after="80" w:line="276"/>
      </w:pPr>
      <w:r>
        <w:rPr>
          <w:rFonts w:ascii="Arial" w:cs="Arial" w:eastAsia="Arial" w:hAnsi="Arial"/>
          <w:color w:val="333333"/>
          <w:sz w:val="20"/>
          <w:szCs w:val="20"/>
        </w:rPr>
        <w:t xml:space="preserve">Legal obligation: compliance with applicable laws, tax requirements, and regulatory obligations</w:t>
      </w:r>
    </w:p>
    <w:p>
      <w:pPr>
        <w:pStyle w:val="ListParagraph"/>
        <w:numPr>
          <w:ilvl w:val="0"/>
          <w:numId w:val="2"/>
        </w:numPr>
        <w:spacing w:after="80" w:line="276"/>
      </w:pPr>
      <w:r>
        <w:rPr>
          <w:rFonts w:ascii="Arial" w:cs="Arial" w:eastAsia="Arial" w:hAnsi="Arial"/>
          <w:color w:val="333333"/>
          <w:sz w:val="20"/>
          <w:szCs w:val="20"/>
        </w:rPr>
        <w:t xml:space="preserve">Consent: marketing communications and optional data processing (you may withdraw consent at any time)</w:t>
      </w:r>
    </w:p>
    <w:p>
      <w:pPr>
        <w:pStyle w:val="Heading1"/>
        <w:spacing w:after="200" w:before="360"/>
      </w:pPr>
      <w:r>
        <w:rPr>
          <w:rFonts w:ascii="Arial" w:cs="Arial" w:eastAsia="Arial" w:hAnsi="Arial"/>
          <w:b/>
          <w:bCs/>
          <w:color w:val="022B1E"/>
          <w:sz w:val="28"/>
          <w:szCs w:val="28"/>
        </w:rPr>
        <w:t xml:space="preserve">4. Who We Share Your Data With</w:t>
      </w:r>
    </w:p>
    <w:p>
      <w:pPr>
        <w:pStyle w:val="Heading2"/>
        <w:spacing w:after="160" w:before="280"/>
      </w:pPr>
      <w:r>
        <w:rPr>
          <w:rFonts w:ascii="Arial" w:cs="Arial" w:eastAsia="Arial" w:hAnsi="Arial"/>
          <w:b/>
          <w:bCs/>
          <w:color w:val="0B6E4F"/>
          <w:sz w:val="24"/>
          <w:szCs w:val="24"/>
        </w:rPr>
        <w:t xml:space="preserve">4.1 Other Users</w:t>
      </w:r>
    </w:p>
    <w:p>
      <w:pPr>
        <w:spacing w:after="160" w:line="276"/>
      </w:pPr>
      <w:r>
        <w:rPr>
          <w:rFonts w:ascii="Arial" w:cs="Arial" w:eastAsia="Arial" w:hAnsi="Arial"/>
          <w:color w:val="333333"/>
          <w:sz w:val="20"/>
          <w:szCs w:val="20"/>
        </w:rPr>
        <w:t xml:space="preserve">Client name and task details are shared with matched Inspectors. Inspector name, profile photo, Trust Score, and completed task count are shared with Clients. Evidence Packages (including photos and GPS data) are shared with the commissioning Client.</w:t>
      </w:r>
    </w:p>
    <w:p>
      <w:pPr>
        <w:pStyle w:val="Heading2"/>
        <w:spacing w:after="160" w:before="280"/>
      </w:pPr>
      <w:r>
        <w:rPr>
          <w:rFonts w:ascii="Arial" w:cs="Arial" w:eastAsia="Arial" w:hAnsi="Arial"/>
          <w:b/>
          <w:bCs/>
          <w:color w:val="0B6E4F"/>
          <w:sz w:val="24"/>
          <w:szCs w:val="24"/>
        </w:rPr>
        <w:t xml:space="preserve">4.2 Service Providers</w:t>
      </w:r>
    </w:p>
    <w:p>
      <w:pPr>
        <w:pStyle w:val="ListParagraph"/>
        <w:numPr>
          <w:ilvl w:val="0"/>
          <w:numId w:val="2"/>
        </w:numPr>
        <w:spacing w:after="80" w:line="276"/>
      </w:pPr>
      <w:r>
        <w:rPr>
          <w:rFonts w:ascii="Arial" w:cs="Arial" w:eastAsia="Arial" w:hAnsi="Arial"/>
          <w:color w:val="333333"/>
          <w:sz w:val="20"/>
          <w:szCs w:val="20"/>
        </w:rPr>
        <w:t xml:space="preserve">Stripe, Inc.: payment processing for international transactions</w:t>
      </w:r>
    </w:p>
    <w:p>
      <w:pPr>
        <w:pStyle w:val="ListParagraph"/>
        <w:numPr>
          <w:ilvl w:val="0"/>
          <w:numId w:val="2"/>
        </w:numPr>
        <w:spacing w:after="80" w:line="276"/>
      </w:pPr>
      <w:r>
        <w:rPr>
          <w:rFonts w:ascii="Arial" w:cs="Arial" w:eastAsia="Arial" w:hAnsi="Arial"/>
          <w:color w:val="333333"/>
          <w:sz w:val="20"/>
          <w:szCs w:val="20"/>
        </w:rPr>
        <w:t xml:space="preserve">Flutterwave Technology Solutions Limited: payment processing and mobile money payouts for African transactions</w:t>
      </w:r>
    </w:p>
    <w:p>
      <w:pPr>
        <w:pStyle w:val="ListParagraph"/>
        <w:numPr>
          <w:ilvl w:val="0"/>
          <w:numId w:val="2"/>
        </w:numPr>
        <w:spacing w:after="80" w:line="276"/>
      </w:pPr>
      <w:r>
        <w:rPr>
          <w:rFonts w:ascii="Arial" w:cs="Arial" w:eastAsia="Arial" w:hAnsi="Arial"/>
          <w:color w:val="333333"/>
          <w:sz w:val="20"/>
          <w:szCs w:val="20"/>
        </w:rPr>
        <w:t xml:space="preserve">Google Cloud Platform (Firebase): cloud infrastructure, authentication, data storage, push notifications</w:t>
      </w:r>
    </w:p>
    <w:p>
      <w:pPr>
        <w:pStyle w:val="ListParagraph"/>
        <w:numPr>
          <w:ilvl w:val="0"/>
          <w:numId w:val="2"/>
        </w:numPr>
        <w:spacing w:after="80" w:line="276"/>
      </w:pPr>
      <w:r>
        <w:rPr>
          <w:rFonts w:ascii="Arial" w:cs="Arial" w:eastAsia="Arial" w:hAnsi="Arial"/>
          <w:color w:val="333333"/>
          <w:sz w:val="20"/>
          <w:szCs w:val="20"/>
        </w:rPr>
        <w:t xml:space="preserve">Google Maps Platform: mapping, geocoding, and location services</w:t>
      </w:r>
    </w:p>
    <w:p>
      <w:pPr>
        <w:pStyle w:val="ListParagraph"/>
        <w:numPr>
          <w:ilvl w:val="0"/>
          <w:numId w:val="2"/>
        </w:numPr>
        <w:spacing w:after="80" w:line="276"/>
      </w:pPr>
      <w:r>
        <w:rPr>
          <w:rFonts w:ascii="Arial" w:cs="Arial" w:eastAsia="Arial" w:hAnsi="Arial"/>
          <w:color w:val="333333"/>
          <w:sz w:val="20"/>
          <w:szCs w:val="20"/>
        </w:rPr>
        <w:t xml:space="preserve">Google Cloud Vision API: photo quality analysis</w:t>
      </w:r>
    </w:p>
    <w:p>
      <w:pPr>
        <w:pStyle w:val="ListParagraph"/>
        <w:numPr>
          <w:ilvl w:val="0"/>
          <w:numId w:val="2"/>
        </w:numPr>
        <w:spacing w:after="80" w:line="276"/>
      </w:pPr>
      <w:r>
        <w:rPr>
          <w:rFonts w:ascii="Arial" w:cs="Arial" w:eastAsia="Arial" w:hAnsi="Arial"/>
          <w:color w:val="333333"/>
          <w:sz w:val="20"/>
          <w:szCs w:val="20"/>
        </w:rPr>
        <w:t xml:space="preserve">Background check providers: identity verification and screening (varies by country)</w:t>
      </w:r>
    </w:p>
    <w:p>
      <w:pPr>
        <w:pStyle w:val="Heading2"/>
        <w:spacing w:after="160" w:before="280"/>
      </w:pPr>
      <w:r>
        <w:rPr>
          <w:rFonts w:ascii="Arial" w:cs="Arial" w:eastAsia="Arial" w:hAnsi="Arial"/>
          <w:b/>
          <w:bCs/>
          <w:color w:val="0B6E4F"/>
          <w:sz w:val="24"/>
          <w:szCs w:val="24"/>
        </w:rPr>
        <w:t xml:space="preserve">4.3 Legal and Regulatory</w:t>
      </w:r>
    </w:p>
    <w:p>
      <w:pPr>
        <w:spacing w:after="160" w:line="276"/>
      </w:pPr>
      <w:r>
        <w:rPr>
          <w:rFonts w:ascii="Arial" w:cs="Arial" w:eastAsia="Arial" w:hAnsi="Arial"/>
          <w:color w:val="333333"/>
          <w:sz w:val="20"/>
          <w:szCs w:val="20"/>
        </w:rPr>
        <w:t xml:space="preserve">We may disclose your data where required by law, regulation, legal process, or governmental request; to protect the rights, property, or safety of Manti Labs, our Users, or the public; or in connection with a merger, acquisition, or sale of assets.</w:t>
      </w:r>
    </w:p>
    <w:p>
      <w:pPr>
        <w:pStyle w:val="Heading2"/>
        <w:spacing w:after="160" w:before="280"/>
      </w:pPr>
      <w:r>
        <w:rPr>
          <w:rFonts w:ascii="Arial" w:cs="Arial" w:eastAsia="Arial" w:hAnsi="Arial"/>
          <w:b/>
          <w:bCs/>
          <w:color w:val="0B6E4F"/>
          <w:sz w:val="24"/>
          <w:szCs w:val="24"/>
        </w:rPr>
        <w:t xml:space="preserve">4.4 Aggregated and Anonymized Data</w:t>
      </w:r>
    </w:p>
    <w:p>
      <w:pPr>
        <w:spacing w:after="160" w:line="276"/>
      </w:pPr>
      <w:r>
        <w:rPr>
          <w:rFonts w:ascii="Arial" w:cs="Arial" w:eastAsia="Arial" w:hAnsi="Arial"/>
          <w:color w:val="333333"/>
          <w:sz w:val="20"/>
          <w:szCs w:val="20"/>
        </w:rPr>
        <w:t xml:space="preserve">We may share aggregated, anonymized data that does not identify any individual with partners, researchers, and the public for research, analysis, and informational purposes.</w:t>
      </w:r>
    </w:p>
    <w:p>
      <w:pPr>
        <w:pStyle w:val="Heading1"/>
        <w:spacing w:after="200" w:before="360"/>
      </w:pPr>
      <w:r>
        <w:rPr>
          <w:rFonts w:ascii="Arial" w:cs="Arial" w:eastAsia="Arial" w:hAnsi="Arial"/>
          <w:b/>
          <w:bCs/>
          <w:color w:val="022B1E"/>
          <w:sz w:val="28"/>
          <w:szCs w:val="28"/>
        </w:rPr>
        <w:t xml:space="preserve">5. International Data Transfers</w:t>
      </w:r>
    </w:p>
    <w:p>
      <w:pPr>
        <w:spacing w:after="160" w:line="276"/>
      </w:pPr>
      <w:r>
        <w:rPr>
          <w:rFonts w:ascii="Arial" w:cs="Arial" w:eastAsia="Arial" w:hAnsi="Arial"/>
          <w:color w:val="333333"/>
          <w:sz w:val="20"/>
          <w:szCs w:val="20"/>
        </w:rPr>
        <w:t xml:space="preserve">EyeOnSite operates across multiple countries. Your data may be transferred to and processed in countries other than your country of residence, including the United States (where Manti Labs LLC is incorporated), Ghana (where our operations are based), and other countries where our service providers operate.</w:t>
      </w:r>
    </w:p>
    <w:p>
      <w:pPr>
        <w:pStyle w:val="Heading2"/>
        <w:spacing w:after="160" w:before="280"/>
      </w:pPr>
      <w:r>
        <w:rPr>
          <w:rFonts w:ascii="Arial" w:cs="Arial" w:eastAsia="Arial" w:hAnsi="Arial"/>
          <w:b/>
          <w:bCs/>
          <w:color w:val="0B6E4F"/>
          <w:sz w:val="24"/>
          <w:szCs w:val="24"/>
        </w:rPr>
        <w:t xml:space="preserve">5.1 Safeguards for UK/EU Users</w:t>
      </w:r>
    </w:p>
    <w:p>
      <w:pPr>
        <w:spacing w:after="160" w:line="276"/>
      </w:pPr>
      <w:r>
        <w:rPr>
          <w:rFonts w:ascii="Arial" w:cs="Arial" w:eastAsia="Arial" w:hAnsi="Arial"/>
          <w:color w:val="333333"/>
          <w:sz w:val="20"/>
          <w:szCs w:val="20"/>
        </w:rPr>
        <w:t xml:space="preserve">Where we transfer personal data from the UK or EEA to countries that have not been deemed to provide an adequate level of data protection, we implement appropriate safeguards, including Standard Contractual Clauses (SCCs) approved by the European Commission and/or UK Information Commissioner's Office, and additional technical and organizational measures where necessary.</w:t>
      </w:r>
    </w:p>
    <w:p>
      <w:pPr>
        <w:pStyle w:val="Heading2"/>
        <w:spacing w:after="160" w:before="280"/>
      </w:pPr>
      <w:r>
        <w:rPr>
          <w:rFonts w:ascii="Arial" w:cs="Arial" w:eastAsia="Arial" w:hAnsi="Arial"/>
          <w:b/>
          <w:bCs/>
          <w:color w:val="0B6E4F"/>
          <w:sz w:val="24"/>
          <w:szCs w:val="24"/>
        </w:rPr>
        <w:t xml:space="preserve">5.2 Ghana, Nigeria, and Kenya Users</w:t>
      </w:r>
    </w:p>
    <w:p>
      <w:pPr>
        <w:spacing w:after="160" w:line="276"/>
      </w:pPr>
      <w:r>
        <w:rPr>
          <w:rFonts w:ascii="Arial" w:cs="Arial" w:eastAsia="Arial" w:hAnsi="Arial"/>
          <w:color w:val="333333"/>
          <w:sz w:val="20"/>
          <w:szCs w:val="20"/>
        </w:rPr>
        <w:t xml:space="preserve">We comply with the cross-border data transfer requirements of the Ghana Data Protection Act 2012, the Nigeria Data Protection Act 2023, and the Kenya Data Protection Act 2019. Where required, we obtain necessary authorizations and implement appropriate safeguards before transferring data outside the relevant jurisdiction.</w:t>
      </w:r>
    </w:p>
    <w:p>
      <w:pPr>
        <w:pStyle w:val="Heading1"/>
        <w:spacing w:after="200" w:before="360"/>
      </w:pPr>
      <w:r>
        <w:rPr>
          <w:rFonts w:ascii="Arial" w:cs="Arial" w:eastAsia="Arial" w:hAnsi="Arial"/>
          <w:b/>
          <w:bCs/>
          <w:color w:val="022B1E"/>
          <w:sz w:val="28"/>
          <w:szCs w:val="28"/>
        </w:rPr>
        <w:t xml:space="preserve">6. Data Retention</w:t>
      </w:r>
    </w:p>
    <w:p>
      <w:pPr>
        <w:spacing w:after="160" w:line="276"/>
      </w:pPr>
      <w:r>
        <w:rPr>
          <w:rFonts w:ascii="Arial" w:cs="Arial" w:eastAsia="Arial" w:hAnsi="Arial"/>
          <w:color w:val="333333"/>
          <w:sz w:val="20"/>
          <w:szCs w:val="20"/>
        </w:rPr>
        <w:t xml:space="preserve">We retain your personal data for as long as necessary to provide the Platform services and fulfill the purposes described in this Privacy Policy. Specific retention periods:</w:t>
      </w:r>
    </w:p>
    <w:p>
      <w:pPr>
        <w:pStyle w:val="ListParagraph"/>
        <w:numPr>
          <w:ilvl w:val="0"/>
          <w:numId w:val="2"/>
        </w:numPr>
        <w:spacing w:after="80" w:line="276"/>
      </w:pPr>
      <w:r>
        <w:rPr>
          <w:rFonts w:ascii="Arial" w:cs="Arial" w:eastAsia="Arial" w:hAnsi="Arial"/>
          <w:color w:val="333333"/>
          <w:sz w:val="20"/>
          <w:szCs w:val="20"/>
        </w:rPr>
        <w:t xml:space="preserve">Account data: retained while your account is active and for 24 months after account closure</w:t>
      </w:r>
    </w:p>
    <w:p>
      <w:pPr>
        <w:pStyle w:val="ListParagraph"/>
        <w:numPr>
          <w:ilvl w:val="0"/>
          <w:numId w:val="2"/>
        </w:numPr>
        <w:spacing w:after="80" w:line="276"/>
      </w:pPr>
      <w:r>
        <w:rPr>
          <w:rFonts w:ascii="Arial" w:cs="Arial" w:eastAsia="Arial" w:hAnsi="Arial"/>
          <w:color w:val="333333"/>
          <w:sz w:val="20"/>
          <w:szCs w:val="20"/>
        </w:rPr>
        <w:t xml:space="preserve">Evidence Packages: retained for 36 months after task completion (Clients may request earlier deletion)</w:t>
      </w:r>
    </w:p>
    <w:p>
      <w:pPr>
        <w:pStyle w:val="ListParagraph"/>
        <w:numPr>
          <w:ilvl w:val="0"/>
          <w:numId w:val="2"/>
        </w:numPr>
        <w:spacing w:after="80" w:line="276"/>
      </w:pPr>
      <w:r>
        <w:rPr>
          <w:rFonts w:ascii="Arial" w:cs="Arial" w:eastAsia="Arial" w:hAnsi="Arial"/>
          <w:color w:val="333333"/>
          <w:sz w:val="20"/>
          <w:szCs w:val="20"/>
        </w:rPr>
        <w:t xml:space="preserve">Payment records: retained for 7 years as required by tax and financial regulations</w:t>
      </w:r>
    </w:p>
    <w:p>
      <w:pPr>
        <w:pStyle w:val="ListParagraph"/>
        <w:numPr>
          <w:ilvl w:val="0"/>
          <w:numId w:val="2"/>
        </w:numPr>
        <w:spacing w:after="80" w:line="276"/>
      </w:pPr>
      <w:r>
        <w:rPr>
          <w:rFonts w:ascii="Arial" w:cs="Arial" w:eastAsia="Arial" w:hAnsi="Arial"/>
          <w:color w:val="333333"/>
          <w:sz w:val="20"/>
          <w:szCs w:val="20"/>
        </w:rPr>
        <w:t xml:space="preserve">Fraud detection data: retained for 36 months</w:t>
      </w:r>
    </w:p>
    <w:p>
      <w:pPr>
        <w:pStyle w:val="ListParagraph"/>
        <w:numPr>
          <w:ilvl w:val="0"/>
          <w:numId w:val="2"/>
        </w:numPr>
        <w:spacing w:after="80" w:line="276"/>
      </w:pPr>
      <w:r>
        <w:rPr>
          <w:rFonts w:ascii="Arial" w:cs="Arial" w:eastAsia="Arial" w:hAnsi="Arial"/>
          <w:color w:val="333333"/>
          <w:sz w:val="20"/>
          <w:szCs w:val="20"/>
        </w:rPr>
        <w:t xml:space="preserve">Communication logs: retained for 12 months</w:t>
      </w:r>
    </w:p>
    <w:p>
      <w:pPr>
        <w:pStyle w:val="ListParagraph"/>
        <w:numPr>
          <w:ilvl w:val="0"/>
          <w:numId w:val="2"/>
        </w:numPr>
        <w:spacing w:after="80" w:line="276"/>
      </w:pPr>
      <w:r>
        <w:rPr>
          <w:rFonts w:ascii="Arial" w:cs="Arial" w:eastAsia="Arial" w:hAnsi="Arial"/>
          <w:color w:val="333333"/>
          <w:sz w:val="20"/>
          <w:szCs w:val="20"/>
        </w:rPr>
        <w:t xml:space="preserve">Usage analytics: anonymized and retained indefinitely</w:t>
      </w:r>
    </w:p>
    <w:p>
      <w:pPr>
        <w:spacing w:after="160" w:line="276"/>
      </w:pPr>
      <w:r>
        <w:rPr>
          <w:rFonts w:ascii="Arial" w:cs="Arial" w:eastAsia="Arial" w:hAnsi="Arial"/>
          <w:color w:val="333333"/>
          <w:sz w:val="20"/>
          <w:szCs w:val="20"/>
        </w:rPr>
        <w:t xml:space="preserve">After the retention period, data is securely deleted or anonymized so that it can no longer be associated with you.</w:t>
      </w:r>
    </w:p>
    <w:p>
      <w:pPr>
        <w:pStyle w:val="Heading1"/>
        <w:spacing w:after="200" w:before="360"/>
      </w:pPr>
      <w:r>
        <w:rPr>
          <w:rFonts w:ascii="Arial" w:cs="Arial" w:eastAsia="Arial" w:hAnsi="Arial"/>
          <w:b/>
          <w:bCs/>
          <w:color w:val="022B1E"/>
          <w:sz w:val="28"/>
          <w:szCs w:val="28"/>
        </w:rPr>
        <w:t xml:space="preserve">7. Your Rights</w:t>
      </w:r>
    </w:p>
    <w:p>
      <w:pPr>
        <w:spacing w:after="160" w:line="276"/>
      </w:pPr>
      <w:r>
        <w:rPr>
          <w:rFonts w:ascii="Arial" w:cs="Arial" w:eastAsia="Arial" w:hAnsi="Arial"/>
          <w:color w:val="333333"/>
          <w:sz w:val="20"/>
          <w:szCs w:val="20"/>
        </w:rPr>
        <w:t xml:space="preserve">Depending on your location and applicable law, you may have the following rights regarding your personal data:</w:t>
      </w:r>
    </w:p>
    <w:p>
      <w:pPr>
        <w:pStyle w:val="Heading2"/>
        <w:spacing w:after="160" w:before="280"/>
      </w:pPr>
      <w:r>
        <w:rPr>
          <w:rFonts w:ascii="Arial" w:cs="Arial" w:eastAsia="Arial" w:hAnsi="Arial"/>
          <w:b/>
          <w:bCs/>
          <w:color w:val="0B6E4F"/>
          <w:sz w:val="24"/>
          <w:szCs w:val="24"/>
        </w:rPr>
        <w:t xml:space="preserve">7.1 All Users</w:t>
      </w:r>
    </w:p>
    <w:p>
      <w:pPr>
        <w:pStyle w:val="ListParagraph"/>
        <w:numPr>
          <w:ilvl w:val="0"/>
          <w:numId w:val="2"/>
        </w:numPr>
        <w:spacing w:after="80" w:line="276"/>
      </w:pPr>
      <w:r>
        <w:rPr>
          <w:rFonts w:ascii="Arial" w:cs="Arial" w:eastAsia="Arial" w:hAnsi="Arial"/>
          <w:color w:val="333333"/>
          <w:sz w:val="20"/>
          <w:szCs w:val="20"/>
        </w:rPr>
        <w:t xml:space="preserve">Access: request a copy of the personal data we hold about you</w:t>
      </w:r>
    </w:p>
    <w:p>
      <w:pPr>
        <w:pStyle w:val="ListParagraph"/>
        <w:numPr>
          <w:ilvl w:val="0"/>
          <w:numId w:val="2"/>
        </w:numPr>
        <w:spacing w:after="80" w:line="276"/>
      </w:pPr>
      <w:r>
        <w:rPr>
          <w:rFonts w:ascii="Arial" w:cs="Arial" w:eastAsia="Arial" w:hAnsi="Arial"/>
          <w:color w:val="333333"/>
          <w:sz w:val="20"/>
          <w:szCs w:val="20"/>
        </w:rPr>
        <w:t xml:space="preserve">Correction: request correction of inaccurate or incomplete data</w:t>
      </w:r>
    </w:p>
    <w:p>
      <w:pPr>
        <w:pStyle w:val="ListParagraph"/>
        <w:numPr>
          <w:ilvl w:val="0"/>
          <w:numId w:val="2"/>
        </w:numPr>
        <w:spacing w:after="80" w:line="276"/>
      </w:pPr>
      <w:r>
        <w:rPr>
          <w:rFonts w:ascii="Arial" w:cs="Arial" w:eastAsia="Arial" w:hAnsi="Arial"/>
          <w:color w:val="333333"/>
          <w:sz w:val="20"/>
          <w:szCs w:val="20"/>
        </w:rPr>
        <w:t xml:space="preserve">Deletion: request deletion of your personal data (subject to legal retention requirements)</w:t>
      </w:r>
    </w:p>
    <w:p>
      <w:pPr>
        <w:pStyle w:val="ListParagraph"/>
        <w:numPr>
          <w:ilvl w:val="0"/>
          <w:numId w:val="2"/>
        </w:numPr>
        <w:spacing w:after="80" w:line="276"/>
      </w:pPr>
      <w:r>
        <w:rPr>
          <w:rFonts w:ascii="Arial" w:cs="Arial" w:eastAsia="Arial" w:hAnsi="Arial"/>
          <w:color w:val="333333"/>
          <w:sz w:val="20"/>
          <w:szCs w:val="20"/>
        </w:rPr>
        <w:t xml:space="preserve">Account closure: close your account at any time through the app or by contacting us</w:t>
      </w:r>
    </w:p>
    <w:p>
      <w:pPr>
        <w:pStyle w:val="Heading2"/>
        <w:spacing w:after="160" w:before="280"/>
      </w:pPr>
      <w:r>
        <w:rPr>
          <w:rFonts w:ascii="Arial" w:cs="Arial" w:eastAsia="Arial" w:hAnsi="Arial"/>
          <w:b/>
          <w:bCs/>
          <w:color w:val="0B6E4F"/>
          <w:sz w:val="24"/>
          <w:szCs w:val="24"/>
        </w:rPr>
        <w:t xml:space="preserve">7.2 UK/EU Users (Additional Rights under GDPR)</w:t>
      </w:r>
    </w:p>
    <w:p>
      <w:pPr>
        <w:pStyle w:val="ListParagraph"/>
        <w:numPr>
          <w:ilvl w:val="0"/>
          <w:numId w:val="2"/>
        </w:numPr>
        <w:spacing w:after="80" w:line="276"/>
      </w:pPr>
      <w:r>
        <w:rPr>
          <w:rFonts w:ascii="Arial" w:cs="Arial" w:eastAsia="Arial" w:hAnsi="Arial"/>
          <w:color w:val="333333"/>
          <w:sz w:val="20"/>
          <w:szCs w:val="20"/>
        </w:rPr>
        <w:t xml:space="preserve">Data portability: receive your data in a structured, machine-readable format</w:t>
      </w:r>
    </w:p>
    <w:p>
      <w:pPr>
        <w:pStyle w:val="ListParagraph"/>
        <w:numPr>
          <w:ilvl w:val="0"/>
          <w:numId w:val="2"/>
        </w:numPr>
        <w:spacing w:after="80" w:line="276"/>
      </w:pPr>
      <w:r>
        <w:rPr>
          <w:rFonts w:ascii="Arial" w:cs="Arial" w:eastAsia="Arial" w:hAnsi="Arial"/>
          <w:color w:val="333333"/>
          <w:sz w:val="20"/>
          <w:szCs w:val="20"/>
        </w:rPr>
        <w:t xml:space="preserve">Restriction of processing: request limitation of processing in certain circumstances</w:t>
      </w:r>
    </w:p>
    <w:p>
      <w:pPr>
        <w:pStyle w:val="ListParagraph"/>
        <w:numPr>
          <w:ilvl w:val="0"/>
          <w:numId w:val="2"/>
        </w:numPr>
        <w:spacing w:after="80" w:line="276"/>
      </w:pPr>
      <w:r>
        <w:rPr>
          <w:rFonts w:ascii="Arial" w:cs="Arial" w:eastAsia="Arial" w:hAnsi="Arial"/>
          <w:color w:val="333333"/>
          <w:sz w:val="20"/>
          <w:szCs w:val="20"/>
        </w:rPr>
        <w:t xml:space="preserve">Object to processing: object to processing based on legitimate interests, including profiling</w:t>
      </w:r>
    </w:p>
    <w:p>
      <w:pPr>
        <w:pStyle w:val="ListParagraph"/>
        <w:numPr>
          <w:ilvl w:val="0"/>
          <w:numId w:val="2"/>
        </w:numPr>
        <w:spacing w:after="80" w:line="276"/>
      </w:pPr>
      <w:r>
        <w:rPr>
          <w:rFonts w:ascii="Arial" w:cs="Arial" w:eastAsia="Arial" w:hAnsi="Arial"/>
          <w:color w:val="333333"/>
          <w:sz w:val="20"/>
          <w:szCs w:val="20"/>
        </w:rPr>
        <w:t xml:space="preserve">Withdraw consent: withdraw consent at any time for processing based on consent</w:t>
      </w:r>
    </w:p>
    <w:p>
      <w:pPr>
        <w:pStyle w:val="ListParagraph"/>
        <w:numPr>
          <w:ilvl w:val="0"/>
          <w:numId w:val="2"/>
        </w:numPr>
        <w:spacing w:after="80" w:line="276"/>
      </w:pPr>
      <w:r>
        <w:rPr>
          <w:rFonts w:ascii="Arial" w:cs="Arial" w:eastAsia="Arial" w:hAnsi="Arial"/>
          <w:color w:val="333333"/>
          <w:sz w:val="20"/>
          <w:szCs w:val="20"/>
        </w:rPr>
        <w:t xml:space="preserve">Lodge a complaint: file a complaint with your local data protection authority (UK: Information Commissioner's Office; EU: your national supervisory authority)</w:t>
      </w:r>
    </w:p>
    <w:p>
      <w:pPr>
        <w:pStyle w:val="Heading2"/>
        <w:spacing w:after="160" w:before="280"/>
      </w:pPr>
      <w:r>
        <w:rPr>
          <w:rFonts w:ascii="Arial" w:cs="Arial" w:eastAsia="Arial" w:hAnsi="Arial"/>
          <w:b/>
          <w:bCs/>
          <w:color w:val="0B6E4F"/>
          <w:sz w:val="24"/>
          <w:szCs w:val="24"/>
        </w:rPr>
        <w:t xml:space="preserve">7.3 Ghana Users (Rights under DPA 2012)</w:t>
      </w:r>
    </w:p>
    <w:p>
      <w:pPr>
        <w:pStyle w:val="ListParagraph"/>
        <w:numPr>
          <w:ilvl w:val="0"/>
          <w:numId w:val="2"/>
        </w:numPr>
        <w:spacing w:after="80" w:line="276"/>
      </w:pPr>
      <w:r>
        <w:rPr>
          <w:rFonts w:ascii="Arial" w:cs="Arial" w:eastAsia="Arial" w:hAnsi="Arial"/>
          <w:color w:val="333333"/>
          <w:sz w:val="20"/>
          <w:szCs w:val="20"/>
        </w:rPr>
        <w:t xml:space="preserve">Access and correction rights as provided under Act 843</w:t>
      </w:r>
    </w:p>
    <w:p>
      <w:pPr>
        <w:pStyle w:val="ListParagraph"/>
        <w:numPr>
          <w:ilvl w:val="0"/>
          <w:numId w:val="2"/>
        </w:numPr>
        <w:spacing w:after="80" w:line="276"/>
      </w:pPr>
      <w:r>
        <w:rPr>
          <w:rFonts w:ascii="Arial" w:cs="Arial" w:eastAsia="Arial" w:hAnsi="Arial"/>
          <w:color w:val="333333"/>
          <w:sz w:val="20"/>
          <w:szCs w:val="20"/>
        </w:rPr>
        <w:t xml:space="preserve">Right to object to processing that causes unwarranted damage or distress</w:t>
      </w:r>
    </w:p>
    <w:p>
      <w:pPr>
        <w:pStyle w:val="ListParagraph"/>
        <w:numPr>
          <w:ilvl w:val="0"/>
          <w:numId w:val="2"/>
        </w:numPr>
        <w:spacing w:after="80" w:line="276"/>
      </w:pPr>
      <w:r>
        <w:rPr>
          <w:rFonts w:ascii="Arial" w:cs="Arial" w:eastAsia="Arial" w:hAnsi="Arial"/>
          <w:color w:val="333333"/>
          <w:sz w:val="20"/>
          <w:szCs w:val="20"/>
        </w:rPr>
        <w:t xml:space="preserve">Right to lodge a complaint with the Ghana Data Protection Commission</w:t>
      </w:r>
    </w:p>
    <w:p>
      <w:pPr>
        <w:pStyle w:val="Heading2"/>
        <w:spacing w:after="160" w:before="280"/>
      </w:pPr>
      <w:r>
        <w:rPr>
          <w:rFonts w:ascii="Arial" w:cs="Arial" w:eastAsia="Arial" w:hAnsi="Arial"/>
          <w:b/>
          <w:bCs/>
          <w:color w:val="0B6E4F"/>
          <w:sz w:val="24"/>
          <w:szCs w:val="24"/>
        </w:rPr>
        <w:t xml:space="preserve">7.4 Nigeria Users (Rights under NDPA 2023)</w:t>
      </w:r>
    </w:p>
    <w:p>
      <w:pPr>
        <w:pStyle w:val="ListParagraph"/>
        <w:numPr>
          <w:ilvl w:val="0"/>
          <w:numId w:val="2"/>
        </w:numPr>
        <w:spacing w:after="80" w:line="276"/>
      </w:pPr>
      <w:r>
        <w:rPr>
          <w:rFonts w:ascii="Arial" w:cs="Arial" w:eastAsia="Arial" w:hAnsi="Arial"/>
          <w:color w:val="333333"/>
          <w:sz w:val="20"/>
          <w:szCs w:val="20"/>
        </w:rPr>
        <w:t xml:space="preserve">Access, rectification, and erasure rights as provided under the NDPA</w:t>
      </w:r>
    </w:p>
    <w:p>
      <w:pPr>
        <w:pStyle w:val="ListParagraph"/>
        <w:numPr>
          <w:ilvl w:val="0"/>
          <w:numId w:val="2"/>
        </w:numPr>
        <w:spacing w:after="80" w:line="276"/>
      </w:pPr>
      <w:r>
        <w:rPr>
          <w:rFonts w:ascii="Arial" w:cs="Arial" w:eastAsia="Arial" w:hAnsi="Arial"/>
          <w:color w:val="333333"/>
          <w:sz w:val="20"/>
          <w:szCs w:val="20"/>
        </w:rPr>
        <w:t xml:space="preserve">Right to data portability</w:t>
      </w:r>
    </w:p>
    <w:p>
      <w:pPr>
        <w:pStyle w:val="ListParagraph"/>
        <w:numPr>
          <w:ilvl w:val="0"/>
          <w:numId w:val="2"/>
        </w:numPr>
        <w:spacing w:after="80" w:line="276"/>
      </w:pPr>
      <w:r>
        <w:rPr>
          <w:rFonts w:ascii="Arial" w:cs="Arial" w:eastAsia="Arial" w:hAnsi="Arial"/>
          <w:color w:val="333333"/>
          <w:sz w:val="20"/>
          <w:szCs w:val="20"/>
        </w:rPr>
        <w:t xml:space="preserve">Right to lodge a complaint with the Nigeria Data Protection Commission</w:t>
      </w:r>
    </w:p>
    <w:p>
      <w:pPr>
        <w:pStyle w:val="Heading2"/>
        <w:spacing w:after="160" w:before="280"/>
      </w:pPr>
      <w:r>
        <w:rPr>
          <w:rFonts w:ascii="Arial" w:cs="Arial" w:eastAsia="Arial" w:hAnsi="Arial"/>
          <w:b/>
          <w:bCs/>
          <w:color w:val="0B6E4F"/>
          <w:sz w:val="24"/>
          <w:szCs w:val="24"/>
        </w:rPr>
        <w:t xml:space="preserve">7.5 Kenya Users (Rights under DPA 2019)</w:t>
      </w:r>
    </w:p>
    <w:p>
      <w:pPr>
        <w:pStyle w:val="ListParagraph"/>
        <w:numPr>
          <w:ilvl w:val="0"/>
          <w:numId w:val="2"/>
        </w:numPr>
        <w:spacing w:after="80" w:line="276"/>
      </w:pPr>
      <w:r>
        <w:rPr>
          <w:rFonts w:ascii="Arial" w:cs="Arial" w:eastAsia="Arial" w:hAnsi="Arial"/>
          <w:color w:val="333333"/>
          <w:sz w:val="20"/>
          <w:szCs w:val="20"/>
        </w:rPr>
        <w:t xml:space="preserve">Access, rectification, and erasure rights as provided under the DPA</w:t>
      </w:r>
    </w:p>
    <w:p>
      <w:pPr>
        <w:pStyle w:val="ListParagraph"/>
        <w:numPr>
          <w:ilvl w:val="0"/>
          <w:numId w:val="2"/>
        </w:numPr>
        <w:spacing w:after="80" w:line="276"/>
      </w:pPr>
      <w:r>
        <w:rPr>
          <w:rFonts w:ascii="Arial" w:cs="Arial" w:eastAsia="Arial" w:hAnsi="Arial"/>
          <w:color w:val="333333"/>
          <w:sz w:val="20"/>
          <w:szCs w:val="20"/>
        </w:rPr>
        <w:t xml:space="preserve">Right to object to processing</w:t>
      </w:r>
    </w:p>
    <w:p>
      <w:pPr>
        <w:pStyle w:val="ListParagraph"/>
        <w:numPr>
          <w:ilvl w:val="0"/>
          <w:numId w:val="2"/>
        </w:numPr>
        <w:spacing w:after="80" w:line="276"/>
      </w:pPr>
      <w:r>
        <w:rPr>
          <w:rFonts w:ascii="Arial" w:cs="Arial" w:eastAsia="Arial" w:hAnsi="Arial"/>
          <w:color w:val="333333"/>
          <w:sz w:val="20"/>
          <w:szCs w:val="20"/>
        </w:rPr>
        <w:t xml:space="preserve">Right to lodge a complaint with the Office of the Data Protection Commissioner</w:t>
      </w:r>
    </w:p>
    <w:p>
      <w:pPr>
        <w:spacing w:after="160" w:line="276"/>
      </w:pPr>
      <w:r>
        <w:rPr>
          <w:rFonts w:ascii="Arial" w:cs="Arial" w:eastAsia="Arial" w:hAnsi="Arial"/>
          <w:color w:val="333333"/>
          <w:sz w:val="20"/>
          <w:szCs w:val="20"/>
        </w:rPr>
        <w:t xml:space="preserve">To exercise any of these rights, contact us at privacy@eyeonsite.com. We will respond within 30 days (or sooner where required by applicable law).</w:t>
      </w:r>
    </w:p>
    <w:p>
      <w:pPr>
        <w:pStyle w:val="Heading1"/>
        <w:spacing w:after="200" w:before="360"/>
      </w:pPr>
      <w:r>
        <w:rPr>
          <w:rFonts w:ascii="Arial" w:cs="Arial" w:eastAsia="Arial" w:hAnsi="Arial"/>
          <w:b/>
          <w:bCs/>
          <w:color w:val="022B1E"/>
          <w:sz w:val="28"/>
          <w:szCs w:val="28"/>
        </w:rPr>
        <w:t xml:space="preserve">8. Data Security</w:t>
      </w:r>
    </w:p>
    <w:p>
      <w:pPr>
        <w:spacing w:after="160" w:line="276"/>
      </w:pPr>
      <w:r>
        <w:rPr>
          <w:rFonts w:ascii="Arial" w:cs="Arial" w:eastAsia="Arial" w:hAnsi="Arial"/>
          <w:color w:val="333333"/>
          <w:sz w:val="20"/>
          <w:szCs w:val="20"/>
        </w:rPr>
        <w:t xml:space="preserve">We implement appropriate technical and organizational measures to protect your personal data, including:</w:t>
      </w:r>
    </w:p>
    <w:p>
      <w:pPr>
        <w:pStyle w:val="ListParagraph"/>
        <w:numPr>
          <w:ilvl w:val="0"/>
          <w:numId w:val="2"/>
        </w:numPr>
        <w:spacing w:after="80" w:line="276"/>
      </w:pPr>
      <w:r>
        <w:rPr>
          <w:rFonts w:ascii="Arial" w:cs="Arial" w:eastAsia="Arial" w:hAnsi="Arial"/>
          <w:color w:val="333333"/>
          <w:sz w:val="20"/>
          <w:szCs w:val="20"/>
        </w:rPr>
        <w:t xml:space="preserve">Encryption: all data in transit is encrypted using TLS 1.2+; data at rest is encrypted using Google Cloud's default encryption</w:t>
      </w:r>
    </w:p>
    <w:p>
      <w:pPr>
        <w:pStyle w:val="ListParagraph"/>
        <w:numPr>
          <w:ilvl w:val="0"/>
          <w:numId w:val="2"/>
        </w:numPr>
        <w:spacing w:after="80" w:line="276"/>
      </w:pPr>
      <w:r>
        <w:rPr>
          <w:rFonts w:ascii="Arial" w:cs="Arial" w:eastAsia="Arial" w:hAnsi="Arial"/>
          <w:color w:val="333333"/>
          <w:sz w:val="20"/>
          <w:szCs w:val="20"/>
        </w:rPr>
        <w:t xml:space="preserve">Access controls: role-based access with Firebase Security Rules; least-privilege principle for internal access</w:t>
      </w:r>
    </w:p>
    <w:p>
      <w:pPr>
        <w:pStyle w:val="ListParagraph"/>
        <w:numPr>
          <w:ilvl w:val="0"/>
          <w:numId w:val="2"/>
        </w:numPr>
        <w:spacing w:after="80" w:line="276"/>
      </w:pPr>
      <w:r>
        <w:rPr>
          <w:rFonts w:ascii="Arial" w:cs="Arial" w:eastAsia="Arial" w:hAnsi="Arial"/>
          <w:color w:val="333333"/>
          <w:sz w:val="20"/>
          <w:szCs w:val="20"/>
        </w:rPr>
        <w:t xml:space="preserve">Infrastructure: hosted on Google Cloud Platform with SOC 2, ISO 27001, and GDPR compliance certifications</w:t>
      </w:r>
    </w:p>
    <w:p>
      <w:pPr>
        <w:pStyle w:val="ListParagraph"/>
        <w:numPr>
          <w:ilvl w:val="0"/>
          <w:numId w:val="2"/>
        </w:numPr>
        <w:spacing w:after="80" w:line="276"/>
      </w:pPr>
      <w:r>
        <w:rPr>
          <w:rFonts w:ascii="Arial" w:cs="Arial" w:eastAsia="Arial" w:hAnsi="Arial"/>
          <w:color w:val="333333"/>
          <w:sz w:val="20"/>
          <w:szCs w:val="20"/>
        </w:rPr>
        <w:t xml:space="preserve">Payment data: card details are processed by PCI DSS-compliant payment processors (Stripe, Flutterwave) and are never stored on our servers</w:t>
      </w:r>
    </w:p>
    <w:p>
      <w:pPr>
        <w:pStyle w:val="ListParagraph"/>
        <w:numPr>
          <w:ilvl w:val="0"/>
          <w:numId w:val="2"/>
        </w:numPr>
        <w:spacing w:after="80" w:line="276"/>
      </w:pPr>
      <w:r>
        <w:rPr>
          <w:rFonts w:ascii="Arial" w:cs="Arial" w:eastAsia="Arial" w:hAnsi="Arial"/>
          <w:color w:val="333333"/>
          <w:sz w:val="20"/>
          <w:szCs w:val="20"/>
        </w:rPr>
        <w:t xml:space="preserve">Photo security: evidence photos are stored in Cloud Storage with signed URLs (time-limited access); no public bucket access</w:t>
      </w:r>
    </w:p>
    <w:p>
      <w:pPr>
        <w:pStyle w:val="ListParagraph"/>
        <w:numPr>
          <w:ilvl w:val="0"/>
          <w:numId w:val="2"/>
        </w:numPr>
        <w:spacing w:after="80" w:line="276"/>
      </w:pPr>
      <w:r>
        <w:rPr>
          <w:rFonts w:ascii="Arial" w:cs="Arial" w:eastAsia="Arial" w:hAnsi="Arial"/>
          <w:color w:val="333333"/>
          <w:sz w:val="20"/>
          <w:szCs w:val="20"/>
        </w:rPr>
        <w:t xml:space="preserve">Monitoring: automated security monitoring, access logging, and anomaly detection</w:t>
      </w:r>
    </w:p>
    <w:p>
      <w:pPr>
        <w:spacing w:after="160" w:line="276"/>
      </w:pPr>
      <w:r>
        <w:rPr>
          <w:rFonts w:ascii="Arial" w:cs="Arial" w:eastAsia="Arial" w:hAnsi="Arial"/>
          <w:color w:val="333333"/>
          <w:sz w:val="20"/>
          <w:szCs w:val="20"/>
        </w:rPr>
        <w:t xml:space="preserve">No method of data transmission or storage is 100% secure. While we strive to protect your personal data, we cannot guarantee absolute security. If we become aware of a data breach that is likely to result in a risk to your rights and freedoms, we will notify affected users and the relevant data protection authorities within 72 hours as required by applicable law.</w:t>
      </w:r>
    </w:p>
    <w:p>
      <w:pPr>
        <w:pStyle w:val="Heading1"/>
        <w:spacing w:after="200" w:before="360"/>
      </w:pPr>
      <w:r>
        <w:rPr>
          <w:rFonts w:ascii="Arial" w:cs="Arial" w:eastAsia="Arial" w:hAnsi="Arial"/>
          <w:b/>
          <w:bCs/>
          <w:color w:val="022B1E"/>
          <w:sz w:val="28"/>
          <w:szCs w:val="28"/>
        </w:rPr>
        <w:t xml:space="preserve">9. Children's Privacy</w:t>
      </w:r>
    </w:p>
    <w:p>
      <w:pPr>
        <w:spacing w:after="160" w:line="276"/>
      </w:pPr>
      <w:r>
        <w:rPr>
          <w:rFonts w:ascii="Arial" w:cs="Arial" w:eastAsia="Arial" w:hAnsi="Arial"/>
          <w:color w:val="333333"/>
          <w:sz w:val="20"/>
          <w:szCs w:val="20"/>
        </w:rPr>
        <w:t xml:space="preserve">The Platform is not intended for use by anyone under the age of 18. We do not knowingly collect personal data from children. If we become aware that we have collected data from a child under 18, we will take steps to delete such information promptly. If you believe a child has provided us with personal data, please contact us at privacy@eyeonsite.com.</w:t>
      </w:r>
    </w:p>
    <w:p>
      <w:pPr>
        <w:pStyle w:val="Heading1"/>
        <w:spacing w:after="200" w:before="360"/>
      </w:pPr>
      <w:r>
        <w:rPr>
          <w:rFonts w:ascii="Arial" w:cs="Arial" w:eastAsia="Arial" w:hAnsi="Arial"/>
          <w:b/>
          <w:bCs/>
          <w:color w:val="022B1E"/>
          <w:sz w:val="28"/>
          <w:szCs w:val="28"/>
        </w:rPr>
        <w:t xml:space="preserve">10. Cookies and Tracking</w:t>
      </w:r>
    </w:p>
    <w:p>
      <w:pPr>
        <w:spacing w:after="160" w:line="276"/>
      </w:pPr>
      <w:r>
        <w:rPr>
          <w:rFonts w:ascii="Arial" w:cs="Arial" w:eastAsia="Arial" w:hAnsi="Arial"/>
          <w:color w:val="333333"/>
          <w:sz w:val="20"/>
          <w:szCs w:val="20"/>
        </w:rPr>
        <w:t xml:space="preserve">Our mobile applications do not use cookies. Our website (eyeonsite.com) uses essential cookies necessary for the functioning of the site and, with your consent, analytics cookies (Google Analytics) to understand usage patterns. You can manage cookie preferences through your browser settings or our cookie consent banner.</w:t>
      </w:r>
    </w:p>
    <w:p>
      <w:pPr>
        <w:pStyle w:val="Heading1"/>
        <w:spacing w:after="200" w:before="360"/>
      </w:pPr>
      <w:r>
        <w:rPr>
          <w:rFonts w:ascii="Arial" w:cs="Arial" w:eastAsia="Arial" w:hAnsi="Arial"/>
          <w:b/>
          <w:bCs/>
          <w:color w:val="022B1E"/>
          <w:sz w:val="28"/>
          <w:szCs w:val="28"/>
        </w:rPr>
        <w:t xml:space="preserve">11. Third-Party Services</w:t>
      </w:r>
    </w:p>
    <w:p>
      <w:pPr>
        <w:spacing w:after="160" w:line="276"/>
      </w:pPr>
      <w:r>
        <w:rPr>
          <w:rFonts w:ascii="Arial" w:cs="Arial" w:eastAsia="Arial" w:hAnsi="Arial"/>
          <w:color w:val="333333"/>
          <w:sz w:val="20"/>
          <w:szCs w:val="20"/>
        </w:rPr>
        <w:t xml:space="preserve">The Platform may contain links to third-party services or integrate with third-party tools (such as Google Maps). These third-party services have their own privacy policies, and we are not responsible for their data practices. We encourage you to review the privacy policies of any third-party services you interact with.</w:t>
      </w:r>
    </w:p>
    <w:p>
      <w:pPr>
        <w:pStyle w:val="Heading1"/>
        <w:spacing w:after="200" w:before="360"/>
      </w:pPr>
      <w:r>
        <w:rPr>
          <w:rFonts w:ascii="Arial" w:cs="Arial" w:eastAsia="Arial" w:hAnsi="Arial"/>
          <w:b/>
          <w:bCs/>
          <w:color w:val="022B1E"/>
          <w:sz w:val="28"/>
          <w:szCs w:val="28"/>
        </w:rPr>
        <w:t xml:space="preserve">12. Changes to This Policy</w:t>
      </w:r>
    </w:p>
    <w:p>
      <w:pPr>
        <w:spacing w:after="160" w:line="276"/>
      </w:pPr>
      <w:r>
        <w:rPr>
          <w:rFonts w:ascii="Arial" w:cs="Arial" w:eastAsia="Arial" w:hAnsi="Arial"/>
          <w:color w:val="333333"/>
          <w:sz w:val="20"/>
          <w:szCs w:val="20"/>
        </w:rPr>
        <w:t xml:space="preserve">We may update this Privacy Policy from time to time to reflect changes in our practices, technology, legal requirements, or other factors. We will notify you of material changes via email or through the Platform at least 14 days before the changes take effect. The "Effective Date" at the top of this policy indicates when it was last updated.</w:t>
      </w:r>
    </w:p>
    <w:p>
      <w:pPr>
        <w:pStyle w:val="Heading1"/>
        <w:spacing w:after="200" w:before="360"/>
      </w:pPr>
      <w:r>
        <w:rPr>
          <w:rFonts w:ascii="Arial" w:cs="Arial" w:eastAsia="Arial" w:hAnsi="Arial"/>
          <w:b/>
          <w:bCs/>
          <w:color w:val="022B1E"/>
          <w:sz w:val="28"/>
          <w:szCs w:val="28"/>
        </w:rPr>
        <w:t xml:space="preserve">13. Contact Us</w:t>
      </w:r>
    </w:p>
    <w:p>
      <w:pPr>
        <w:spacing w:after="160" w:line="276"/>
      </w:pPr>
      <w:r>
        <w:rPr>
          <w:rFonts w:ascii="Arial" w:cs="Arial" w:eastAsia="Arial" w:hAnsi="Arial"/>
          <w:color w:val="333333"/>
          <w:sz w:val="20"/>
          <w:szCs w:val="20"/>
        </w:rPr>
        <w:t xml:space="preserve">If you have questions, concerns, or requests regarding this Privacy Policy or our data practices:</w:t>
      </w:r>
    </w:p>
    <w:p>
      <w:pPr>
        <w:spacing w:after="80"/>
      </w:pPr>
    </w:p>
    <w:p>
      <w:pPr>
        <w:spacing w:after="160" w:line="276"/>
      </w:pPr>
      <w:r>
        <w:rPr>
          <w:rFonts w:ascii="Arial" w:cs="Arial" w:eastAsia="Arial" w:hAnsi="Arial"/>
          <w:b/>
          <w:bCs/>
          <w:color w:val="333333"/>
          <w:sz w:val="20"/>
          <w:szCs w:val="20"/>
        </w:rPr>
        <w:t xml:space="preserve">General inquiries: </w:t>
      </w:r>
      <w:r>
        <w:rPr>
          <w:rFonts w:ascii="Arial" w:cs="Arial" w:eastAsia="Arial" w:hAnsi="Arial"/>
          <w:color w:val="333333"/>
          <w:sz w:val="20"/>
          <w:szCs w:val="20"/>
        </w:rPr>
        <w:t xml:space="preserve">privacy@eyeonsite.com</w:t>
      </w:r>
    </w:p>
    <w:p>
      <w:pPr>
        <w:spacing w:after="160" w:line="276"/>
      </w:pPr>
      <w:r>
        <w:rPr>
          <w:rFonts w:ascii="Arial" w:cs="Arial" w:eastAsia="Arial" w:hAnsi="Arial"/>
          <w:b/>
          <w:bCs/>
          <w:color w:val="333333"/>
          <w:sz w:val="20"/>
          <w:szCs w:val="20"/>
        </w:rPr>
        <w:t xml:space="preserve">Data Protection Officer: </w:t>
      </w:r>
      <w:r>
        <w:rPr>
          <w:rFonts w:ascii="Arial" w:cs="Arial" w:eastAsia="Arial" w:hAnsi="Arial"/>
          <w:color w:val="333333"/>
          <w:sz w:val="20"/>
          <w:szCs w:val="20"/>
        </w:rPr>
        <w:t xml:space="preserve">dpo@eyeonsite.com</w:t>
      </w:r>
    </w:p>
    <w:p>
      <w:pPr>
        <w:spacing w:after="160" w:line="276"/>
      </w:pPr>
      <w:r>
        <w:rPr>
          <w:rFonts w:ascii="Arial" w:cs="Arial" w:eastAsia="Arial" w:hAnsi="Arial"/>
          <w:b/>
          <w:bCs/>
          <w:color w:val="333333"/>
          <w:sz w:val="20"/>
          <w:szCs w:val="20"/>
        </w:rPr>
        <w:t xml:space="preserve">Postal address: </w:t>
      </w:r>
      <w:r>
        <w:rPr>
          <w:rFonts w:ascii="Arial" w:cs="Arial" w:eastAsia="Arial" w:hAnsi="Arial"/>
          <w:color w:val="333333"/>
          <w:sz w:val="20"/>
          <w:szCs w:val="20"/>
        </w:rPr>
        <w:t xml:space="preserve">Manti Labs LLC, Accra, Ghana</w:t>
      </w:r>
    </w:p>
    <w:p>
      <w:pPr>
        <w:spacing w:after="80"/>
      </w:pPr>
    </w:p>
    <w:p>
      <w:pPr>
        <w:spacing w:after="160" w:line="276"/>
      </w:pPr>
      <w:r>
        <w:rPr>
          <w:rFonts w:ascii="Arial" w:cs="Arial" w:eastAsia="Arial" w:hAnsi="Arial"/>
          <w:color w:val="333333"/>
          <w:sz w:val="20"/>
          <w:szCs w:val="20"/>
        </w:rPr>
        <w:t xml:space="preserve">For UK/EU data protection inquiries, you may also contact your local data protection authority directly.</w:t>
      </w:r>
    </w:p>
    <w:p>
      <w:pPr>
        <w:pStyle w:val="Heading2"/>
        <w:spacing w:after="160" w:before="280"/>
      </w:pPr>
      <w:r>
        <w:rPr>
          <w:rFonts w:ascii="Arial" w:cs="Arial" w:eastAsia="Arial" w:hAnsi="Arial"/>
          <w:b/>
          <w:bCs/>
          <w:color w:val="0B6E4F"/>
          <w:sz w:val="24"/>
          <w:szCs w:val="24"/>
        </w:rPr>
        <w:t xml:space="preserve">Relevant Data Protection Authorities</w:t>
      </w:r>
    </w:p>
    <w:p>
      <w:pPr>
        <w:pStyle w:val="ListParagraph"/>
        <w:numPr>
          <w:ilvl w:val="0"/>
          <w:numId w:val="2"/>
        </w:numPr>
        <w:spacing w:after="80" w:line="276"/>
      </w:pPr>
      <w:r>
        <w:rPr>
          <w:rFonts w:ascii="Arial" w:cs="Arial" w:eastAsia="Arial" w:hAnsi="Arial"/>
          <w:color w:val="333333"/>
          <w:sz w:val="20"/>
          <w:szCs w:val="20"/>
        </w:rPr>
        <w:t xml:space="preserve">Ghana: Data Protection Commission (www.dataprotection.org.gh)</w:t>
      </w:r>
    </w:p>
    <w:p>
      <w:pPr>
        <w:pStyle w:val="ListParagraph"/>
        <w:numPr>
          <w:ilvl w:val="0"/>
          <w:numId w:val="2"/>
        </w:numPr>
        <w:spacing w:after="80" w:line="276"/>
      </w:pPr>
      <w:r>
        <w:rPr>
          <w:rFonts w:ascii="Arial" w:cs="Arial" w:eastAsia="Arial" w:hAnsi="Arial"/>
          <w:color w:val="333333"/>
          <w:sz w:val="20"/>
          <w:szCs w:val="20"/>
        </w:rPr>
        <w:t xml:space="preserve">Nigeria: Nigeria Data Protection Commission (ndpc.gov.ng)</w:t>
      </w:r>
    </w:p>
    <w:p>
      <w:pPr>
        <w:pStyle w:val="ListParagraph"/>
        <w:numPr>
          <w:ilvl w:val="0"/>
          <w:numId w:val="2"/>
        </w:numPr>
        <w:spacing w:after="80" w:line="276"/>
      </w:pPr>
      <w:r>
        <w:rPr>
          <w:rFonts w:ascii="Arial" w:cs="Arial" w:eastAsia="Arial" w:hAnsi="Arial"/>
          <w:color w:val="333333"/>
          <w:sz w:val="20"/>
          <w:szCs w:val="20"/>
        </w:rPr>
        <w:t xml:space="preserve">Kenya: Office of the Data Protection Commissioner (odpc.go.ke)</w:t>
      </w:r>
    </w:p>
    <w:p>
      <w:pPr>
        <w:pStyle w:val="ListParagraph"/>
        <w:numPr>
          <w:ilvl w:val="0"/>
          <w:numId w:val="2"/>
        </w:numPr>
        <w:spacing w:after="80" w:line="276"/>
      </w:pPr>
      <w:r>
        <w:rPr>
          <w:rFonts w:ascii="Arial" w:cs="Arial" w:eastAsia="Arial" w:hAnsi="Arial"/>
          <w:color w:val="333333"/>
          <w:sz w:val="20"/>
          <w:szCs w:val="20"/>
        </w:rPr>
        <w:t xml:space="preserve">United Kingdom: Information Commissioner's Office (ico.org.uk)</w:t>
      </w:r>
    </w:p>
    <w:p>
      <w:pPr>
        <w:spacing w:before="400"/>
      </w:pPr>
    </w:p>
    <w:p>
      <w:pPr>
        <w:pBdr>
          <w:top w:val="single" w:color="E8E6DD" w:sz="2" w:space="8"/>
        </w:pBdr>
        <w:spacing w:before="200"/>
        <w:jc w:val="center"/>
      </w:pPr>
      <w:r>
        <w:rPr>
          <w:rFonts w:ascii="Arial" w:cs="Arial" w:eastAsia="Arial" w:hAnsi="Arial"/>
          <w:i/>
          <w:iCs/>
          <w:color w:val="999999"/>
          <w:sz w:val="18"/>
          <w:szCs w:val="18"/>
        </w:rPr>
        <w:t xml:space="preserve">End of Privacy Policy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22B1E"/>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0B6E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2026-05-25T13:32:10.285Z</dcterms:created>
  <dcterms:modified xsi:type="dcterms:W3CDTF">2026-05-25T13:32:10.285Z</dcterms:modified>
</cp:coreProperties>
</file>

<file path=docProps/custom.xml><?xml version="1.0" encoding="utf-8"?>
<Properties xmlns="http://schemas.openxmlformats.org/officeDocument/2006/custom-properties" xmlns:vt="http://schemas.openxmlformats.org/officeDocument/2006/docPropsVTypes"/>
</file>