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OrgTitle"/>
        <w:bidi w:val="0"/>
        <w:spacing w:before="0" w:after="0"/>
        <w:rPr/>
      </w:pPr>
      <w:r>
        <w:rPr/>
        <w:fldChar w:fldCharType="begin"/>
      </w:r>
      <w:r>
        <w:rPr/>
        <w:instrText xml:space="preserve"> TITLE </w:instrText>
      </w:r>
      <w:r>
        <w:rPr/>
        <w:fldChar w:fldCharType="separate"/>
      </w:r>
      <w:r>
        <w:rPr/>
        <w:t>Zomato Pune Restaurant Analysis Report: Exploring Factors Influencing Ratings</w:t>
      </w:r>
      <w:r>
        <w:rPr/>
        <w:fldChar w:fldCharType="end"/>
      </w:r>
    </w:p>
    <w:p>
      <w:pPr>
        <w:pStyle w:val="OrgTitle"/>
        <w:bidi w:val="0"/>
        <w:spacing w:before="0" w:after="0"/>
        <w:rPr/>
      </w:pPr>
      <w:r>
        <w:rPr/>
      </w:r>
    </w:p>
    <w:p>
      <w:pPr>
        <w:pStyle w:val="OrgSubtitle"/>
        <w:bidi w:val="0"/>
        <w:spacing w:before="0" w:after="0"/>
        <w:rPr/>
      </w:pPr>
      <w:r>
        <w:rPr/>
        <w:fldChar w:fldCharType="begin"/>
      </w:r>
      <w:r>
        <w:rPr/>
        <w:instrText xml:space="preserve"> AUTHOR </w:instrText>
      </w:r>
      <w:r>
        <w:rPr/>
        <w:fldChar w:fldCharType="separate"/>
      </w:r>
      <w:r>
        <w:rPr/>
      </w:r>
      <w:r>
        <w:rPr/>
        <w:fldChar w:fldCharType="end"/>
      </w:r>
    </w:p>
    <w:p>
      <w:pPr>
        <w:pStyle w:val="BodyText"/>
        <w:bidi w:val="0"/>
        <w:spacing w:before="0" w:after="120"/>
        <w:jc w:val="left"/>
        <w:rPr/>
      </w:pPr>
      <w:r>
        <w:rPr/>
        <w:t xml:space="preserve">Pune, a city celebrated as a cultural hub and educational center, boasts a vibrant and diverse culinary landscape. With a plethora of dining options ranging from traditional eateries to international chains, the restaurant scene is constantly evolving. This study delves into the dynamics of Pune's restaurant market by examining the distribution of Zomato ratings and their relationship with restaurant pricing. Utilizing data scraped from Zomato until December 1st, 2019, this analysis aims to uncover insights into customer preferences and market trends. </w:t>
      </w:r>
    </w:p>
    <w:p>
      <w:pPr>
        <w:pStyle w:val="Table"/>
        <w:keepNext w:val="true"/>
        <w:rPr/>
      </w:pPr>
      <w:r>
        <w:rPr/>
      </w:r>
    </w:p>
    <w:p>
      <w:pPr>
        <w:pStyle w:val="Table"/>
        <w:rPr/>
      </w:pPr>
      <w:r>
        <w:rPr/>
        <w:t xml:space="preserve">Table </w:t>
      </w:r>
      <w:r>
        <w:rPr/>
        <w:fldChar w:fldCharType="begin"/>
      </w:r>
      <w:r>
        <w:rPr/>
        <w:instrText xml:space="preserve"> SEQ Table \* ARABIC </w:instrText>
      </w:r>
      <w:r>
        <w:rPr/>
        <w:fldChar w:fldCharType="separate"/>
      </w:r>
      <w:r>
        <w:rPr/>
        <w:t>1</w:t>
      </w:r>
      <w:r>
        <w:rPr/>
        <w:fldChar w:fldCharType="end"/>
      </w:r>
      <w:r>
        <w:rPr/>
        <w:t>: Column details of the dataset</w:t>
      </w:r>
    </w:p>
    <w:tbl>
      <w:tblPr>
        <w:tblW w:w="9638" w:type="dxa"/>
        <w:jc w:val="left"/>
        <w:tblInd w:w="0" w:type="dxa"/>
        <w:tblLayout w:type="fixed"/>
        <w:tblCellMar>
          <w:top w:w="0" w:type="dxa"/>
          <w:left w:w="0" w:type="dxa"/>
          <w:bottom w:w="0" w:type="dxa"/>
          <w:right w:w="0" w:type="dxa"/>
        </w:tblCellMar>
      </w:tblPr>
      <w:tblGrid>
        <w:gridCol w:w="2863"/>
        <w:gridCol w:w="1043"/>
        <w:gridCol w:w="5732"/>
      </w:tblGrid>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spacing w:val="0"/>
                <w:sz w:val="21"/>
              </w:rPr>
            </w:pPr>
            <w:r>
              <w:rPr>
                <w:rFonts w:ascii="Google Sans Text;Helvetica Neue;sans-serif" w:hAnsi="Google Sans Text;Helvetica Neue;sans-serif"/>
                <w:b/>
                <w:spacing w:val="0"/>
                <w:sz w:val="21"/>
              </w:rPr>
              <w:t>Column Name</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spacing w:val="0"/>
                <w:sz w:val="21"/>
              </w:rPr>
            </w:pPr>
            <w:r>
              <w:rPr>
                <w:rFonts w:ascii="Google Sans Text;Helvetica Neue;sans-serif" w:hAnsi="Google Sans Text;Helvetica Neue;sans-serif"/>
                <w:b/>
                <w:spacing w:val="0"/>
                <w:sz w:val="21"/>
              </w:rPr>
              <w:t>Data Type</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spacing w:val="0"/>
                <w:sz w:val="21"/>
              </w:rPr>
            </w:pPr>
            <w:r>
              <w:rPr>
                <w:rFonts w:ascii="Google Sans Text;Helvetica Neue;sans-serif" w:hAnsi="Google Sans Text;Helvetica Neue;sans-serif"/>
                <w:b/>
                <w:spacing w:val="0"/>
                <w:sz w:val="21"/>
              </w:rPr>
              <w:t>Description</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Restaurant_Name</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object</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Name of the restaurant</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Web_Link</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object</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URL of the restaurant's website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Locality</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object</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Area or neighborhood where the restaurant is located</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Sponsored</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object</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Indicates if the restaurant listing is sponsored</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Ratings_out_of_5</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object</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Average rating given by customers (out of 5)</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Number of votes</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object</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Total number of customer ratings</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Phone_number</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object</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Restaurant's phone number</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Cuisines</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object</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Types of cuisine offered</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Charges_for_two</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object</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Estimated cost for a meal for two people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payment_modes</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object</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Accepted payment methods</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Rest_timming</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object</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Restaurant's operating hours</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Detail_address</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object</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Full address of the restaurant</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5_star_review_percentage</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object</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Percentage of 5-star reviews</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4_star_review_percentage</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object</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Percentage of 4-star reviews</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3_star_review_percentage</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object</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Percentage of 3-star reviews</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2_star_review_percentage</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object</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Percentage of 2-star reviews</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1_star_review_percentage</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object</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Percentage of 1-star reviews</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Wine and Beer</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serves wine and beer,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Dance Floor</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has a dance floor,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Lunch Menu</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offers a lunch menu,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Outdoor Seating</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has outdoor seating,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Seaside</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is located by the sea,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4/5 Star</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has a 4/5 star rating,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Free Parking</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offers free parking,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Pet Friendly</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is pet-friendly,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Bulk Orders Accepted</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accepts bulk orders,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Gaming Area</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has a gaming area,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City View</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has a city view,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Vegetarian Only</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is vegetarian only,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Brunch</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serves brunch,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Live Music</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has live music,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Wheelchair Accessible</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is wheelchair accessible,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Home Delivery</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offers home delivery,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Celebrity Frequented</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is frequented by celebrities,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Pre-Ordering Required</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pre-ordering is required,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Pool Table</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has a pool table,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Keto Options</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offers keto options,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Wifi</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offers wifi,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Sports TV</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has sports TV,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Wine Tasting</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offers wine tasting,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Beer</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serves beer,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Restricted Entry</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has restricted entry,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Variable Menu</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has a variable menu,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Serves Non Veg</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serves non-vegetarian food,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Table booking for Groups</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accepts table bookings for groups,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Poolside</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is poolside,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Home Baker</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is a home baker,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Buffet</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offers a buffet,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Board Games</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has board games,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Vegan Options</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offers vegan options,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Table Reservation Not Required</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table reservation is not required,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Table reservation required</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table reservation is required,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Rooftop</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has a rooftop,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BYOB</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allows bring your own beverage,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Egg Preparations</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serves egg preparations,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Live Sports Screening</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screens live sports,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Luxury Dining</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offers luxury dining,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Seating Not Available</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seating is not available,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Desserts and Bakes</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serves desserts and bakes,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Card Upon Delivery</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card payment is accepted upon delivery,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Serves Jain Food</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serves Jain food,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Mall Parking</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has mall parking,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Available for Functions</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is available for functions,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Gastro Pub</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is a gastro pub,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Live Entertainment</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has live entertainment,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Sugar Free Options</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offers sugar-free options,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Couple Entry Only</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is for couples only,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Above 18 Only</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is for those above 18 years old only,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Drive in</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offers drive-in service,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Drive Thru</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has a drive-thru,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Valet Parking Available</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valet parking is available,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Indoor Seating</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has indoor seating,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Free Wifi</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offers free wifi,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Nightlife</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is known for its nightlife,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Serves Cocktails</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serves cocktails,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Kid Friendly</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is kid-friendly,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Craft Beer</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serves craft beer,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All Day Breakfast</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serves breakfast all day,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Gluten Free Options</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offers gluten-free options,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Group Meal</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offers group meals,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Table booking not available</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table booking is not available,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Full Bar Available</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has a full bar,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Members Only</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is members only,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Standing Tables</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has standing tables,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Karaoke</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has karaoke,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Entry Fee</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charges an entry fee,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Self Service</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is self-service,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Delivery Only</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offers delivery only,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LGBTQIA Friendly</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is LGBTQIA friendly,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No Alcohol Available</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does not serve alcohol,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Unlimited Pizz</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offers unlimited pizza,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Private Dining Area Available</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has a private dining area,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Smoking Are</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has a smoking area,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Table booking recommended</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table booking is recommended,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Resto Bar</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is a resto bar,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Serves Alcohol</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serves alcohol,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Breakfast</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serves breakfast,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Catering Available</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offers catering services,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Disabled Friendly</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is disabled friendly,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Serves Halal</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serves halal food,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Takeaway Only</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offers takeaway only,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BYOB Only</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int64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1 if the restaurant allows only bring your own beverage, 0 otherwise</w:t>
            </w:r>
          </w:p>
        </w:tc>
      </w:tr>
      <w:tr>
        <w:trPr/>
        <w:tc>
          <w:tcPr>
            <w:tcW w:w="286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spam_review</w:t>
            </w:r>
          </w:p>
        </w:tc>
        <w:tc>
          <w:tcPr>
            <w:tcW w:w="1043"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float64</w:t>
            </w:r>
          </w:p>
        </w:tc>
        <w:tc>
          <w:tcPr>
            <w:tcW w:w="5732" w:type="dxa"/>
            <w:tcBorders/>
            <w:vAlign w:val="center"/>
          </w:tcPr>
          <w:p>
            <w:pPr>
              <w:pStyle w:val="TableContents"/>
              <w:spacing w:lineRule="atLeast" w:line="300"/>
              <w:ind w:hanging="0" w:left="0" w:right="0"/>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Score indicating the likelihood of a review being spam</w:t>
            </w:r>
          </w:p>
        </w:tc>
      </w:tr>
    </w:tbl>
    <w:p>
      <w:pPr>
        <w:pStyle w:val="BodyText"/>
        <w:bidi w:val="0"/>
        <w:spacing w:before="0" w:after="120"/>
        <w:jc w:val="left"/>
        <w:rPr/>
      </w:pPr>
      <w:r>
        <w:rPr/>
      </w:r>
    </w:p>
    <w:p>
      <w:pPr>
        <w:pStyle w:val="BodyText"/>
        <w:bidi w:val="0"/>
        <w:spacing w:before="0" w:after="120"/>
        <w:jc w:val="left"/>
        <w:rPr/>
      </w:pPr>
      <w:r>
        <w:rPr/>
        <w:t xml:space="preserve">The dataset used in this study initially contained approximately 12,000 restaurants with a staggering 104 features. Each row represents an individual restaurant, encompassing a wealth of information, from basic details like name, location, and cuisine to more nuanced features like availability of outdoor seating, live music, and even LGBTQIA-friendly status. To prepare the data for analysis, several preprocessing steps were undertaken. Missing numeric values, a common occurrence in real-world datasets, were handled using median imputation. This method was chosen for its robustness against outliers, which could skew the mean. Further, outliers in the 'Charges_for_two' column were identified and removed using the four standard deviation rule. Any data point falling outside of four standard deviations from the mean was considered an outlier. This approach ensures that extreme values do not disproportionately influence the analysis, preserving the integrity of the findings. Several columns containing numerical information were initially stored as text. These were converted to numeric data types using regular expressions to extract numerical characters. This conversion is crucial for performing quantitative analysis. </w:t>
      </w:r>
    </w:p>
    <w:p>
      <w:pPr>
        <w:pStyle w:val="BodyText"/>
        <w:bidi w:val="0"/>
        <w:spacing w:before="0" w:after="120"/>
        <w:jc w:val="left"/>
        <w:rPr/>
      </w:pPr>
      <w:r>
        <w:rPr/>
      </w: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390390"/>
                <wp:effectExtent l="0" t="0" r="0" b="0"/>
                <wp:wrapSquare wrapText="largest"/>
                <wp:docPr id="1" name="Frame1"/>
                <a:graphic xmlns:a="http://schemas.openxmlformats.org/drawingml/2006/main">
                  <a:graphicData uri="http://schemas.microsoft.com/office/word/2010/wordprocessingShape">
                    <wps:wsp>
                      <wps:cNvSpPr txBox="1"/>
                      <wps:spPr>
                        <a:xfrm>
                          <a:off x="0" y="0"/>
                          <a:ext cx="6120130" cy="4390390"/>
                        </a:xfrm>
                        <a:prstGeom prst="rect"/>
                        <a:solidFill>
                          <a:srgbClr val="FFFFFF"/>
                        </a:solidFill>
                      </wps:spPr>
                      <wps:txbx>
                        <w:txbxContent>
                          <w:p>
                            <w:pPr>
                              <w:pStyle w:val="Figure"/>
                              <w:spacing w:before="120" w:after="120"/>
                              <w:rPr/>
                            </w:pPr>
                            <w:r>
                              <w:rPr/>
                              <w:drawing>
                                <wp:inline distT="0" distB="0" distL="0" distR="0">
                                  <wp:extent cx="6120130" cy="406273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6120130" cy="406273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Right skewed restaurant ratings</w:t>
                            </w:r>
                          </w:p>
                        </w:txbxContent>
                      </wps:txbx>
                      <wps:bodyPr anchor="t" lIns="0" tIns="0" rIns="0" bIns="0">
                        <a:noAutofit/>
                      </wps:bodyPr>
                    </wps:wsp>
                  </a:graphicData>
                </a:graphic>
              </wp:anchor>
            </w:drawing>
          </mc:Choice>
          <mc:Fallback>
            <w:pict>
              <v:rect style="position:absolute;rotation:-0;width:481.9pt;height:345.7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6120130" cy="406273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6120130" cy="406273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Right skewed restaurant ratings</w:t>
                      </w:r>
                    </w:p>
                  </w:txbxContent>
                </v:textbox>
                <w10:wrap type="square" side="largest"/>
              </v:rect>
            </w:pict>
          </mc:Fallback>
        </mc:AlternateContent>
      </w:r>
    </w:p>
    <w:p>
      <w:pPr>
        <w:pStyle w:val="BodyText"/>
        <w:bidi w:val="0"/>
        <w:spacing w:before="0" w:after="120"/>
        <w:jc w:val="left"/>
        <w:rPr/>
      </w:pPr>
      <w:r>
        <w:rPr/>
        <w:t xml:space="preserve">This study addresses the following research question: What is the distribution of restaurant ratings (out of 5) in Pune, and is it normally distributed? The null hypothesis posits that the distribution of restaurant ratings is normally distributed, while the alternative hypothesis proposes that the distribution is not normally distributed. These hypotheses provide a framework for our statistical investigation. </w:t>
      </w:r>
    </w:p>
    <w:p>
      <w:pPr>
        <w:pStyle w:val="BodyText"/>
        <w:bidi w:val="0"/>
        <w:spacing w:before="0" w:after="120"/>
        <w:jc w:val="left"/>
        <w:rPr/>
      </w:pPr>
      <w:r>
        <w:rPr/>
      </w:r>
      <w: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4345940"/>
                <wp:effectExtent l="0" t="0" r="0" b="0"/>
                <wp:wrapSquare wrapText="largest"/>
                <wp:docPr id="4" name="Frame2"/>
                <a:graphic xmlns:a="http://schemas.openxmlformats.org/drawingml/2006/main">
                  <a:graphicData uri="http://schemas.microsoft.com/office/word/2010/wordprocessingShape">
                    <wps:wsp>
                      <wps:cNvSpPr txBox="1"/>
                      <wps:spPr>
                        <a:xfrm>
                          <a:off x="0" y="0"/>
                          <a:ext cx="6120130" cy="4345940"/>
                        </a:xfrm>
                        <a:prstGeom prst="rect"/>
                        <a:solidFill>
                          <a:srgbClr val="FFFFFF"/>
                        </a:solidFill>
                      </wps:spPr>
                      <wps:txbx>
                        <w:txbxContent>
                          <w:p>
                            <w:pPr>
                              <w:pStyle w:val="Figure"/>
                              <w:spacing w:before="120" w:after="120"/>
                              <w:rPr/>
                            </w:pPr>
                            <w:r>
                              <w:rPr/>
                              <w:drawing>
                                <wp:inline distT="0" distB="0" distL="0" distR="0">
                                  <wp:extent cx="6120130" cy="401828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6120130" cy="401828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Relationship between charges and rating</w:t>
                            </w:r>
                          </w:p>
                        </w:txbxContent>
                      </wps:txbx>
                      <wps:bodyPr anchor="t" lIns="0" tIns="0" rIns="0" bIns="0">
                        <a:noAutofit/>
                      </wps:bodyPr>
                    </wps:wsp>
                  </a:graphicData>
                </a:graphic>
              </wp:anchor>
            </w:drawing>
          </mc:Choice>
          <mc:Fallback>
            <w:pict>
              <v:rect style="position:absolute;rotation:-0;width:481.9pt;height:342.2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6120130" cy="401828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tretch>
                                      <a:fillRect/>
                                    </a:stretch>
                                  </pic:blipFill>
                                  <pic:spPr bwMode="auto">
                                    <a:xfrm>
                                      <a:off x="0" y="0"/>
                                      <a:ext cx="6120130" cy="401828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Relationship between charges and rating</w:t>
                      </w:r>
                    </w:p>
                  </w:txbxContent>
                </v:textbox>
                <w10:wrap type="square" side="largest"/>
              </v:rect>
            </w:pict>
          </mc:Fallback>
        </mc:AlternateContent>
      </w:r>
    </w:p>
    <w:p>
      <w:pPr>
        <w:pStyle w:val="BodyText"/>
        <w:bidi w:val="0"/>
        <w:spacing w:before="0" w:after="120"/>
        <w:jc w:val="left"/>
        <w:rPr/>
      </w:pPr>
      <w:r>
        <w:rPr/>
        <w:t xml:space="preserve">The distribution of restaurant ratings is visualized using a histogram. The histogram reveals a left-skewed distribution, indicating a concentration of ratings towards the higher end of the scale (closer to 5). The KDE curve, overlaid on the histogram, smooths the distribution and confirms this left skew. The programmatic interpretation of the histogram, generated by the code, identifies the distribution as left-skewed. This observation is crucial in assessing the normality of the distribution and answering our research question. The distribution's left skew deviates from the perfect symmetry characteristic of a normal distribution. </w:t>
      </w:r>
    </w:p>
    <w:p>
      <w:pPr>
        <w:pStyle w:val="BodyText"/>
        <w:bidi w:val="0"/>
        <w:spacing w:before="0" w:after="120"/>
        <w:jc w:val="left"/>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4345940"/>
                <wp:effectExtent l="0" t="0" r="0" b="0"/>
                <wp:wrapSquare wrapText="largest"/>
                <wp:docPr id="7" name="Frame3"/>
                <a:graphic xmlns:a="http://schemas.openxmlformats.org/drawingml/2006/main">
                  <a:graphicData uri="http://schemas.microsoft.com/office/word/2010/wordprocessingShape">
                    <wps:wsp>
                      <wps:cNvSpPr txBox="1"/>
                      <wps:spPr>
                        <a:xfrm>
                          <a:off x="0" y="0"/>
                          <a:ext cx="6120130" cy="4345940"/>
                        </a:xfrm>
                        <a:prstGeom prst="rect"/>
                        <a:solidFill>
                          <a:srgbClr val="FFFFFF"/>
                        </a:solidFill>
                      </wps:spPr>
                      <wps:txbx>
                        <w:txbxContent>
                          <w:p>
                            <w:pPr>
                              <w:pStyle w:val="Figure"/>
                              <w:spacing w:before="120" w:after="120"/>
                              <w:rPr/>
                            </w:pPr>
                            <w:r>
                              <w:rPr/>
                              <w:drawing>
                                <wp:inline distT="0" distB="0" distL="0" distR="0">
                                  <wp:extent cx="6120130" cy="401828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6"/>
                                          <a:stretch>
                                            <a:fillRect/>
                                          </a:stretch>
                                        </pic:blipFill>
                                        <pic:spPr bwMode="auto">
                                          <a:xfrm>
                                            <a:off x="0" y="0"/>
                                            <a:ext cx="6120130" cy="401828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3</w:t>
                            </w:r>
                            <w:r>
                              <w:rPr/>
                              <w:fldChar w:fldCharType="end"/>
                            </w:r>
                            <w:r>
                              <w:rPr/>
                              <w:t>: Boxplot for sitting arrangement and Ratings</w:t>
                            </w:r>
                          </w:p>
                        </w:txbxContent>
                      </wps:txbx>
                      <wps:bodyPr anchor="t" lIns="0" tIns="0" rIns="0" bIns="0">
                        <a:noAutofit/>
                      </wps:bodyPr>
                    </wps:wsp>
                  </a:graphicData>
                </a:graphic>
              </wp:anchor>
            </w:drawing>
          </mc:Choice>
          <mc:Fallback>
            <w:pict>
              <v:rect style="position:absolute;rotation:-0;width:481.9pt;height:342.2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6120130" cy="401828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7"/>
                                    <a:stretch>
                                      <a:fillRect/>
                                    </a:stretch>
                                  </pic:blipFill>
                                  <pic:spPr bwMode="auto">
                                    <a:xfrm>
                                      <a:off x="0" y="0"/>
                                      <a:ext cx="6120130" cy="401828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3</w:t>
                      </w:r>
                      <w:r>
                        <w:rPr/>
                        <w:fldChar w:fldCharType="end"/>
                      </w:r>
                      <w:r>
                        <w:rPr/>
                        <w:t>: Boxplot for sitting arrangement and Ratings</w:t>
                      </w:r>
                    </w:p>
                  </w:txbxContent>
                </v:textbox>
                <w10:wrap type="square" side="largest"/>
              </v:rect>
            </w:pict>
          </mc:Fallback>
        </mc:AlternateContent>
      </w:r>
    </w:p>
    <w:p>
      <w:pPr>
        <w:pStyle w:val="BodyText"/>
        <w:bidi w:val="0"/>
        <w:spacing w:before="0" w:after="120"/>
        <w:jc w:val="left"/>
        <w:rPr/>
      </w:pPr>
      <w:r>
        <w:rPr/>
        <w:t xml:space="preserve">To investigate the relationship between restaurant ratings and prices, a scatter plot of 'Ratings_out_of_5' versus 'Charges_for_two' was generated, along with a trendline. Visual inspection of the scatter plot suggests a potential positive correlation, although not particularly strong. The calculated Pearson correlation coefficient between ratings and charges is 0.178. This value indicates a weak positive correlation. Furthermore, the p-value associated with this correlation is extremely small (1.257e-87), far below the conventional significance level of 0.05. This signifies that the observed correlation is statistically significant, rejecting the null hypothesis of no correlation. In essence, higher-priced restaurants tend to have slightly higher ratings, but the relationship isn't dominant. </w:t>
      </w:r>
    </w:p>
    <w:p>
      <w:pPr>
        <w:pStyle w:val="BodyText"/>
        <w:bidi w:val="0"/>
        <w:spacing w:before="0" w:after="120"/>
        <w:jc w:val="left"/>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4224655"/>
                <wp:effectExtent l="0" t="0" r="0" b="0"/>
                <wp:wrapSquare wrapText="largest"/>
                <wp:docPr id="10" name="Frame4"/>
                <a:graphic xmlns:a="http://schemas.openxmlformats.org/drawingml/2006/main">
                  <a:graphicData uri="http://schemas.microsoft.com/office/word/2010/wordprocessingShape">
                    <wps:wsp>
                      <wps:cNvSpPr txBox="1"/>
                      <wps:spPr>
                        <a:xfrm>
                          <a:off x="0" y="0"/>
                          <a:ext cx="6120130" cy="4224655"/>
                        </a:xfrm>
                        <a:prstGeom prst="rect"/>
                        <a:solidFill>
                          <a:srgbClr val="FFFFFF"/>
                        </a:solidFill>
                      </wps:spPr>
                      <wps:txbx>
                        <w:txbxContent>
                          <w:p>
                            <w:pPr>
                              <w:pStyle w:val="Figure"/>
                              <w:spacing w:before="120" w:after="120"/>
                              <w:rPr/>
                            </w:pPr>
                            <w:r>
                              <w:rPr/>
                              <w:drawing>
                                <wp:inline distT="0" distB="0" distL="0" distR="0">
                                  <wp:extent cx="6120130" cy="389699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8"/>
                                          <a:stretch>
                                            <a:fillRect/>
                                          </a:stretch>
                                        </pic:blipFill>
                                        <pic:spPr bwMode="auto">
                                          <a:xfrm>
                                            <a:off x="0" y="0"/>
                                            <a:ext cx="6120130" cy="389699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4</w:t>
                            </w:r>
                            <w:r>
                              <w:rPr/>
                              <w:fldChar w:fldCharType="end"/>
                            </w:r>
                            <w:r>
                              <w:rPr/>
                              <w:t>: Comparison of retaurants prices serving wine and beer</w:t>
                            </w:r>
                          </w:p>
                        </w:txbxContent>
                      </wps:txbx>
                      <wps:bodyPr anchor="t" lIns="0" tIns="0" rIns="0" bIns="0">
                        <a:noAutofit/>
                      </wps:bodyPr>
                    </wps:wsp>
                  </a:graphicData>
                </a:graphic>
              </wp:anchor>
            </w:drawing>
          </mc:Choice>
          <mc:Fallback>
            <w:pict>
              <v:rect style="position:absolute;rotation:-0;width:481.9pt;height:332.6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6120130" cy="389699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9"/>
                                    <a:stretch>
                                      <a:fillRect/>
                                    </a:stretch>
                                  </pic:blipFill>
                                  <pic:spPr bwMode="auto">
                                    <a:xfrm>
                                      <a:off x="0" y="0"/>
                                      <a:ext cx="6120130" cy="389699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4</w:t>
                      </w:r>
                      <w:r>
                        <w:rPr/>
                        <w:fldChar w:fldCharType="end"/>
                      </w:r>
                      <w:r>
                        <w:rPr/>
                        <w:t>: Comparison of retaurants prices serving wine and beer</w:t>
                      </w:r>
                    </w:p>
                  </w:txbxContent>
                </v:textbox>
                <w10:wrap type="square" side="largest"/>
              </v:rect>
            </w:pict>
          </mc:Fallback>
        </mc:AlternateContent>
      </w:r>
    </w:p>
    <w:p>
      <w:pPr>
        <w:pStyle w:val="BodyText"/>
        <w:bidi w:val="0"/>
        <w:spacing w:before="0" w:after="120"/>
        <w:jc w:val="left"/>
        <w:rPr/>
      </w:pPr>
      <w:r>
        <w:rPr/>
        <w:t xml:space="preserve">Beyond the primary analysis, additional investigations were conducted using box plots. One box plot compares the ratings of restaurants with and without outdoor seating. While both groups show a similar median rating, the interquartile range (IQR) for restaurants with outdoor seating is slightly narrower, implying less variability in ratings. This suggests that outdoor seating might not dramatically impact average ratings but could contribute to more consistent customer experiences. Another box plot compares the average charges for two people at restaurants with and without the option of wine and beer. As expected, restaurants serving alcohol tend to have higher average charges. The difference in medians is substantial, indicating a clear price distinction between these two categories of restaurants. </w:t>
      </w:r>
    </w:p>
    <w:p>
      <w:pPr>
        <w:pStyle w:val="BodyText"/>
        <w:bidi w:val="0"/>
        <w:spacing w:before="0" w:after="120"/>
        <w:jc w:val="left"/>
        <w:rPr/>
      </w:pPr>
      <w:r>
        <w:rPr/>
        <w:t xml:space="preserve">In summary, this analysis provides insights into several aspects of Pune's restaurant market based on Zomato data. The distribution of ratings is left-skewed, suggesting a tendency towards higher ratings. A statistically significant, albeit weak, positive correlation exists between ratings and charges for two. Additional analyses reveal that the presence of outdoor seating might influence the consistency of ratings, and serving alcohol is clearly associated with higher prices. These findings must be interpreted considering the inherent limitations of the dataset. The data represents a snapshot in time (up to December 2019) and is sourced from a single platform (Zomato). It might not fully capture the complexity of the entire restaurant market or individual dining experiences. Future research could explore the impact of other factors on restaurant ratings, like cuisine type, location, specific amenities, or even analyze sentiment expressed in customer reviews. Investigating trends across different localities within Pune could also offer more granular insights into customer preferences. </w:t>
      </w:r>
    </w:p>
    <w:p>
      <w:pPr>
        <w:pStyle w:val="Heading1"/>
        <w:bidi w:val="0"/>
        <w:ind w:hanging="0" w:left="0"/>
        <w:jc w:val="left"/>
        <w:rPr/>
      </w:pPr>
      <w:bookmarkStart w:id="0" w:name="OrgXref.org56bed6f"/>
      <w:bookmarkStart w:id="1" w:name="org56bed6f"/>
      <w:bookmarkEnd w:id="1"/>
      <w:r>
        <w:rPr/>
        <w:t xml:space="preserve">Appendix </w:t>
      </w:r>
      <w:bookmarkEnd w:id="0"/>
    </w:p>
    <w:p>
      <w:pPr>
        <w:pStyle w:val="BodyText"/>
        <w:bidi w:val="0"/>
        <w:spacing w:before="0" w:after="120"/>
        <w:jc w:val="left"/>
        <w:rPr/>
      </w:pPr>
      <w:r>
        <w:rPr/>
        <w:t xml:space="preserve">GitHub repository link: </w:t>
      </w:r>
      <w:hyperlink r:id="rId10">
        <w:r>
          <w:rPr>
            <w:rStyle w:val="Hyperlink"/>
          </w:rPr>
          <w:t>https://github.com/ma24aeu/7com1079-A309</w:t>
        </w:r>
      </w:hyperlink>
      <w:r>
        <w:rPr/>
        <w:t xml:space="preserve"> </w:t>
      </w:r>
    </w:p>
    <w:p>
      <w:pPr>
        <w:pStyle w:val="BodyText"/>
        <w:bidi w:val="0"/>
        <w:spacing w:before="0" w:after="120"/>
        <w:jc w:val="left"/>
        <w:rPr/>
      </w:pPr>
      <w:r>
        <w:rPr/>
        <w:t xml:space="preserve">Group code: A309 </w:t>
      </w:r>
    </w:p>
    <w:sectPr>
      <w:footerReference w:type="even" r:id="rId11"/>
      <w:footerReference w:type="default" r:id="rId12"/>
      <w:footerReference w:type="first" r:id="rId1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Google Sans Text">
    <w:altName w:val="Helvetica Neue"/>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fldChar w:fldCharType="begin"/>
    </w:r>
    <w:r>
      <w:rPr/>
      <w:instrText xml:space="preserve"> PAGE </w:instrText>
    </w:r>
    <w:r>
      <w:rPr/>
      <w:fldChar w:fldCharType="separate"/>
    </w:r>
    <w:r>
      <w:rPr/>
      <w:t>8</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fldChar w:fldCharType="begin"/>
    </w:r>
    <w:r>
      <w:rPr/>
      <w:instrText xml:space="preserve"> PAGE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nothing"/>
      <w:lvlText w:val="%1. "/>
      <w:lvlJc w:val="left"/>
      <w:pPr>
        <w:tabs>
          <w:tab w:val="num" w:pos="0"/>
        </w:tabs>
        <w:ind w:left="432" w:hanging="432"/>
      </w:pPr>
      <w:rPr/>
    </w:lvl>
    <w:lvl w:ilvl="1">
      <w:start w:val="1"/>
      <w:pStyle w:val="Heading2"/>
      <w:numFmt w:val="decimal"/>
      <w:suff w:val="nothing"/>
      <w:lvlText w:val="%1.%2. "/>
      <w:lvlJc w:val="left"/>
      <w:pPr>
        <w:tabs>
          <w:tab w:val="num" w:pos="0"/>
        </w:tabs>
        <w:ind w:left="576" w:hanging="576"/>
      </w:pPr>
      <w:rPr/>
    </w:lvl>
    <w:lvl w:ilvl="2">
      <w:start w:val="1"/>
      <w:pStyle w:val="Heading3"/>
      <w:numFmt w:val="decimal"/>
      <w:suff w:val="nothing"/>
      <w:lvlText w:val="%1.%2.%3. "/>
      <w:lvlJc w:val="left"/>
      <w:pPr>
        <w:tabs>
          <w:tab w:val="num" w:pos="0"/>
        </w:tabs>
        <w:ind w:left="720" w:hanging="720"/>
      </w:pPr>
      <w:rPr/>
    </w:lvl>
    <w:lvl w:ilvl="3">
      <w:start w:val="1"/>
      <w:pStyle w:val="Heading4"/>
      <w:numFmt w:val="decimal"/>
      <w:suff w:val="nothing"/>
      <w:lvlText w:val="%1.%2.%3.%4. "/>
      <w:lvlJc w:val="left"/>
      <w:pPr>
        <w:tabs>
          <w:tab w:val="num" w:pos="0"/>
        </w:tabs>
        <w:ind w:left="864" w:hanging="864"/>
      </w:pPr>
      <w:rPr/>
    </w:lvl>
    <w:lvl w:ilvl="4">
      <w:start w:val="1"/>
      <w:pStyle w:val="Heading5"/>
      <w:numFmt w:val="decimal"/>
      <w:suff w:val="nothing"/>
      <w:lvlText w:val="%1.%2.%3.%4.%5. "/>
      <w:lvlJc w:val="left"/>
      <w:pPr>
        <w:tabs>
          <w:tab w:val="num" w:pos="0"/>
        </w:tabs>
        <w:ind w:left="1008" w:hanging="1008"/>
      </w:pPr>
      <w:rPr/>
    </w:lvl>
    <w:lvl w:ilvl="5">
      <w:start w:val="1"/>
      <w:pStyle w:val="Heading6"/>
      <w:numFmt w:val="decimal"/>
      <w:suff w:val="nothing"/>
      <w:lvlText w:val="%1.%2.%3.%4.%5.%6. "/>
      <w:lvlJc w:val="left"/>
      <w:pPr>
        <w:tabs>
          <w:tab w:val="num" w:pos="0"/>
        </w:tabs>
        <w:ind w:left="1152" w:hanging="1152"/>
      </w:pPr>
      <w:rPr/>
    </w:lvl>
    <w:lvl w:ilvl="6">
      <w:start w:val="1"/>
      <w:pStyle w:val="Heading7"/>
      <w:numFmt w:val="decimal"/>
      <w:suff w:val="nothing"/>
      <w:lvlText w:val="%1.%2.%3.%4.%5.%6.%7. "/>
      <w:lvlJc w:val="left"/>
      <w:pPr>
        <w:tabs>
          <w:tab w:val="num" w:pos="0"/>
        </w:tabs>
        <w:ind w:left="1296" w:hanging="1296"/>
      </w:pPr>
      <w:rPr/>
    </w:lvl>
    <w:lvl w:ilvl="7">
      <w:start w:val="1"/>
      <w:pStyle w:val="Heading8"/>
      <w:numFmt w:val="decimal"/>
      <w:suff w:val="nothing"/>
      <w:lvlText w:val="%1.%2.%3.%4.%5.%6.%7.%8. "/>
      <w:lvlJc w:val="left"/>
      <w:pPr>
        <w:tabs>
          <w:tab w:val="num" w:pos="0"/>
        </w:tabs>
        <w:ind w:left="1440" w:hanging="1440"/>
      </w:pPr>
      <w:rPr/>
    </w:lvl>
    <w:lvl w:ilvl="8">
      <w:start w:val="1"/>
      <w:pStyle w:val="Heading9"/>
      <w:numFmt w:val="decimal"/>
      <w:suff w:val="nothing"/>
      <w:lvlText w:val="%1.%2.%3.%4.%5.%6.%7.%8.%9. "/>
      <w:lvlJc w:val="left"/>
      <w:pPr>
        <w:tabs>
          <w:tab w:val="num" w:pos="0"/>
        </w:tabs>
        <w:ind w:left="1584" w:hanging="1584"/>
      </w:pPr>
      <w:rPr/>
    </w:lvl>
  </w:abstractNum>
  <w:num w:numId="1">
    <w:abstractNumId w:val="1"/>
  </w:num>
</w:numbering>
</file>

<file path=word/settings.xml><?xml version="1.0" encoding="utf-8"?>
<w:settings xmlns:w="http://schemas.openxmlformats.org/wordprocessingml/2006/main">
  <w:zoom w:percent="140"/>
  <w:mirrorMargins/>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ahoma"/>
        <w:kern w:val="2"/>
        <w:sz w:val="24"/>
        <w:szCs w:val="24"/>
        <w:lang w:val="en-GB"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Times New Roman" w:hAnsi="Times New Roman" w:eastAsia="SimSun" w:cs="Tahoma"/>
      <w:color w:val="auto"/>
      <w:kern w:val="2"/>
      <w:sz w:val="24"/>
      <w:szCs w:val="24"/>
      <w:lang w:val="en-GB" w:eastAsia="zh-CN" w:bidi="hi-IN"/>
    </w:rPr>
  </w:style>
  <w:style w:type="paragraph" w:styleId="Heading1">
    <w:name w:val="Heading 1"/>
    <w:basedOn w:val="Heading"/>
    <w:next w:val="BodyText"/>
    <w:qFormat/>
    <w:pPr>
      <w:numPr>
        <w:ilvl w:val="0"/>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sz w:val="28"/>
      <w:szCs w:val="28"/>
    </w:rPr>
  </w:style>
  <w:style w:type="paragraph" w:styleId="Heading3">
    <w:name w:val="Heading 3"/>
    <w:basedOn w:val="Heading"/>
    <w:next w:val="BodyText"/>
    <w:qFormat/>
    <w:pPr>
      <w:numPr>
        <w:ilvl w:val="2"/>
        <w:numId w:val="1"/>
      </w:numPr>
      <w:outlineLvl w:val="2"/>
    </w:pPr>
    <w:rPr>
      <w:b/>
      <w:bCs/>
      <w:sz w:val="28"/>
      <w:szCs w:val="28"/>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numPr>
        <w:ilvl w:val="6"/>
        <w:numId w:val="1"/>
      </w:numPr>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styleId="Emphasis">
    <w:name w:val="Emphasis"/>
    <w:qFormat/>
    <w:rPr>
      <w:i/>
      <w:iCs/>
    </w:rPr>
  </w:style>
  <w:style w:type="character" w:styleId="Underline">
    <w:name w:val="Underline"/>
    <w:qFormat/>
    <w:rPr>
      <w:u w:val="single"/>
      <w:shd w:fill="auto" w:val="clear"/>
    </w:rPr>
  </w:style>
  <w:style w:type="character" w:styleId="Strikethrough">
    <w:name w:val="Strikethrough"/>
    <w:qFormat/>
    <w:rPr>
      <w:strike/>
    </w:rPr>
  </w:style>
  <w:style w:type="character" w:styleId="SourceText">
    <w:name w:val="Source Text"/>
    <w:qFormat/>
    <w:rPr>
      <w:rFonts w:ascii="Courier New" w:hAnsi="Courier New" w:eastAsia="NSimSun" w:cs="Courier New"/>
      <w:shd w:fill="auto" w:val="clear"/>
    </w:rPr>
  </w:style>
  <w:style w:type="character" w:styleId="Quotation">
    <w:name w:val="Quotation"/>
    <w:qFormat/>
    <w:rPr>
      <w:i/>
      <w:iCs/>
    </w:rPr>
  </w:style>
  <w:style w:type="character" w:styleId="Example">
    <w:name w:val="Example"/>
    <w:qFormat/>
    <w:rPr>
      <w:rFonts w:ascii="Courier New" w:hAnsi="Courier New" w:eastAsia="NSimSun" w:cs="Courier New"/>
      <w:shd w:fill="auto" w:val="clear"/>
    </w:rPr>
  </w:style>
  <w:style w:type="character" w:styleId="OrgCode">
    <w:name w:val="OrgCode"/>
    <w:basedOn w:val="SourceText"/>
    <w:qFormat/>
    <w:rPr/>
  </w:style>
  <w:style w:type="character" w:styleId="OrgTodo">
    <w:name w:val="OrgTodo"/>
    <w:qFormat/>
    <w:rPr/>
  </w:style>
  <w:style w:type="character" w:styleId="OrgDone">
    <w:name w:val="OrgDone"/>
    <w:qFormat/>
    <w:rPr/>
  </w:style>
  <w:style w:type="character" w:styleId="OrgTag">
    <w:name w:val="OrgTag"/>
    <w:qFormat/>
    <w:rPr>
      <w:smallCaps/>
      <w:shd w:fill="auto" w:val="clear"/>
    </w:rPr>
  </w:style>
  <w:style w:type="character" w:styleId="OrgTags">
    <w:name w:val="OrgTags"/>
    <w:qFormat/>
    <w:rPr/>
  </w:style>
  <w:style w:type="character" w:styleId="OrgPriority">
    <w:name w:val="OrgPriority"/>
    <w:qFormat/>
    <w:rPr/>
  </w:style>
  <w:style w:type="character" w:styleId="OrgPriority-A">
    <w:name w:val="OrgPriority-A"/>
    <w:basedOn w:val="OrgPriority"/>
    <w:qFormat/>
    <w:rPr/>
  </w:style>
  <w:style w:type="character" w:styleId="OrgPriority-B">
    <w:name w:val="OrgPriority-B"/>
    <w:basedOn w:val="OrgPriority"/>
    <w:qFormat/>
    <w:rPr/>
  </w:style>
  <w:style w:type="character" w:styleId="OrgPriority-C">
    <w:name w:val="OrgPriority-C"/>
    <w:basedOn w:val="OrgPriority"/>
    <w:qFormat/>
    <w:rPr/>
  </w:style>
  <w:style w:type="character" w:styleId="OrgTimestamp">
    <w:name w:val="OrgTimestamp"/>
    <w:qFormat/>
    <w:rPr>
      <w:rFonts w:ascii="Courier New" w:hAnsi="Courier New" w:eastAsia="NSimSun" w:cs="Courier New"/>
      <w:shd w:fill="auto" w:val="clear"/>
    </w:rPr>
  </w:style>
  <w:style w:type="character" w:styleId="OrgActiveTimestamp">
    <w:name w:val="OrgActiveTimestamp"/>
    <w:basedOn w:val="OrgTimestamp"/>
    <w:qFormat/>
    <w:rPr/>
  </w:style>
  <w:style w:type="character" w:styleId="OrgInactiveTimestamp">
    <w:name w:val="OrgInactiveTimestamp"/>
    <w:basedOn w:val="OrgTimestamp"/>
    <w:qFormat/>
    <w:rPr/>
  </w:style>
  <w:style w:type="character" w:styleId="OrgTimestampKeyword">
    <w:name w:val="OrgTimestampKeyword"/>
    <w:qFormat/>
    <w:rPr>
      <w:b/>
      <w:color w:val="auto"/>
    </w:rPr>
  </w:style>
  <w:style w:type="character" w:styleId="OrgScheduledKeyword">
    <w:name w:val="OrgScheduledKeyword"/>
    <w:basedOn w:val="OrgTimestampKeyword"/>
    <w:qFormat/>
    <w:rPr/>
  </w:style>
  <w:style w:type="character" w:styleId="OrgDeadlineKeyword">
    <w:name w:val="OrgDeadlineKeyword"/>
    <w:basedOn w:val="OrgTimestampKeyword"/>
    <w:qFormat/>
    <w:rPr/>
  </w:style>
  <w:style w:type="character" w:styleId="OrgClockKeyword">
    <w:name w:val="OrgClockKeyword"/>
    <w:basedOn w:val="OrgTimestampKeyword"/>
    <w:qFormat/>
    <w:rPr/>
  </w:style>
  <w:style w:type="character" w:styleId="OrgClosedKeyword">
    <w:name w:val="OrgClosedKeyword"/>
    <w:basedOn w:val="OrgTimestampKeyword"/>
    <w:qFormat/>
    <w:rPr/>
  </w:style>
  <w:style w:type="character" w:styleId="OrgTimestampWrapper">
    <w:name w:val="OrgTimestampWrapper"/>
    <w:qFormat/>
    <w:rPr/>
  </w:style>
  <w:style w:type="character" w:styleId="OrgTarget">
    <w:name w:val="OrgTarget"/>
    <w:qFormat/>
    <w:rPr/>
  </w:style>
  <w:style w:type="character" w:styleId="Bold">
    <w:name w:val="Bold"/>
    <w:qFormat/>
    <w:rPr>
      <w:b/>
    </w:rPr>
  </w:style>
  <w:style w:type="character" w:styleId="NumberingSymbols">
    <w:name w:val="Numbering Symbols"/>
    <w:qForma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OrgSuperscript">
    <w:name w:val="OrgSuperscript"/>
    <w:qFormat/>
    <w:rPr>
      <w:vertAlign w:val="superscript"/>
    </w:rPr>
  </w:style>
  <w:style w:type="character" w:styleId="OrgSubscript">
    <w:name w:val="OrgSubscript"/>
    <w:qFormat/>
    <w:rPr>
      <w:vertAlign w:val="subscript"/>
    </w:rPr>
  </w:style>
  <w:style w:type="character" w:styleId="Hyperlink">
    <w:name w:val="Hyperlink"/>
    <w:rPr>
      <w:color w:val="000080"/>
      <w:u w:val="single"/>
      <w:lang w:val="zxx" w:eastAsia="zxx" w:bidi="zxx"/>
    </w:rPr>
  </w:style>
  <w:style w:type="character" w:styleId="Bullet20Symbols">
    <w:name w:val="Bullet_20_Symbols"/>
    <w:qFormat/>
    <w:rPr/>
  </w:style>
  <w:style w:type="character" w:styleId="IndexLink">
    <w:name w:val="Index Link"/>
    <w:qFormat/>
    <w:rPr/>
  </w:style>
  <w:style w:type="paragraph" w:styleId="Heading">
    <w:name w:val="Heading"/>
    <w:basedOn w:val="Normal"/>
    <w:next w:val="BodyText"/>
    <w:qFormat/>
    <w:pPr>
      <w:keepNext w:val="true"/>
      <w:tabs>
        <w:tab w:val="clear" w:pos="709"/>
        <w:tab w:val="right" w:pos="9638" w:leader="none"/>
      </w:tabs>
      <w:spacing w:before="240" w:after="120"/>
    </w:pPr>
    <w:rPr>
      <w:rFonts w:ascii="Arial" w:hAnsi="Arial" w:eastAsia="SimSun" w:cs="Tahoma"/>
      <w:sz w:val="28"/>
      <w:szCs w:val="28"/>
    </w:rPr>
  </w:style>
  <w:style w:type="paragraph" w:styleId="BodyText">
    <w:name w:val="Body Text"/>
    <w:basedOn w:val="Normal"/>
    <w:pPr>
      <w:spacing w:before="0" w:after="12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Heading201unnumbered">
    <w:name w:val="Heading_20_1_unnumbered"/>
    <w:basedOn w:val="Heading1"/>
    <w:qFormat/>
    <w:pPr>
      <w:numPr>
        <w:ilvl w:val="0"/>
        <w:numId w:val="0"/>
      </w:numPr>
      <w:outlineLvl w:val="9"/>
    </w:pPr>
    <w:rPr/>
  </w:style>
  <w:style w:type="paragraph" w:styleId="Heading202unnumbered">
    <w:name w:val="Heading_20_2_unnumbered"/>
    <w:basedOn w:val="Heading2"/>
    <w:qFormat/>
    <w:pPr>
      <w:numPr>
        <w:ilvl w:val="0"/>
        <w:numId w:val="0"/>
      </w:numPr>
      <w:outlineLvl w:val="9"/>
    </w:pPr>
    <w:rPr/>
  </w:style>
  <w:style w:type="paragraph" w:styleId="Heading203unnumbered">
    <w:name w:val="Heading_20_3_unnumbered"/>
    <w:basedOn w:val="Heading3"/>
    <w:qFormat/>
    <w:pPr>
      <w:numPr>
        <w:ilvl w:val="0"/>
        <w:numId w:val="0"/>
      </w:numPr>
      <w:outlineLvl w:val="9"/>
    </w:pPr>
    <w:rPr/>
  </w:style>
  <w:style w:type="paragraph" w:styleId="Heading204unnumbered">
    <w:name w:val="Heading_20_4_unnumbered"/>
    <w:basedOn w:val="Heading4"/>
    <w:qFormat/>
    <w:pPr>
      <w:numPr>
        <w:ilvl w:val="0"/>
        <w:numId w:val="0"/>
      </w:numPr>
      <w:outlineLvl w:val="9"/>
    </w:pPr>
    <w:rPr/>
  </w:style>
  <w:style w:type="paragraph" w:styleId="Heading205unnumbered">
    <w:name w:val="Heading_20_5_unnumbered"/>
    <w:basedOn w:val="Heading5"/>
    <w:qFormat/>
    <w:pPr>
      <w:numPr>
        <w:ilvl w:val="0"/>
        <w:numId w:val="0"/>
      </w:numPr>
      <w:outlineLvl w:val="9"/>
    </w:pPr>
    <w:rPr/>
  </w:style>
  <w:style w:type="paragraph" w:styleId="Heading206unnumbered">
    <w:name w:val="Heading_20_6_unnumbered"/>
    <w:basedOn w:val="Heading6"/>
    <w:qFormat/>
    <w:pPr>
      <w:numPr>
        <w:ilvl w:val="0"/>
        <w:numId w:val="0"/>
      </w:numPr>
      <w:outlineLvl w:val="9"/>
    </w:pPr>
    <w:rPr/>
  </w:style>
  <w:style w:type="paragraph" w:styleId="Heading207unnumbered">
    <w:name w:val="Heading_20_7_unnumbered"/>
    <w:basedOn w:val="Heading7"/>
    <w:qFormat/>
    <w:pPr>
      <w:numPr>
        <w:ilvl w:val="0"/>
        <w:numId w:val="0"/>
      </w:numPr>
      <w:outlineLvl w:val="9"/>
    </w:pPr>
    <w:rPr/>
  </w:style>
  <w:style w:type="paragraph" w:styleId="Heading208unnumbered">
    <w:name w:val="Heading_20_8_unnumbered"/>
    <w:basedOn w:val="Heading8"/>
    <w:qFormat/>
    <w:pPr>
      <w:numPr>
        <w:ilvl w:val="0"/>
        <w:numId w:val="0"/>
      </w:numPr>
      <w:outlineLvl w:val="9"/>
    </w:pPr>
    <w:rPr/>
  </w:style>
  <w:style w:type="paragraph" w:styleId="Heading209unnumbered">
    <w:name w:val="Heading_20_9_unnumbered"/>
    <w:basedOn w:val="Heading9"/>
    <w:qFormat/>
    <w:pPr>
      <w:numPr>
        <w:ilvl w:val="0"/>
        <w:numId w:val="0"/>
      </w:numPr>
      <w:outlineLvl w:val="9"/>
    </w:pPr>
    <w:rPr/>
  </w:style>
  <w:style w:type="paragraph" w:styleId="Heading10">
    <w:name w:val="Heading 10"/>
    <w:basedOn w:val="Heading"/>
    <w:next w:val="BodyText"/>
    <w:qFormat/>
    <w:pPr>
      <w:numPr>
        <w:ilvl w:val="8"/>
        <w:numId w:val="1"/>
      </w:numPr>
      <w:outlineLvl w:val="8"/>
    </w:pPr>
    <w:rPr>
      <w:b/>
      <w:bCs/>
      <w:sz w:val="21"/>
      <w:szCs w:val="21"/>
    </w:rPr>
  </w:style>
  <w:style w:type="paragraph" w:styleId="Heading2010unnumbered">
    <w:name w:val="Heading_20_10_unnumbered"/>
    <w:basedOn w:val="Heading10"/>
    <w:qFormat/>
    <w:pPr>
      <w:numPr>
        <w:ilvl w:val="0"/>
        <w:numId w:val="0"/>
      </w:numPr>
      <w:outlineLvl w:val="9"/>
    </w:pPr>
    <w:rPr/>
  </w:style>
  <w:style w:type="paragraph" w:styleId="Heading1title">
    <w:name w:val="Heading 1.title"/>
    <w:basedOn w:val="Heading1"/>
    <w:qFormat/>
    <w:pPr>
      <w:numPr>
        <w:ilvl w:val="0"/>
        <w:numId w:val="0"/>
      </w:numPr>
      <w:jc w:val="center"/>
      <w:outlineLvl w:val="9"/>
    </w:pPr>
    <w:rPr/>
  </w:style>
  <w:style w:type="paragraph" w:styleId="Title">
    <w:name w:val="Title"/>
    <w:basedOn w:val="Heading"/>
    <w:next w:val="Subtitle"/>
    <w:qFormat/>
    <w:pPr>
      <w:jc w:val="center"/>
    </w:pPr>
    <w:rPr>
      <w:b/>
      <w:bCs/>
      <w:sz w:val="36"/>
      <w:szCs w:val="36"/>
    </w:rPr>
  </w:style>
  <w:style w:type="paragraph" w:styleId="OrgTitle">
    <w:name w:val="OrgTitle"/>
    <w:basedOn w:val="Title"/>
    <w:qFormat/>
    <w:pPr>
      <w:spacing w:before="0" w:after="0"/>
    </w:pPr>
    <w:rPr>
      <w:sz w:val="48"/>
    </w:rPr>
  </w:style>
  <w:style w:type="paragraph" w:styleId="Subtitle">
    <w:name w:val="Subtitle"/>
    <w:basedOn w:val="Heading"/>
    <w:next w:val="BodyText"/>
    <w:qFormat/>
    <w:pPr>
      <w:jc w:val="center"/>
    </w:pPr>
    <w:rPr>
      <w:i/>
      <w:iCs/>
      <w:sz w:val="28"/>
      <w:szCs w:val="28"/>
    </w:rPr>
  </w:style>
  <w:style w:type="paragraph" w:styleId="OrgSubtitle">
    <w:name w:val="OrgSubtitle"/>
    <w:basedOn w:val="Subtitle"/>
    <w:qFormat/>
    <w:pPr>
      <w:spacing w:before="0" w:after="0"/>
    </w:pPr>
    <w:rPr>
      <w:sz w:val="40"/>
    </w:rPr>
  </w:style>
  <w:style w:type="paragraph" w:styleId="BodyTextIndent">
    <w:name w:val="Body Text Indent"/>
    <w:basedOn w:val="BodyText"/>
    <w:pPr>
      <w:ind w:hanging="0" w:left="283" w:right="0"/>
    </w:pPr>
    <w:rPr/>
  </w:style>
  <w:style w:type="paragraph" w:styleId="ListIndent">
    <w:name w:val="List Indent"/>
    <w:basedOn w:val="BodyText"/>
    <w:qFormat/>
    <w:pPr>
      <w:tabs>
        <w:tab w:val="clear" w:pos="709"/>
        <w:tab w:val="left" w:pos="2835" w:leader="none"/>
      </w:tabs>
      <w:ind w:hanging="2551" w:left="2835" w:right="0"/>
    </w:pPr>
    <w:rPr/>
  </w:style>
  <w:style w:type="paragraph" w:styleId="BodyTextFirstIndent">
    <w:name w:val="Body Text First Indent"/>
    <w:basedOn w:val="BodyText"/>
    <w:pPr>
      <w:ind w:firstLine="283" w:left="0" w:right="0"/>
    </w:pPr>
    <w:rPr/>
  </w:style>
  <w:style w:type="paragraph" w:styleId="HangingIndent">
    <w:name w:val="Hanging Indent"/>
    <w:basedOn w:val="BodyText"/>
    <w:qFormat/>
    <w:pPr>
      <w:tabs>
        <w:tab w:val="clear" w:pos="709"/>
        <w:tab w:val="left" w:pos="567" w:leader="none"/>
      </w:tabs>
      <w:ind w:hanging="283" w:left="567" w:right="0"/>
    </w:pPr>
    <w:rPr/>
  </w:style>
  <w:style w:type="paragraph" w:styleId="Salutation">
    <w:name w:val="Salutation"/>
    <w:basedOn w:val="Normal"/>
    <w:pPr>
      <w:suppressLineNumbers/>
    </w:pPr>
    <w:rPr/>
  </w:style>
  <w:style w:type="paragraph" w:styleId="IndexHeading">
    <w:name w:val="Index Heading"/>
    <w:basedOn w:val="Heading"/>
    <w:pPr>
      <w:suppressLineNumbers/>
      <w:ind w:hanging="0" w:left="0"/>
    </w:pPr>
    <w:rPr>
      <w:b/>
      <w:bCs/>
      <w:sz w:val="32"/>
      <w:szCs w:val="32"/>
    </w:rPr>
  </w:style>
  <w:style w:type="paragraph" w:styleId="TOCHeading">
    <w:name w:val="TOC Heading"/>
    <w:basedOn w:val="Heading"/>
    <w:qFormat/>
    <w:pPr>
      <w:suppressLineNumbers/>
      <w:ind w:hanging="0" w:left="0" w:right="0"/>
    </w:pPr>
    <w:rPr>
      <w:b/>
      <w:bCs/>
      <w:sz w:val="32"/>
      <w:szCs w:val="32"/>
    </w:rPr>
  </w:style>
  <w:style w:type="paragraph" w:styleId="TOC1">
    <w:name w:val="TOC 1"/>
    <w:basedOn w:val="Index"/>
    <w:pPr>
      <w:tabs>
        <w:tab w:val="clear" w:pos="709"/>
        <w:tab w:val="right" w:pos="9638" w:leader="dot"/>
      </w:tabs>
      <w:ind w:hanging="0" w:left="0" w:right="0"/>
    </w:pPr>
    <w:rPr/>
  </w:style>
  <w:style w:type="paragraph" w:styleId="TOC2">
    <w:name w:val="TOC 2"/>
    <w:basedOn w:val="Index"/>
    <w:pPr>
      <w:tabs>
        <w:tab w:val="clear" w:pos="709"/>
        <w:tab w:val="right" w:pos="9638" w:leader="dot"/>
      </w:tabs>
      <w:ind w:hanging="0" w:left="283" w:right="0"/>
    </w:pPr>
    <w:rPr/>
  </w:style>
  <w:style w:type="paragraph" w:styleId="TOC3">
    <w:name w:val="TOC 3"/>
    <w:basedOn w:val="Index"/>
    <w:pPr>
      <w:tabs>
        <w:tab w:val="clear" w:pos="709"/>
        <w:tab w:val="right" w:pos="9638" w:leader="dot"/>
      </w:tabs>
      <w:ind w:hanging="0" w:left="566" w:right="0"/>
    </w:pPr>
    <w:rPr/>
  </w:style>
  <w:style w:type="paragraph" w:styleId="TOC4">
    <w:name w:val="TOC 4"/>
    <w:basedOn w:val="Index"/>
    <w:pPr>
      <w:tabs>
        <w:tab w:val="clear" w:pos="709"/>
        <w:tab w:val="right" w:pos="9638" w:leader="dot"/>
      </w:tabs>
      <w:ind w:hanging="0" w:left="849" w:right="0"/>
    </w:pPr>
    <w:rPr/>
  </w:style>
  <w:style w:type="paragraph" w:styleId="TOC5">
    <w:name w:val="TOC 5"/>
    <w:basedOn w:val="Index"/>
    <w:pPr>
      <w:tabs>
        <w:tab w:val="clear" w:pos="709"/>
        <w:tab w:val="right" w:pos="9638" w:leader="dot"/>
      </w:tabs>
      <w:ind w:hanging="0" w:left="1132" w:right="0"/>
    </w:pPr>
    <w:rPr/>
  </w:style>
  <w:style w:type="paragraph" w:styleId="TOC6">
    <w:name w:val="TOC 6"/>
    <w:basedOn w:val="Index"/>
    <w:pPr>
      <w:tabs>
        <w:tab w:val="clear" w:pos="709"/>
        <w:tab w:val="right" w:pos="9638" w:leader="dot"/>
      </w:tabs>
      <w:ind w:hanging="0" w:left="1415" w:right="0"/>
    </w:pPr>
    <w:rPr/>
  </w:style>
  <w:style w:type="paragraph" w:styleId="TOC7">
    <w:name w:val="TOC 7"/>
    <w:basedOn w:val="Index"/>
    <w:pPr>
      <w:tabs>
        <w:tab w:val="clear" w:pos="709"/>
        <w:tab w:val="right" w:pos="9638" w:leader="dot"/>
      </w:tabs>
      <w:ind w:hanging="0" w:left="1698" w:right="0"/>
    </w:pPr>
    <w:rPr/>
  </w:style>
  <w:style w:type="paragraph" w:styleId="TOC8">
    <w:name w:val="TOC 8"/>
    <w:basedOn w:val="Index"/>
    <w:pPr>
      <w:tabs>
        <w:tab w:val="clear" w:pos="709"/>
        <w:tab w:val="right" w:pos="9638" w:leader="dot"/>
      </w:tabs>
      <w:ind w:hanging="0" w:left="1981" w:right="0"/>
    </w:pPr>
    <w:rPr/>
  </w:style>
  <w:style w:type="paragraph" w:styleId="TOC9">
    <w:name w:val="TOC 9"/>
    <w:basedOn w:val="Index"/>
    <w:pPr>
      <w:tabs>
        <w:tab w:val="clear" w:pos="709"/>
        <w:tab w:val="right" w:pos="9638" w:leader="dot"/>
      </w:tabs>
      <w:ind w:hanging="0" w:left="2264" w:right="0"/>
    </w:pPr>
    <w:rPr/>
  </w:style>
  <w:style w:type="paragraph" w:styleId="Contents10">
    <w:name w:val="Contents 10"/>
    <w:basedOn w:val="Index"/>
    <w:qFormat/>
    <w:pPr>
      <w:tabs>
        <w:tab w:val="clear" w:pos="709"/>
        <w:tab w:val="right" w:pos="9638" w:leader="dot"/>
      </w:tabs>
      <w:ind w:hanging="0" w:left="2547" w:right="0"/>
    </w:pPr>
    <w:rPr/>
  </w:style>
  <w:style w:type="paragraph" w:styleId="BlockQuotation">
    <w:name w:val="Block Quotation"/>
    <w:basedOn w:val="Normal"/>
    <w:qFormat/>
    <w:pPr>
      <w:spacing w:before="0" w:after="283"/>
      <w:ind w:hanging="0" w:left="567" w:right="567"/>
    </w:pPr>
    <w:rPr/>
  </w:style>
  <w:style w:type="paragraph" w:styleId="OrgFootnoteQuotations">
    <w:name w:val="OrgFootnoteQuotations"/>
    <w:basedOn w:val="FootnoteText"/>
    <w:qFormat/>
    <w:pPr>
      <w:spacing w:before="0" w:after="283"/>
      <w:ind w:hanging="0" w:left="567" w:right="567"/>
    </w:pPr>
    <w:rPr/>
  </w:style>
  <w:style w:type="paragraph" w:styleId="FootnoteText">
    <w:name w:val="Footnote Text"/>
    <w:basedOn w:val="Normal"/>
    <w:pPr>
      <w:suppressLineNumbers/>
      <w:ind w:hanging="283" w:left="283" w:right="0"/>
    </w:pPr>
    <w:rPr>
      <w:sz w:val="20"/>
      <w:szCs w:val="20"/>
    </w:rPr>
  </w:style>
  <w:style w:type="paragraph" w:styleId="PreformattedText">
    <w:name w:val="Preformatted Text"/>
    <w:basedOn w:val="Normal"/>
    <w:qFormat/>
    <w:pPr>
      <w:spacing w:before="0" w:after="0"/>
    </w:pPr>
    <w:rPr>
      <w:rFonts w:ascii="Courier New" w:hAnsi="Courier New" w:eastAsia="NSimSun" w:cs="Courier New"/>
      <w:sz w:val="20"/>
      <w:szCs w:val="20"/>
    </w:rPr>
  </w:style>
  <w:style w:type="paragraph" w:styleId="OrgVerse">
    <w:name w:val="OrgVerse"/>
    <w:basedOn w:val="PreformattedText"/>
    <w:qFormat/>
    <w:pPr/>
    <w:rPr/>
  </w:style>
  <w:style w:type="paragraph" w:styleId="OrgClock">
    <w:name w:val="OrgClock"/>
    <w:basedOn w:val="BodyText"/>
    <w:qFormat/>
    <w:pPr>
      <w:spacing w:before="0" w:after="0"/>
    </w:pPr>
    <w:rPr/>
  </w:style>
  <w:style w:type="paragraph" w:styleId="OrgClockLastLine">
    <w:name w:val="OrgClockLastLine"/>
    <w:basedOn w:val="OrgClock"/>
    <w:qFormat/>
    <w:pPr/>
    <w:rPr/>
  </w:style>
  <w:style w:type="paragraph" w:styleId="OrgPlanning">
    <w:name w:val="OrgPlanning"/>
    <w:basedOn w:val="BodyText"/>
    <w:qFormat/>
    <w:pPr/>
    <w:rPr/>
  </w:style>
  <w:style w:type="paragraph" w:styleId="OrgFixedWidthBlock">
    <w:name w:val="OrgFixedWidthBlock"/>
    <w:basedOn w:val="PreformattedText"/>
    <w:qFormat/>
    <w:pPr>
      <w:pBdr>
        <w:top w:val="single" w:sz="2" w:space="1" w:color="000000"/>
        <w:left w:val="single" w:sz="2" w:space="1" w:color="000000"/>
        <w:bottom w:val="single" w:sz="2" w:space="1" w:color="000000"/>
        <w:right w:val="single" w:sz="2" w:space="1" w:color="000000"/>
      </w:pBdr>
      <w:shd w:val="clear" w:fill="C0C0C0"/>
    </w:pPr>
    <w:rPr/>
  </w:style>
  <w:style w:type="paragraph" w:styleId="OrgFixedWidthBlockLastLine">
    <w:name w:val="OrgFixedWidthBlockLastLine"/>
    <w:basedOn w:val="OrgFixedWidthBlock"/>
    <w:qFormat/>
    <w:pPr>
      <w:spacing w:before="0" w:after="119"/>
    </w:pPr>
    <w:rPr/>
  </w:style>
  <w:style w:type="paragraph" w:styleId="OrgFormula">
    <w:name w:val="OrgFormula"/>
    <w:basedOn w:val="BodyText"/>
    <w:qFormat/>
    <w:pPr>
      <w:tabs>
        <w:tab w:val="clear" w:pos="709"/>
        <w:tab w:val="right" w:pos="9638" w:leader="none"/>
      </w:tabs>
    </w:pPr>
    <w:rPr/>
  </w:style>
  <w:style w:type="paragraph" w:styleId="OrgSrcBlockLastLine">
    <w:name w:val="OrgSrcBlockLastLine"/>
    <w:qFormat/>
    <w:pPr>
      <w:widowControl w:val="false"/>
      <w:suppressAutoHyphens w:val="true"/>
      <w:overflowPunct w:val="false"/>
      <w:bidi w:val="0"/>
      <w:spacing w:before="0" w:after="119"/>
      <w:jc w:val="left"/>
    </w:pPr>
    <w:rPr>
      <w:rFonts w:ascii="Times New Roman" w:hAnsi="Times New Roman" w:eastAsia="SimSun" w:cs="Tahoma"/>
      <w:color w:val="auto"/>
      <w:kern w:val="2"/>
      <w:sz w:val="24"/>
      <w:szCs w:val="24"/>
      <w:lang w:val="en-GB" w:eastAsia="zh-CN" w:bidi="hi-IN"/>
    </w:rPr>
  </w:style>
  <w:style w:type="paragraph" w:styleId="OrgCenter">
    <w:name w:val="OrgCenter"/>
    <w:basedOn w:val="BodyText"/>
    <w:qFormat/>
    <w:pPr>
      <w:jc w:val="center"/>
    </w:pPr>
    <w:rPr/>
  </w:style>
  <w:style w:type="paragraph" w:styleId="OrgFootnoteCenter">
    <w:name w:val="OrgFootnoteCenter"/>
    <w:basedOn w:val="FootnoteText"/>
    <w:qFormat/>
    <w:pPr>
      <w:jc w:val="center"/>
    </w:pPr>
    <w:rPr/>
  </w:style>
  <w:style w:type="paragraph" w:styleId="OrgTableContents">
    <w:name w:val="OrgTableContents"/>
    <w:basedOn w:val="BodyText"/>
    <w:qFormat/>
    <w:pPr/>
    <w:rPr/>
  </w:style>
  <w:style w:type="paragraph" w:styleId="OrgTableHeading">
    <w:name w:val="OrgTableHeading"/>
    <w:basedOn w:val="OrgTableContents"/>
    <w:qFormat/>
    <w:pPr>
      <w:suppressLineNumbers/>
      <w:jc w:val="center"/>
    </w:pPr>
    <w:rPr>
      <w:b/>
      <w:bCs/>
    </w:rPr>
  </w:style>
  <w:style w:type="paragraph" w:styleId="OrgTableHeadingLeft">
    <w:name w:val="OrgTableHeadingLeft"/>
    <w:basedOn w:val="OrgTableHeading"/>
    <w:qFormat/>
    <w:pPr>
      <w:jc w:val="left"/>
    </w:pPr>
    <w:rPr/>
  </w:style>
  <w:style w:type="paragraph" w:styleId="OrgTableHeadingRight">
    <w:name w:val="OrgTableHeadingRight"/>
    <w:basedOn w:val="OrgTableHeading"/>
    <w:qFormat/>
    <w:pPr>
      <w:jc w:val="right"/>
    </w:pPr>
    <w:rPr/>
  </w:style>
  <w:style w:type="paragraph" w:styleId="OrgTableHeadingCenter">
    <w:name w:val="OrgTableHeadingCenter"/>
    <w:basedOn w:val="OrgTableHeading"/>
    <w:qFormat/>
    <w:pPr>
      <w:jc w:val="center"/>
    </w:pPr>
    <w:rPr/>
  </w:style>
  <w:style w:type="paragraph" w:styleId="OrgTableContentsLeft">
    <w:name w:val="OrgTableContentsLeft"/>
    <w:basedOn w:val="OrgTableContents"/>
    <w:qFormat/>
    <w:pPr>
      <w:jc w:val="left"/>
    </w:pPr>
    <w:rPr/>
  </w:style>
  <w:style w:type="paragraph" w:styleId="OrgTableContentsRight">
    <w:name w:val="OrgTableContentsRight"/>
    <w:basedOn w:val="OrgTableContents"/>
    <w:qFormat/>
    <w:pPr>
      <w:jc w:val="right"/>
    </w:pPr>
    <w:rPr/>
  </w:style>
  <w:style w:type="paragraph" w:styleId="OrgTableContentsCenter">
    <w:name w:val="OrgTableContentsCenter"/>
    <w:basedOn w:val="OrgTableContents"/>
    <w:qFormat/>
    <w:pPr>
      <w:jc w:val="center"/>
    </w:pPr>
    <w:rPr/>
  </w:style>
  <w:style w:type="paragraph" w:styleId="Textbodybold">
    <w:name w:val="Text body bold"/>
    <w:basedOn w:val="BodyText"/>
    <w:next w:val="BodyText"/>
    <w:qFormat/>
    <w:pPr/>
    <w:rPr>
      <w:b/>
    </w:rPr>
  </w:style>
  <w:style w:type="paragraph" w:styleId="Figure">
    <w:name w:val="Figure"/>
    <w:basedOn w:val="Caption"/>
    <w:qFormat/>
    <w:pPr/>
    <w:rPr/>
  </w:style>
  <w:style w:type="paragraph" w:styleId="IllustrationIndexHeading">
    <w:name w:val="Illustration Index Heading"/>
    <w:basedOn w:val="Heading"/>
    <w:qFormat/>
    <w:pPr>
      <w:suppressLineNumbers/>
      <w:ind w:hanging="0" w:left="0" w:right="0"/>
    </w:pPr>
    <w:rPr>
      <w:b/>
      <w:bCs/>
      <w:sz w:val="32"/>
      <w:szCs w:val="32"/>
    </w:rPr>
  </w:style>
  <w:style w:type="paragraph" w:styleId="Table">
    <w:name w:val="Table"/>
    <w:basedOn w:val="Caption"/>
    <w:qFormat/>
    <w:pPr>
      <w:jc w:val="center"/>
    </w:pPr>
    <w:rPr/>
  </w:style>
  <w:style w:type="paragraph" w:styleId="Listing">
    <w:name w:val="Listing"/>
    <w:basedOn w:val="Caption"/>
    <w:qFormat/>
    <w:pPr>
      <w:keepNext w:val="true"/>
      <w:tabs>
        <w:tab w:val="clear" w:pos="709"/>
      </w:tabs>
      <w:ind w:hanging="0" w:left="0" w:right="0"/>
    </w:pPr>
    <w:rPr/>
  </w:style>
  <w:style w:type="paragraph" w:styleId="HorizontalLine">
    <w:name w:val="Horizontal Line"/>
    <w:basedOn w:val="Normal"/>
    <w:next w:val="BodyText"/>
    <w:qFormat/>
    <w:pPr>
      <w:suppressLineNumbers/>
      <w:pBdr>
        <w:bottom w:val="single" w:sz="2" w:space="0" w:color="000000"/>
      </w:pBdr>
      <w:spacing w:before="0" w:after="119"/>
    </w:pPr>
    <w:rPr>
      <w:sz w:val="12"/>
      <w:szCs w:val="12"/>
    </w:rPr>
  </w:style>
  <w:style w:type="paragraph" w:styleId="OrgInlineTaskHeading">
    <w:name w:val="OrgInlineTaskHeading"/>
    <w:basedOn w:val="Caption"/>
    <w:next w:val="BodyText"/>
    <w:qFormat/>
    <w:pPr/>
    <w:rPr>
      <w:b/>
      <w:i w:val="false"/>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umbering1">
    <w:name w:val="Numbering 1"/>
    <w:qFormat/>
  </w:style>
  <w:style w:type="numbering" w:styleId="Bullet">
    <w:name w:val="Bullet •"/>
    <w:qFormat/>
  </w:style>
  <w:style w:type="numbering" w:styleId="OrgNumberedList">
    <w:name w:val="OrgNumberedList"/>
    <w:qFormat/>
  </w:style>
  <w:style w:type="numbering" w:styleId="OrgBulletedList">
    <w:name w:val="OrgBulletedList"/>
    <w:qFormat/>
  </w:style>
  <w:style w:type="numbering" w:styleId="OrgDescriptionList">
    <w:name w:val="OrgDescriptionList"/>
    <w:qFormat/>
  </w:style>
  <w:style w:type="numbering" w:styleId="OrgSrcBlockNumberedLine">
    <w:name w:val="OrgSrcBlockNumberedLine"/>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hyperlink" Target="https://github.com/ma24aeu/7com1079-A309"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LibreOffice/24.2.7.2$Linux_X86_64 LibreOffice_project/420$Build-2</Application>
  <AppVersion>15.0000</AppVersion>
  <Pages>8</Pages>
  <Words>2030</Words>
  <Characters>11289</Characters>
  <CharactersWithSpaces>13000</CharactersWithSpaces>
  <Paragraphs>330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2024-11-24T20:53:54Z</dcterms:created>
  <dc:creator/>
  <dc:description/>
  <dc:language>en-US</dc:language>
  <cp:lastModifiedBy/>
  <dcterms:modified xsi:type="dcterms:W3CDTF">2024-11-24T21:06:57Z</dcterms:modified>
  <cp:revision>1</cp:revision>
  <dc:subject/>
  <dc:title>Zomato Pune Restaurant Analysis Report: Exploring Factors Influencing Ratings</dc:title>
</cp:coreProperties>
</file>

<file path=docProps/custom.xml><?xml version="1.0" encoding="utf-8"?>
<Properties xmlns="http://schemas.openxmlformats.org/officeDocument/2006/custom-properties" xmlns:vt="http://schemas.openxmlformats.org/officeDocument/2006/docPropsVTypes"/>
</file>