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74" w:rsidRDefault="00C76289">
      <w:pPr>
        <w:pStyle w:val="Titel"/>
      </w:pPr>
      <w:bookmarkStart w:id="0" w:name="_bqfznslurqe7" w:colFirst="0" w:colLast="0"/>
      <w:bookmarkEnd w:id="0"/>
      <w:r>
        <w:t>Projektmanagement Praktikum</w:t>
      </w:r>
    </w:p>
    <w:p w:rsidR="00D36474" w:rsidRDefault="00C76289">
      <w:r>
        <w:t>Bearbeitet durch:</w:t>
      </w:r>
    </w:p>
    <w:p w:rsidR="00D36474" w:rsidRDefault="00C76289">
      <w:r>
        <w:t xml:space="preserve">Joshua Enthöfer (Matrikelnummer: </w:t>
      </w:r>
      <w:r>
        <w:rPr>
          <w:b/>
        </w:rPr>
        <w:t>201725365</w:t>
      </w:r>
      <w:r>
        <w:t>),</w:t>
      </w:r>
    </w:p>
    <w:p w:rsidR="00D36474" w:rsidRDefault="00C76289">
      <w:r>
        <w:t xml:space="preserve">Marek </w:t>
      </w:r>
      <w:proofErr w:type="spellStart"/>
      <w:r>
        <w:t>Linnenbaum</w:t>
      </w:r>
      <w:proofErr w:type="spellEnd"/>
      <w:r>
        <w:t xml:space="preserve"> (Matrikelnummer:</w:t>
      </w:r>
      <w:r>
        <w:rPr>
          <w:b/>
        </w:rPr>
        <w:t>201726610</w:t>
      </w:r>
      <w:r>
        <w:t>),</w:t>
      </w:r>
    </w:p>
    <w:p w:rsidR="00D36474" w:rsidRDefault="00C76289">
      <w:r>
        <w:t xml:space="preserve">Christian </w:t>
      </w:r>
      <w:proofErr w:type="spellStart"/>
      <w:r>
        <w:t>Szablewski</w:t>
      </w:r>
      <w:proofErr w:type="spellEnd"/>
      <w:r>
        <w:t xml:space="preserve"> (Matrikelnummer:</w:t>
      </w:r>
      <w:r>
        <w:rPr>
          <w:b/>
        </w:rPr>
        <w:t>201721939</w:t>
      </w:r>
      <w:r>
        <w:t>),</w:t>
      </w:r>
    </w:p>
    <w:p w:rsidR="00D36474" w:rsidRDefault="00C76289">
      <w:r>
        <w:t xml:space="preserve">Maximilian Thomas (Matrikelnummer: </w:t>
      </w:r>
      <w:r>
        <w:rPr>
          <w:b/>
        </w:rPr>
        <w:t>201726580</w:t>
      </w:r>
      <w:r>
        <w:t>)</w:t>
      </w:r>
    </w:p>
    <w:p w:rsidR="00D36474" w:rsidRDefault="00C76289">
      <w:pPr>
        <w:pStyle w:val="berschrift1"/>
      </w:pPr>
      <w:bookmarkStart w:id="1" w:name="_8vbiit1cb30g" w:colFirst="0" w:colLast="0"/>
      <w:bookmarkEnd w:id="1"/>
      <w:r>
        <w:t>Aufgabe 1.1</w:t>
      </w:r>
    </w:p>
    <w:p w:rsidR="00D36474" w:rsidRDefault="00C76289">
      <w:pPr>
        <w:pStyle w:val="berschrift2"/>
      </w:pPr>
      <w:bookmarkStart w:id="2" w:name="_ezymld156w54" w:colFirst="0" w:colLast="0"/>
      <w:bookmarkEnd w:id="2"/>
      <w:r>
        <w:t xml:space="preserve">Überführung in eine neue Form des Regelbetriebs der </w:t>
      </w:r>
      <w:proofErr w:type="spellStart"/>
      <w:r>
        <w:t>Consult</w:t>
      </w:r>
      <w:proofErr w:type="spellEnd"/>
      <w:r>
        <w:t xml:space="preserve"> GmbH während der Corona-Krise 2020</w:t>
      </w:r>
    </w:p>
    <w:p w:rsidR="00D36474" w:rsidRDefault="00C76289">
      <w:pPr>
        <w:pStyle w:val="berschrift3"/>
      </w:pPr>
      <w:bookmarkStart w:id="3" w:name="_kj1gwxyp6urk" w:colFirst="0" w:colLast="0"/>
      <w:bookmarkEnd w:id="3"/>
      <w:r>
        <w:t>Beschreibung der Ausgangssituation</w:t>
      </w:r>
    </w:p>
    <w:p w:rsidR="00D36474" w:rsidRDefault="00C76289">
      <w:r>
        <w:t xml:space="preserve">Zum Ende des ersten Quartals des Jahres 2020 ist die </w:t>
      </w:r>
      <w:proofErr w:type="spellStart"/>
      <w:r>
        <w:t>Consult</w:t>
      </w:r>
      <w:proofErr w:type="spellEnd"/>
      <w:r>
        <w:t xml:space="preserve"> GmbH direkt von den Auswirkungen der Corona-Krise durch neue politische Verordnungen und Rahmenbedingungen betroffen.</w:t>
      </w:r>
    </w:p>
    <w:p w:rsidR="00D36474" w:rsidRDefault="00C76289">
      <w:r>
        <w:t xml:space="preserve">Im Zuge dessen gilt es sicherzustellen, dass die </w:t>
      </w:r>
      <w:proofErr w:type="spellStart"/>
      <w:r>
        <w:t>Consult</w:t>
      </w:r>
      <w:proofErr w:type="spellEnd"/>
      <w:r>
        <w:t xml:space="preserve"> GmbH trotz der akuten Situation arbeitsfähig bleibt indem eine neue Form des Regelbetriebs eingeführt und die Gesundheit der Mitarbeiter sichergestellt wird. </w:t>
      </w:r>
    </w:p>
    <w:p w:rsidR="00D36474" w:rsidRDefault="00C76289">
      <w:pPr>
        <w:pStyle w:val="berschrift3"/>
      </w:pPr>
      <w:r>
        <w:t>Definition der Projektziele und des Projektnutzens</w:t>
      </w:r>
    </w:p>
    <w:p w:rsidR="00D36474" w:rsidRDefault="00C76289">
      <w:r>
        <w:t>Das Hauptziel des Projekts ist der Erhalt des Unternehmens und die Gewährleistung einer maximalen Arbeitsfähigkeit während der Corona-Krise.</w:t>
      </w:r>
    </w:p>
    <w:p w:rsidR="00D36474" w:rsidRDefault="00C76289">
      <w:r>
        <w:t>Insofern soll sichergestellt werden, dass die beschäftigten Mitarbeiter weiterhin kein gesundheitliches Risiko für die Ausübung ihrer betrieblichen Tätigkeiten eingehen und ihren normalen Lohn über einen möglichst langen Zeitraum erhalten.</w:t>
      </w:r>
    </w:p>
    <w:p w:rsidR="00D36474" w:rsidRDefault="00C76289">
      <w:r>
        <w:t>Im Zuge dessen soll eine neue Form des Regelbetriebs eingeführt werden, welche die zuvor beschriebenen Ziele gewährleistet.</w:t>
      </w:r>
    </w:p>
    <w:p w:rsidR="00D36474" w:rsidRDefault="00C76289">
      <w:r>
        <w:t>Neue Kundenaufträge werden zwar entgegengenommen, allerdings erfolgt die Analyse der Kundenumgebung in reduzierter Form durch Gespräche ohne eine persönliche Analyse vor Ort.</w:t>
      </w:r>
    </w:p>
    <w:p w:rsidR="00D36474" w:rsidRDefault="00C76289">
      <w:pPr>
        <w:pStyle w:val="berschrift3"/>
      </w:pPr>
      <w:r>
        <w:t>Beschreibung der Projektinhalte</w:t>
      </w:r>
    </w:p>
    <w:p w:rsidR="00D36474" w:rsidRDefault="00D36474"/>
    <w:p w:rsidR="00D36474" w:rsidRDefault="00C76289">
      <w:r>
        <w:t xml:space="preserve">Die zu erfüllenden Dienstleistungen der </w:t>
      </w:r>
      <w:proofErr w:type="spellStart"/>
      <w:r>
        <w:t>Consult</w:t>
      </w:r>
      <w:proofErr w:type="spellEnd"/>
      <w:r>
        <w:t xml:space="preserve"> GmbH sollen bestmöglich fortgesetzt werden. Dabei wird die Analyse der Kundenumgebung mit nur möglichst wenig Personal in den Räumlichkeiten des Kunden durchgeführt, sofern dieser damit einverstanden ist und politische Verordnungen dies nicht verbieten.</w:t>
      </w:r>
      <w:r>
        <w:br/>
      </w:r>
      <w:proofErr w:type="gramStart"/>
      <w:r>
        <w:t>Alternativ</w:t>
      </w:r>
      <w:proofErr w:type="gramEnd"/>
      <w:r>
        <w:t xml:space="preserve"> werden erste Gespräche und Analysen durch Telefonate und Online-Konferenzen durchgeführt.</w:t>
      </w:r>
    </w:p>
    <w:p w:rsidR="0039671B" w:rsidRDefault="00C76289" w:rsidP="0039671B">
      <w:r>
        <w:br/>
      </w:r>
    </w:p>
    <w:p w:rsidR="00D36474" w:rsidRDefault="00C76289">
      <w:r>
        <w:lastRenderedPageBreak/>
        <w:t xml:space="preserve">Mögliche Risikopatienten und Eltern ohne Betreuungsangebot sollen von zu Hause </w:t>
      </w:r>
      <w:r w:rsidR="00A068F1">
        <w:t>ausarbeiten</w:t>
      </w:r>
      <w:r>
        <w:t>. Mitarbeiter in den Großraumbüros werden großzügig verteilt.</w:t>
      </w:r>
      <w:r>
        <w:br/>
        <w:t>Sollte nicht ausreichend Platz in einem derartigen Büro zur Verfügung stehen, werden Mitarbeiter in einem stetigen Wechsel ebenfalls in die Heimarbeit geschickt.</w:t>
      </w:r>
    </w:p>
    <w:p w:rsidR="00D36474" w:rsidRDefault="00D36474"/>
    <w:p w:rsidR="00D36474" w:rsidRDefault="00C76289">
      <w:r>
        <w:t>Für die Arbeit im Homeoffice muss geprüft werden, ob zusätzliche Lizenzen für die Verwendung von Software benötigt werden. Gegebenenfalls müssen neue Lizenzen erworben werden.</w:t>
      </w:r>
      <w:r>
        <w:br/>
        <w:t>Sollte ein Mitarbeiter, der im Homeoffice arbeiten soll, kein Gerät besitzen, mit dem er seine Arbeit durchführen kann, wird ihm ein Dienstgerät zur Verfügung gestellt.</w:t>
      </w:r>
    </w:p>
    <w:p w:rsidR="00D36474" w:rsidRDefault="00C76289">
      <w:r>
        <w:t>Der Mitarbeiter muss den Erhalt des Geräts bestätigen, um einen Diebstahl zu verhindern.</w:t>
      </w:r>
    </w:p>
    <w:p w:rsidR="00D36474" w:rsidRDefault="00C76289">
      <w:r>
        <w:t>Alle im Homeoffice tätigen Mitarbeiter müssen einen VPN-Client für die Durchführung ihrer Arbeit verwenden.</w:t>
      </w:r>
    </w:p>
    <w:p w:rsidR="00D36474" w:rsidRDefault="00D36474"/>
    <w:p w:rsidR="00D36474" w:rsidRDefault="00C76289">
      <w:r>
        <w:t>Für die Gewährleistung der Heimarbeit muss sichergestellt werden, dass die Datenübertragungsrate des Firmennetzwerks zum Internetprovider ausreichend groß ist.</w:t>
      </w:r>
      <w:r>
        <w:br/>
        <w:t>Andernfalls muss die besagte Datenübertragungsrate erhöht werden.</w:t>
      </w:r>
    </w:p>
    <w:p w:rsidR="00D36474" w:rsidRDefault="00C76289">
      <w:r>
        <w:br/>
        <w:t xml:space="preserve">Interne Kommunikation soll durch Messenger-Plattformen mit </w:t>
      </w:r>
      <w:proofErr w:type="spellStart"/>
      <w:r>
        <w:t>Telefoniefunktionen</w:t>
      </w:r>
      <w:proofErr w:type="spellEnd"/>
      <w:r>
        <w:t xml:space="preserve"> erfolgen.</w:t>
      </w:r>
      <w:r>
        <w:br/>
        <w:t>Telefonate mit Kunden erfolgen über mobile Dienstgeräte.</w:t>
      </w:r>
    </w:p>
    <w:p w:rsidR="00D36474" w:rsidRDefault="00D36474"/>
    <w:p w:rsidR="00D36474" w:rsidRDefault="00C76289">
      <w:r>
        <w:t>Geschäftsführer und Abteilungsleiter informieren alle Mitarbeiter über die aktuellen Umstände und weisen die weiterhin im Firmengebäude arbeitenden Mitarbeiter auf neue Verhaltens- und Hygieneregeln hin.</w:t>
      </w:r>
      <w:r>
        <w:br/>
        <w:t>Es gibt regelmäßige Updates durch die Firmenleitung, um alle Mitarbeiter auf dem aktuellsten Informationsstand zu halten.</w:t>
      </w:r>
      <w:r>
        <w:br/>
        <w:t>Mitarbeiter werden darum gebeten, Urlaub zu beantragen, um die Anzahl der Mitarbeiter der wahrscheinlich reduzierten Auftragslage anzupassen.</w:t>
      </w:r>
    </w:p>
    <w:p w:rsidR="00D36474" w:rsidRDefault="00D36474"/>
    <w:p w:rsidR="00D36474" w:rsidRDefault="00C76289">
      <w:r>
        <w:t xml:space="preserve">Falls eine finanzielle Überprüfung der Geschäftskonten ergibt, dass ein zu starker Auftragseinbruch, die Existenz des Unternehmens akut gefährdet, wird sukzessive Kurzarbeit eingeführt. Zusätzlich wird die Inanspruchnahme von Hilfskrediten geprüft, um ein Fortbestehen der </w:t>
      </w:r>
      <w:proofErr w:type="spellStart"/>
      <w:r>
        <w:t>Consult</w:t>
      </w:r>
      <w:proofErr w:type="spellEnd"/>
      <w:r>
        <w:t xml:space="preserve"> GmbH zu ermöglichen.</w:t>
      </w:r>
    </w:p>
    <w:p w:rsidR="00D36474" w:rsidRDefault="00C76289">
      <w:pPr>
        <w:pStyle w:val="berschrift3"/>
      </w:pPr>
      <w:bookmarkStart w:id="4" w:name="_w92l6lxwsuh4" w:colFirst="0" w:colLast="0"/>
      <w:bookmarkEnd w:id="4"/>
      <w:r>
        <w:br w:type="page"/>
      </w:r>
    </w:p>
    <w:p w:rsidR="00D36474" w:rsidRDefault="00C76289">
      <w:pPr>
        <w:pStyle w:val="berschrift3"/>
      </w:pPr>
      <w:bookmarkStart w:id="5" w:name="_hfb1p0t8xx9t" w:colFirst="0" w:colLast="0"/>
      <w:bookmarkEnd w:id="5"/>
      <w:r>
        <w:lastRenderedPageBreak/>
        <w:t>Projektzeitraum</w:t>
      </w:r>
    </w:p>
    <w:p w:rsidR="00D36474" w:rsidRDefault="00C76289">
      <w:r>
        <w:t>Das Projekt beginnt zum nächstmöglichen Zeitpunkt nach dessen Genehmigung.</w:t>
      </w:r>
    </w:p>
    <w:p w:rsidR="00D36474" w:rsidRDefault="00C76289">
      <w:r>
        <w:t>Sobald die Überführung in den neuen geplanten Regelbetrieb vollständig durchgeführt wurde, findet das Projekt sein Ende.</w:t>
      </w:r>
      <w:r>
        <w:br/>
        <w:t>Es folgt eine visuelle Übersicht, mit den Projektphasen, welche die Dauer darstellen soll.</w:t>
      </w:r>
      <w:r>
        <w:br/>
        <w:t>Dabei beginnt das Projekt beispielhaft am 18.05.2020 und endet am 06.07.2020.</w:t>
      </w:r>
    </w:p>
    <w:p w:rsidR="00D36474" w:rsidRDefault="00C76289">
      <w:r>
        <w:rPr>
          <w:noProof/>
        </w:rPr>
        <w:drawing>
          <wp:inline distT="114300" distB="114300" distL="114300" distR="114300">
            <wp:extent cx="6338888" cy="971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38888" cy="971550"/>
                    </a:xfrm>
                    <a:prstGeom prst="rect">
                      <a:avLst/>
                    </a:prstGeom>
                    <a:ln/>
                  </pic:spPr>
                </pic:pic>
              </a:graphicData>
            </a:graphic>
          </wp:inline>
        </w:drawing>
      </w:r>
    </w:p>
    <w:p w:rsidR="00D36474" w:rsidRDefault="00C76289">
      <w:pPr>
        <w:pStyle w:val="berschrift3"/>
      </w:pPr>
      <w:r>
        <w:t>Projektbudget</w:t>
      </w:r>
    </w:p>
    <w:p w:rsidR="00D36474" w:rsidRDefault="00C76289">
      <w:r>
        <w:t>Ebenso verhält es sich mit den Kosten für den Neuerwerb von Dienstgeräten.</w:t>
      </w:r>
    </w:p>
    <w:p w:rsidR="00D36474" w:rsidRDefault="00C76289">
      <w:r>
        <w:t xml:space="preserve">Eine genaue Kalkulation lässt sich zu dem bisherigen Zeitpunkt noch nicht treffen. Es folgt jedoch eine tabellarische Grobkalkulation, welche eine Kostenschätzung für einzelne Teilprojekte und Teilaufgaben beinhaltet. Dabei wird zwischen Personal- und Materialkosten differenziert. </w:t>
      </w:r>
    </w:p>
    <w:p w:rsidR="00D36474" w:rsidRDefault="00C76289">
      <w:r>
        <w:rPr>
          <w:noProof/>
        </w:rPr>
        <w:drawing>
          <wp:inline distT="114300" distB="114300" distL="114300" distR="114300">
            <wp:extent cx="6263628" cy="16335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63628" cy="1633538"/>
                    </a:xfrm>
                    <a:prstGeom prst="rect">
                      <a:avLst/>
                    </a:prstGeom>
                    <a:ln/>
                  </pic:spPr>
                </pic:pic>
              </a:graphicData>
            </a:graphic>
          </wp:inline>
        </w:drawing>
      </w:r>
    </w:p>
    <w:p w:rsidR="00D36474" w:rsidRDefault="00C76289">
      <w:pPr>
        <w:pStyle w:val="berschrift3"/>
      </w:pPr>
      <w:r>
        <w:t>Projektorganisation</w:t>
      </w:r>
    </w:p>
    <w:p w:rsidR="00D36474" w:rsidRDefault="00C76289">
      <w:r>
        <w:t>Für den Projektverlauf ist eine Matrix-Organisation zu benutzen.</w:t>
      </w:r>
    </w:p>
    <w:p w:rsidR="00D36474" w:rsidRDefault="00C76289">
      <w:r>
        <w:t>Dies lässt sich dadurch begründen, dass Mitarbeiter nicht ständig in die Projektumsetzung eingebunden werden müssen und sich durchaus auch noch auf ihre eigentlichen Aufgaben konzentrieren können.</w:t>
      </w:r>
    </w:p>
    <w:p w:rsidR="00D36474" w:rsidRDefault="00C76289">
      <w:r>
        <w:t>Zusätzlich möchten wir keine Mitarbeiter dauerhaft beanspruchen, da es diese auch noch Arbeitszeit für ihre eigentlichen Tätigkeitsgebiete aufwenden sollen.</w:t>
      </w:r>
    </w:p>
    <w:p w:rsidR="00D36474" w:rsidRDefault="00C76289">
      <w:r>
        <w:t>Außerdem ist die Matrix-Organisation schneller zu koordinieren und zu errichten als andere Organisationsformen.</w:t>
      </w:r>
    </w:p>
    <w:p w:rsidR="00D36474" w:rsidRDefault="00C76289">
      <w:pPr>
        <w:pStyle w:val="berschrift3"/>
      </w:pPr>
      <w:r>
        <w:br w:type="page"/>
      </w:r>
    </w:p>
    <w:p w:rsidR="00D36474" w:rsidRDefault="00C76289">
      <w:pPr>
        <w:pStyle w:val="berschrift3"/>
      </w:pPr>
      <w:bookmarkStart w:id="6" w:name="_h385uwlc3ras" w:colFirst="0" w:colLast="0"/>
      <w:bookmarkEnd w:id="6"/>
      <w:r>
        <w:lastRenderedPageBreak/>
        <w:t>Projektphasen, Meilensteine &amp; Termine</w:t>
      </w:r>
    </w:p>
    <w:p w:rsidR="00D36474" w:rsidRDefault="00C76289">
      <w:r>
        <w:t>Das Projekt gliedert sich in eine Analysephase die unmittelbar nach dem Projektbeginn startet, sowie in eine darauf folgende Umsetzungs- und Abschlussphase.</w:t>
      </w:r>
      <w:r>
        <w:br/>
        <w:t>Innerhalb der Analysephase wird zum Beispiel untersucht, wie viele Mitarbeiter in das Homeoffice geschickt werden sollen, welche Maßnahmen getroffen werden müssen, um innerhalb des Firmengebäudes geforderte Sicherheitsmaßnahmen umzusetzen und wie die zuvor beschriebenen Projektinhalte schnellstmöglich umzusetzen sind.</w:t>
      </w:r>
    </w:p>
    <w:p w:rsidR="00D36474" w:rsidRDefault="00C76289">
      <w:r>
        <w:t>Die Umsetzungsphase wird dafür genutzt, die Ergebnisse der Analysephase bestmöglich</w:t>
      </w:r>
    </w:p>
    <w:p w:rsidR="00D36474" w:rsidRDefault="00C76289">
      <w:r>
        <w:t>und zeitnah umzusetzen.</w:t>
      </w:r>
      <w:r>
        <w:br/>
        <w:t>Die Projektabschlussphase wird dafür genutzt, um eine Analyse für die Fortführung des eingeführten Homeoffice-Konzepts durchzuführen. Damit die Ergebnisse der Analyse zum Beispiel als Grundlage für Folgeprojekte oder für die Bewertung des beendeten Projekts genutzt werden können.</w:t>
      </w:r>
    </w:p>
    <w:p w:rsidR="00D36474" w:rsidRDefault="00D36474"/>
    <w:p w:rsidR="00D36474" w:rsidRDefault="00C76289">
      <w:pPr>
        <w:pStyle w:val="berschrift3"/>
      </w:pPr>
      <w:bookmarkStart w:id="7" w:name="_b36kuv1uhqc0" w:colFirst="0" w:colLast="0"/>
      <w:bookmarkEnd w:id="7"/>
      <w:r>
        <w:t>Projektrisiken &amp; Projektchancen</w:t>
      </w:r>
    </w:p>
    <w:p w:rsidR="00D36474" w:rsidRDefault="00C76289">
      <w:r>
        <w:t>Sollte das Projekt scheitern, könnte es zu der Insolvenz des Unternehmens und der Arbeitslosigkeit der bisher beschäftigten Mitarbeiter kommen.</w:t>
      </w:r>
    </w:p>
    <w:p w:rsidR="00D36474" w:rsidRDefault="00C76289">
      <w:r>
        <w:t>Falls die wirtschaftliche Lage sich durch fehlende Kundenaufträge verschlechtern sollte, ist es naheliegend, dass eine Vielzahl von Mitarbeitern ihr normales Gehalt verwehrt wird und diese nur noch Kurzarbeitergeld erhalten, wodurch diese in finanzielle Engpässe geraten.</w:t>
      </w:r>
    </w:p>
    <w:p w:rsidR="00D36474" w:rsidRDefault="00D36474"/>
    <w:p w:rsidR="00D36474" w:rsidRDefault="00C76289">
      <w:r>
        <w:t xml:space="preserve">Risiken während des Projekts können sich zum Beispiel aus Lieferengpässen bei beliebten Produkten wie Hygieneartikeln und mobilen Geräten ergeben. Die zu Verzögerungen der Projektumsetzung führen könnten. </w:t>
      </w:r>
      <w:r>
        <w:br/>
        <w:t>Dafür sind allerdings Maßnahmen wie eine Aufteilung in Kleinbestellungen für eine intakte Lieferkette vorgesehen, um das Risiko zu minimieren.</w:t>
      </w:r>
    </w:p>
    <w:p w:rsidR="00D36474" w:rsidRDefault="00C76289">
      <w:pPr>
        <w:pStyle w:val="berschrift3"/>
      </w:pPr>
      <w:bookmarkStart w:id="8" w:name="_31sz3hk58qgu" w:colFirst="0" w:colLast="0"/>
      <w:bookmarkEnd w:id="8"/>
      <w:r>
        <w:t>Projektabgrenzung &amp; mögliche weiterführende Projekte</w:t>
      </w:r>
    </w:p>
    <w:p w:rsidR="00D36474" w:rsidRDefault="00C76289">
      <w:r>
        <w:t xml:space="preserve">Nach einer erfolgreichen Durchführung des Projekts, ist die </w:t>
      </w:r>
      <w:proofErr w:type="spellStart"/>
      <w:r>
        <w:t>Consult</w:t>
      </w:r>
      <w:proofErr w:type="spellEnd"/>
      <w:r>
        <w:t xml:space="preserve"> GmbH in der Lage durch eine neue Form des Regelbetriebs weiterhin arbeitsfähig zu sein. </w:t>
      </w:r>
      <w:r>
        <w:br/>
        <w:t>Das Projekt beinhaltet allerdings keine Rückkehr zum ursprünglich durchgeführten Regelbetrieb. Die besagte Rückkehr kann zum Beispiel in Form eine Folgeprojekts realisiert werden.</w:t>
      </w:r>
    </w:p>
    <w:p w:rsidR="00D36474" w:rsidRDefault="00C76289">
      <w:pPr>
        <w:pStyle w:val="berschrift1"/>
      </w:pPr>
      <w:bookmarkStart w:id="9" w:name="_zi0co1z7qxl1" w:colFirst="0" w:colLast="0"/>
      <w:bookmarkEnd w:id="9"/>
      <w:r>
        <w:br w:type="page"/>
      </w:r>
    </w:p>
    <w:p w:rsidR="00D36474" w:rsidRDefault="00C76289">
      <w:pPr>
        <w:pStyle w:val="berschrift1"/>
      </w:pPr>
      <w:bookmarkStart w:id="10" w:name="_fqhbbm22brkv" w:colFirst="0" w:colLast="0"/>
      <w:bookmarkEnd w:id="10"/>
      <w:r>
        <w:lastRenderedPageBreak/>
        <w:t>Aufgabe 1.2</w:t>
      </w:r>
    </w:p>
    <w:p w:rsidR="00D36474" w:rsidRDefault="00C76289">
      <w:r>
        <w:t>Unsere Entscheidung:</w:t>
      </w:r>
    </w:p>
    <w:p w:rsidR="00D36474" w:rsidRDefault="00C76289">
      <w:pPr>
        <w:numPr>
          <w:ilvl w:val="0"/>
          <w:numId w:val="4"/>
        </w:numPr>
      </w:pPr>
      <w:r>
        <w:t>Matrix-Organisation</w:t>
      </w:r>
    </w:p>
    <w:p w:rsidR="00D36474" w:rsidRDefault="00C76289">
      <w:pPr>
        <w:numPr>
          <w:ilvl w:val="1"/>
          <w:numId w:val="4"/>
        </w:numPr>
      </w:pPr>
      <w:r>
        <w:t>wir brauchen Mitarbeiter nicht die ganze Zeit über</w:t>
      </w:r>
    </w:p>
    <w:p w:rsidR="00D36474" w:rsidRDefault="00C76289">
      <w:pPr>
        <w:numPr>
          <w:ilvl w:val="1"/>
          <w:numId w:val="4"/>
        </w:numPr>
      </w:pPr>
      <w:r>
        <w:t>Ein eigenes Projektteam wäre zu umfangreich, da es ohnehin schon schwierig ist den Regelbetrieb aufrechtzuerhalten</w:t>
      </w:r>
    </w:p>
    <w:p w:rsidR="00D36474" w:rsidRDefault="00C76289">
      <w:pPr>
        <w:numPr>
          <w:ilvl w:val="1"/>
          <w:numId w:val="4"/>
        </w:numPr>
      </w:pPr>
      <w:r>
        <w:t>Die Entscheidung welche Mitarbeiter genutzt werden dürfen, sollte von den Fachbereichsleitern getroffen werden, um ihre Arbeit nicht zu sehr einzuschränken</w:t>
      </w:r>
    </w:p>
    <w:p w:rsidR="00D36474" w:rsidRDefault="00C76289">
      <w:pPr>
        <w:numPr>
          <w:ilvl w:val="1"/>
          <w:numId w:val="4"/>
        </w:numPr>
      </w:pPr>
      <w:r>
        <w:t>Schneller aufzubauen als andere Organisationsformen</w:t>
      </w:r>
    </w:p>
    <w:p w:rsidR="00D36474" w:rsidRDefault="00D36474"/>
    <w:p w:rsidR="00D36474" w:rsidRDefault="00C76289">
      <w:pPr>
        <w:numPr>
          <w:ilvl w:val="0"/>
          <w:numId w:val="3"/>
        </w:numPr>
      </w:pPr>
      <w:r>
        <w:t>Was spricht gegen die anderen Organisationsformen?</w:t>
      </w:r>
    </w:p>
    <w:p w:rsidR="00D36474" w:rsidRDefault="00C76289">
      <w:pPr>
        <w:numPr>
          <w:ilvl w:val="1"/>
          <w:numId w:val="3"/>
        </w:numPr>
      </w:pPr>
      <w:r>
        <w:t>Stab-Projektorganisation</w:t>
      </w:r>
    </w:p>
    <w:p w:rsidR="00D36474" w:rsidRDefault="00C76289">
      <w:pPr>
        <w:numPr>
          <w:ilvl w:val="2"/>
          <w:numId w:val="3"/>
        </w:numPr>
      </w:pPr>
      <w:r>
        <w:t>zu große Bedeutung für das Unternehmen</w:t>
      </w:r>
    </w:p>
    <w:p w:rsidR="00D36474" w:rsidRDefault="00C76289">
      <w:pPr>
        <w:numPr>
          <w:ilvl w:val="2"/>
          <w:numId w:val="3"/>
        </w:numPr>
      </w:pPr>
      <w:r>
        <w:t>zu großer Projektumfang</w:t>
      </w:r>
    </w:p>
    <w:p w:rsidR="00D36474" w:rsidRDefault="00C76289">
      <w:pPr>
        <w:numPr>
          <w:ilvl w:val="2"/>
          <w:numId w:val="3"/>
        </w:numPr>
      </w:pPr>
      <w:r>
        <w:t>großer Zeitdruck und wahrscheinlich lange Projektdauer</w:t>
      </w:r>
    </w:p>
    <w:p w:rsidR="00D36474" w:rsidRDefault="00C76289">
      <w:pPr>
        <w:numPr>
          <w:ilvl w:val="1"/>
          <w:numId w:val="3"/>
        </w:numPr>
      </w:pPr>
      <w:r>
        <w:t>Reine Projektorganisation</w:t>
      </w:r>
    </w:p>
    <w:p w:rsidR="00D36474" w:rsidRDefault="00C76289">
      <w:pPr>
        <w:numPr>
          <w:ilvl w:val="2"/>
          <w:numId w:val="3"/>
        </w:numPr>
      </w:pPr>
      <w:r>
        <w:t>Mitarbeiter werden nicht ständig nur für das Projekt benötigt</w:t>
      </w:r>
    </w:p>
    <w:p w:rsidR="00D36474" w:rsidRDefault="00C76289">
      <w:pPr>
        <w:numPr>
          <w:ilvl w:val="2"/>
          <w:numId w:val="3"/>
        </w:numPr>
      </w:pPr>
      <w:r>
        <w:t>Die Mitarbeiter selbst sind betroffen</w:t>
      </w:r>
    </w:p>
    <w:p w:rsidR="00D36474" w:rsidRDefault="00D36474"/>
    <w:p w:rsidR="00D36474" w:rsidRDefault="00C76289">
      <w:pPr>
        <w:pStyle w:val="berschrift1"/>
      </w:pPr>
      <w:bookmarkStart w:id="11" w:name="_k7de5vl9wlrc" w:colFirst="0" w:colLast="0"/>
      <w:bookmarkEnd w:id="11"/>
      <w:r>
        <w:br w:type="page"/>
      </w:r>
    </w:p>
    <w:p w:rsidR="00D36474" w:rsidRDefault="00C76289">
      <w:pPr>
        <w:pStyle w:val="berschrift1"/>
      </w:pPr>
      <w:bookmarkStart w:id="12" w:name="_oa2s98o0l645" w:colFirst="0" w:colLast="0"/>
      <w:bookmarkEnd w:id="12"/>
      <w:r>
        <w:lastRenderedPageBreak/>
        <w:t>Aufgabe 2.1)</w:t>
      </w:r>
    </w:p>
    <w:p w:rsidR="00D36474" w:rsidRPr="0039671B" w:rsidRDefault="00C76289">
      <w:pPr>
        <w:rPr>
          <w:b/>
          <w:bCs/>
        </w:rPr>
      </w:pPr>
      <w:r w:rsidRPr="0039671B">
        <w:rPr>
          <w:b/>
          <w:bCs/>
        </w:rPr>
        <w:t>Projektstrukturplan:</w:t>
      </w:r>
    </w:p>
    <w:p w:rsidR="00D36474" w:rsidRDefault="00D37FDC">
      <w:r>
        <w:rPr>
          <w:noProof/>
        </w:rPr>
        <w:drawing>
          <wp:inline distT="0" distB="0" distL="0" distR="0" wp14:anchorId="555E9B47" wp14:editId="66DBF02F">
            <wp:extent cx="5733415" cy="5856605"/>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856605"/>
                    </a:xfrm>
                    <a:prstGeom prst="rect">
                      <a:avLst/>
                    </a:prstGeom>
                  </pic:spPr>
                </pic:pic>
              </a:graphicData>
            </a:graphic>
          </wp:inline>
        </w:drawing>
      </w:r>
    </w:p>
    <w:p w:rsidR="00D36474" w:rsidRDefault="00C76289">
      <w:r>
        <w:br w:type="page"/>
      </w:r>
    </w:p>
    <w:p w:rsidR="00D36474" w:rsidRPr="0039671B" w:rsidRDefault="00C76289">
      <w:pPr>
        <w:rPr>
          <w:b/>
          <w:bCs/>
        </w:rPr>
      </w:pPr>
      <w:r w:rsidRPr="0039671B">
        <w:rPr>
          <w:b/>
          <w:bCs/>
        </w:rPr>
        <w:lastRenderedPageBreak/>
        <w:t>Arbeitspaketbeschreibung:</w:t>
      </w:r>
    </w:p>
    <w:p w:rsidR="0039671B" w:rsidRDefault="0039671B"/>
    <w:p w:rsidR="00D36474" w:rsidRDefault="00C76289">
      <w:pPr>
        <w:jc w:val="center"/>
      </w:pPr>
      <w:r>
        <w:rPr>
          <w:noProof/>
        </w:rPr>
        <w:drawing>
          <wp:inline distT="114300" distB="114300" distL="114300" distR="114300">
            <wp:extent cx="4391025" cy="7124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91025" cy="7124700"/>
                    </a:xfrm>
                    <a:prstGeom prst="rect">
                      <a:avLst/>
                    </a:prstGeom>
                    <a:ln/>
                  </pic:spPr>
                </pic:pic>
              </a:graphicData>
            </a:graphic>
          </wp:inline>
        </w:drawing>
      </w:r>
    </w:p>
    <w:p w:rsidR="0039671B" w:rsidRDefault="0039671B">
      <w:pPr>
        <w:jc w:val="center"/>
        <w:sectPr w:rsidR="0039671B">
          <w:pgSz w:w="11909" w:h="16834"/>
          <w:pgMar w:top="1440" w:right="1440" w:bottom="1440" w:left="1440" w:header="720" w:footer="720" w:gutter="0"/>
          <w:pgNumType w:start="1"/>
          <w:cols w:space="720"/>
        </w:sectPr>
      </w:pPr>
    </w:p>
    <w:p w:rsidR="0039671B" w:rsidRDefault="0039671B">
      <w:pPr>
        <w:jc w:val="center"/>
      </w:pPr>
    </w:p>
    <w:p w:rsidR="00D36474" w:rsidRDefault="0039671B">
      <w:pPr>
        <w:pStyle w:val="berschrift1"/>
      </w:pPr>
      <w:bookmarkStart w:id="13" w:name="_o8inrxfg6ga5" w:colFirst="0" w:colLast="0"/>
      <w:bookmarkEnd w:id="13"/>
      <w:r>
        <w:rPr>
          <w:noProof/>
        </w:rPr>
        <w:drawing>
          <wp:anchor distT="0" distB="0" distL="114300" distR="114300" simplePos="0" relativeHeight="251659264" behindDoc="0" locked="0" layoutInCell="1" allowOverlap="1">
            <wp:simplePos x="0" y="0"/>
            <wp:positionH relativeFrom="column">
              <wp:posOffset>619125</wp:posOffset>
            </wp:positionH>
            <wp:positionV relativeFrom="paragraph">
              <wp:posOffset>649605</wp:posOffset>
            </wp:positionV>
            <wp:extent cx="7894320" cy="4328795"/>
            <wp:effectExtent l="19050" t="19050" r="11430" b="14605"/>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7894320" cy="4328795"/>
                    </a:xfrm>
                    <a:prstGeom prst="rect">
                      <a:avLst/>
                    </a:prstGeom>
                    <a:ln>
                      <a:solidFill>
                        <a:schemeClr val="tx1"/>
                      </a:solidFill>
                    </a:ln>
                  </pic:spPr>
                </pic:pic>
              </a:graphicData>
            </a:graphic>
          </wp:anchor>
        </w:drawing>
      </w:r>
      <w:r w:rsidR="00C76289">
        <w:t>Aufgabe 2.2)</w:t>
      </w:r>
    </w:p>
    <w:p w:rsidR="00D36474" w:rsidRDefault="0039671B">
      <w:r>
        <w:br w:type="textWrapping" w:clear="all"/>
      </w:r>
    </w:p>
    <w:p w:rsidR="00D36474" w:rsidRDefault="00D36474"/>
    <w:p w:rsidR="00D36474" w:rsidRDefault="00C76289">
      <w:pPr>
        <w:pStyle w:val="berschrift1"/>
      </w:pPr>
      <w:bookmarkStart w:id="14" w:name="_m6uhigslcu0z" w:colFirst="0" w:colLast="0"/>
      <w:bookmarkEnd w:id="14"/>
      <w:r>
        <w:lastRenderedPageBreak/>
        <w:t>Aufgabe 2.3)</w:t>
      </w:r>
    </w:p>
    <w:p w:rsidR="00D36474" w:rsidRDefault="00D36474"/>
    <w:p w:rsidR="0039671B" w:rsidRDefault="00C76289">
      <w:pPr>
        <w:sectPr w:rsidR="0039671B" w:rsidSect="0039671B">
          <w:footerReference w:type="default" r:id="rId13"/>
          <w:pgSz w:w="16834" w:h="11909" w:orient="landscape"/>
          <w:pgMar w:top="1440" w:right="1440" w:bottom="1440" w:left="1440" w:header="720" w:footer="720" w:gutter="0"/>
          <w:pgNumType w:start="1"/>
          <w:cols w:space="720"/>
          <w:docGrid w:linePitch="299"/>
        </w:sectPr>
      </w:pPr>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9525</wp:posOffset>
            </wp:positionV>
            <wp:extent cx="7518400" cy="5090795"/>
            <wp:effectExtent l="19050" t="19050" r="25400" b="14605"/>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7518400" cy="5090795"/>
                    </a:xfrm>
                    <a:prstGeom prst="rect">
                      <a:avLst/>
                    </a:prstGeom>
                    <a:ln>
                      <a:solidFill>
                        <a:schemeClr val="tx1"/>
                      </a:solidFill>
                    </a:ln>
                  </pic:spPr>
                </pic:pic>
              </a:graphicData>
            </a:graphic>
          </wp:anchor>
        </w:drawing>
      </w:r>
      <w:r w:rsidR="0039671B">
        <w:br w:type="textWrapping" w:clear="all"/>
      </w:r>
    </w:p>
    <w:p w:rsidR="00D36474" w:rsidRDefault="00D36474"/>
    <w:p w:rsidR="00D36474" w:rsidRDefault="00C76289">
      <w:pPr>
        <w:pStyle w:val="berschrift1"/>
      </w:pPr>
      <w:bookmarkStart w:id="15" w:name="_ar7ljdyjsaur" w:colFirst="0" w:colLast="0"/>
      <w:bookmarkEnd w:id="15"/>
      <w:r>
        <w:t>Aufgabe 2.4)</w:t>
      </w:r>
    </w:p>
    <w:p w:rsidR="00D36474" w:rsidRDefault="00D36474"/>
    <w:p w:rsidR="00D36474" w:rsidRDefault="00C76289">
      <w:r>
        <w:t>Erkannte Risiken:</w:t>
      </w:r>
    </w:p>
    <w:p w:rsidR="00D36474" w:rsidRDefault="00C76289">
      <w:pPr>
        <w:numPr>
          <w:ilvl w:val="0"/>
          <w:numId w:val="2"/>
        </w:numPr>
      </w:pPr>
      <w:r>
        <w:t>Lieferverzug bei Bestellungen für die Hygieneartikel</w:t>
      </w:r>
    </w:p>
    <w:p w:rsidR="00D36474" w:rsidRDefault="00C76289">
      <w:pPr>
        <w:numPr>
          <w:ilvl w:val="0"/>
          <w:numId w:val="2"/>
        </w:numPr>
      </w:pPr>
      <w:r>
        <w:t>Lieferverzug bei Bestellungen für die techn. Geräte</w:t>
      </w:r>
    </w:p>
    <w:p w:rsidR="00D36474" w:rsidRDefault="00C76289">
      <w:pPr>
        <w:numPr>
          <w:ilvl w:val="0"/>
          <w:numId w:val="2"/>
        </w:numPr>
      </w:pPr>
      <w:r>
        <w:t>Krankheitsfall</w:t>
      </w:r>
    </w:p>
    <w:p w:rsidR="00D36474" w:rsidRDefault="00C76289">
      <w:r>
        <w:t>Erkannte Chancen:</w:t>
      </w:r>
    </w:p>
    <w:p w:rsidR="00D36474" w:rsidRDefault="00C76289">
      <w:pPr>
        <w:numPr>
          <w:ilvl w:val="0"/>
          <w:numId w:val="1"/>
        </w:numPr>
      </w:pPr>
      <w:r>
        <w:t>Verbesserte Außendarstellung</w:t>
      </w:r>
    </w:p>
    <w:p w:rsidR="00D36474" w:rsidRDefault="00C76289">
      <w:pPr>
        <w:numPr>
          <w:ilvl w:val="0"/>
          <w:numId w:val="1"/>
        </w:numPr>
      </w:pPr>
      <w:r>
        <w:t>Entwicklung eines neuen zukünftigen Arbeitskonzepts</w:t>
      </w:r>
    </w:p>
    <w:p w:rsidR="00D36474" w:rsidRDefault="00C76289">
      <w:pPr>
        <w:numPr>
          <w:ilvl w:val="0"/>
          <w:numId w:val="1"/>
        </w:numPr>
      </w:pPr>
      <w:r>
        <w:t>Verstärkte Mitarbeiterbindung</w:t>
      </w:r>
    </w:p>
    <w:p w:rsidR="00D36474" w:rsidRDefault="00D36474"/>
    <w:p w:rsidR="00D36474" w:rsidRDefault="00C76289">
      <w:r>
        <w:t>Für die Risikobewertung benutzen wir die folgende Tabelle:</w:t>
      </w:r>
    </w:p>
    <w:p w:rsidR="00D36474" w:rsidRDefault="00D36474"/>
    <w:p w:rsidR="00D36474" w:rsidRDefault="00D36474"/>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Stufe</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Zugeordneter Wertebereich</w:t>
            </w:r>
          </w:p>
        </w:tc>
      </w:tr>
      <w:tr w:rsidR="00D36474">
        <w:trPr>
          <w:trHeight w:val="420"/>
        </w:trPr>
        <w:tc>
          <w:tcPr>
            <w:tcW w:w="9028" w:type="dxa"/>
            <w:gridSpan w:val="2"/>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Eintrittswahrscheinlichkeiten</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&gt; 70%</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50% bis 70%</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30% bis 50%</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&lt;30%</w:t>
            </w:r>
          </w:p>
        </w:tc>
      </w:tr>
      <w:tr w:rsidR="00D36474">
        <w:trPr>
          <w:trHeight w:val="420"/>
        </w:trPr>
        <w:tc>
          <w:tcPr>
            <w:tcW w:w="9028" w:type="dxa"/>
            <w:gridSpan w:val="2"/>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Schadensausmaß</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&gt;20.000 €</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10.000 - 20.000 €</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2.000 - 10.000 €</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&lt; 2.000 €</w:t>
            </w:r>
          </w:p>
        </w:tc>
      </w:tr>
    </w:tbl>
    <w:p w:rsidR="00D36474" w:rsidRDefault="00C76289">
      <w:r>
        <w:t xml:space="preserve"> </w:t>
      </w:r>
    </w:p>
    <w:p w:rsidR="00D36474" w:rsidRDefault="00D36474"/>
    <w:p w:rsidR="00D36474" w:rsidRDefault="00C76289">
      <w:r>
        <w:t>Das Risiko für die verspätete Lieferung von Hygieneartikeln wie Einweg-Mund-Nasenschutzmasken und das Desinfektionsmittel bewerten wir insgesamt als eher gering. Zwar geht bei diesem Risiko eine hohe Eintrittswahrscheinlichkeit einher, da es durch die aktuelle Begebenheit einen überdurchschnittlichen Bedarf an derartigen Artikeln gibt und die Versorgung nicht zwingend sichergestellt werden kann. Allerdings ist das Schadensausmaß für das besagte Risiko eher gering, da durch die geplanten Umbaumaßnahmen bereits ein erster Schritt für die Minimierung des Infektionsrisikos getätigt werden wird, der die Zeit bis zu dem Eintreffen der bestellten Artikel überbrücken kann.</w:t>
      </w:r>
    </w:p>
    <w:p w:rsidR="00D36474" w:rsidRDefault="00D36474"/>
    <w:p w:rsidR="00D36474" w:rsidRDefault="00C76289">
      <w:r>
        <w:lastRenderedPageBreak/>
        <w:t>Das Risiko für die verspätete Lieferung von techn. Geräten schätzen wir insgesamt als eher hoch ein. Das lässt sich dadurch begründen, dass man durch die aktuell sehr hohe Nachfrage an mobilen technischen Geräten wie Notebooks mit einer verspäteten Lieferung rechnen sollte und diese als hoch zu beziffern ist. Allerdings ist das Schadensausmaß als eher hoch einzustufen. Das lässt sich darauf zurückführen, dass die Mitarbeiter nicht auf ihren privaten Geräten arbeiten sollen um einen maximalen Datenschutz von Firmendaten zu gewährleisten und Mitarbeiter unter diesen Umständen ihrer Arbeit nicht nachkommen können, da durch geplante Umbaumaßnahmen nur noch wenige Arbeitsplätze innerhalb der Firmengebäude genutzt werden können.</w:t>
      </w:r>
    </w:p>
    <w:p w:rsidR="00D36474" w:rsidRDefault="00D36474"/>
    <w:p w:rsidR="00D36474" w:rsidRDefault="00C76289">
      <w:r>
        <w:t>Sollte es zum Beispiel während des Projekts zu einer Covid-19-Infektion eines Mitarbeiters kommen, müssten ggf. weitere technische Geräte und dafür benötigte Lizenzen für diverse Software erworben werden und eine nicht vorhersehbare Anzahl an Mitarbeitern müssten in eine häusliche Quarantäne versetzt werden, was sowohl die Projektlaufzeit als auch die Arbeit des restlichen Unternehmens erschweren könnte. Insgesamt bewerten wir das Risiko als eher gering. Das lässt sich durch eine geringe Eintrittswahrscheinlichkeit für eine Infektion und das eher hohe Schadensausmaß für den derartigen Fall begründen.</w:t>
      </w:r>
    </w:p>
    <w:p w:rsidR="00D36474" w:rsidRDefault="00D36474"/>
    <w:p w:rsidR="00D36474" w:rsidRDefault="00C76289">
      <w:r>
        <w:t xml:space="preserve">Das Risiko für die verspätete Lieferung für Hygieneartikel ist durch die Gesamtbewertung eher zu reduzieren. Das möchten wir durch die Anfrage bei verschiedenen Lieferanten umsetzen, um mehrere kleinere Teilbestellungen in Auftrag zu geben. Dadurch möchten wir sicherstellen, dass bereits eine Mindestversorgung </w:t>
      </w:r>
      <w:proofErr w:type="gramStart"/>
      <w:r>
        <w:t>mit den bestellten Artikel</w:t>
      </w:r>
      <w:proofErr w:type="gramEnd"/>
      <w:r>
        <w:t xml:space="preserve"> sichergestellt werden kann, auch wenn eine oder mehrere Lieferungen verspätet ankommen.</w:t>
      </w:r>
    </w:p>
    <w:p w:rsidR="00D36474" w:rsidRDefault="00D36474"/>
    <w:p w:rsidR="00D36474" w:rsidRDefault="00C76289">
      <w:r>
        <w:t>Bei dem eher hohen Risiko für die verspätete Lieferung für technische Geräte planen wir ebenso wie bei der Bestellung für Hygieneartikel zu verfahren.</w:t>
      </w:r>
      <w:r>
        <w:br/>
        <w:t>Die benötigte Menge wird auf unterschiedliche Lieferanten aufgeteilt, die vergleichbare Preise und eine möglichst schnelle Lieferzeit anbieten. Dadurch soll eine verspätete Lieferung kompensiert werden können und möglichst viele Mitarbeiter sollen bereits in das Homeoffice übergehen können.</w:t>
      </w:r>
    </w:p>
    <w:p w:rsidR="00D36474" w:rsidRDefault="00D36474"/>
    <w:p w:rsidR="00D36474" w:rsidRDefault="00C76289">
      <w:r>
        <w:t>Das Risiko für eine mögliche Covid-19-Infektion ist insgesamt zu akzeptieren. Durch die Beschaffung von Hygieneartikeln, der geplanten Umbaumaßnahme und der Neuaufstellung des Kantinenkonzepts wird innerhalb des Unternehmens für eine bestmögliche Situation gesorgt, um Infektionen untereinander zu vermeiden.</w:t>
      </w:r>
    </w:p>
    <w:p w:rsidR="007606DD" w:rsidRDefault="007606DD">
      <w:pPr>
        <w:sectPr w:rsidR="007606DD">
          <w:footerReference w:type="default" r:id="rId15"/>
          <w:pgSz w:w="11909" w:h="16834"/>
          <w:pgMar w:top="1440" w:right="1440" w:bottom="1440" w:left="1440" w:header="720" w:footer="720" w:gutter="0"/>
          <w:pgNumType w:start="1"/>
          <w:cols w:space="720"/>
        </w:sectPr>
      </w:pPr>
    </w:p>
    <w:p w:rsidR="007606DD" w:rsidRDefault="007606DD" w:rsidP="007606DD">
      <w:pPr>
        <w:pStyle w:val="berschrift1"/>
      </w:pPr>
      <w:r>
        <w:lastRenderedPageBreak/>
        <w:t>Aufgabe 3.1)</w:t>
      </w:r>
    </w:p>
    <w:p w:rsidR="00263D85" w:rsidRDefault="00263D85" w:rsidP="00263D85">
      <w:r>
        <w:t>Wir entschieden uns keine Termin-Trend-Analyse durchzuführen, da durch die von uns verwendete Anzahl von darzustellenden Arbeitspaketen sehr unübersichtlich gewesen wäre und dadurch nur wenig Aussagekraft für den Projektverlauf gehabt hätte. Das lässt sich zum Beispiel darauf zurückführen, dass viele parallel ablaufende Arbeitspakete sich innerhalb des Diagramms überdecken würden.</w:t>
      </w:r>
      <w:r>
        <w:br/>
        <w:t>Durch die Verwendung von Meilensteinen, ist das zuvor gezeigte Diagramm deutlich übersichtlicher und verständlicher.</w:t>
      </w:r>
    </w:p>
    <w:p w:rsidR="000E652D" w:rsidRDefault="00263D85" w:rsidP="00263D85">
      <w:r>
        <w:t>Das besagte Diagramm zu der durchgeführten Meilenstein-Trend-Analyse folgt auf der nächsten Seite.</w:t>
      </w:r>
      <w:r w:rsidR="000E652D">
        <w:t xml:space="preserve"> </w:t>
      </w:r>
    </w:p>
    <w:p w:rsidR="000E652D" w:rsidRDefault="000E652D" w:rsidP="00263D85">
      <w:pPr>
        <w:sectPr w:rsidR="000E652D" w:rsidSect="00263D85">
          <w:footerReference w:type="default" r:id="rId16"/>
          <w:pgSz w:w="11909" w:h="16834"/>
          <w:pgMar w:top="1440" w:right="1440" w:bottom="1440" w:left="1440" w:header="720" w:footer="720" w:gutter="0"/>
          <w:pgNumType w:start="1"/>
          <w:cols w:space="720"/>
          <w:docGrid w:linePitch="299"/>
        </w:sectPr>
      </w:pPr>
      <w:r>
        <w:t>Das Diagramm bezieht sich dabei den in Kalenderwoche 23 durchgeführten Berichtstermin.</w:t>
      </w:r>
    </w:p>
    <w:p w:rsidR="00263D85" w:rsidRDefault="00263D85" w:rsidP="00263D85">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1171575</wp:posOffset>
                </wp:positionH>
                <wp:positionV relativeFrom="paragraph">
                  <wp:posOffset>663575</wp:posOffset>
                </wp:positionV>
                <wp:extent cx="7096125" cy="2714625"/>
                <wp:effectExtent l="57150" t="19050" r="85725" b="104775"/>
                <wp:wrapNone/>
                <wp:docPr id="10" name="Gleichschenkliges Dreieck 10"/>
                <wp:cNvGraphicFramePr/>
                <a:graphic xmlns:a="http://schemas.openxmlformats.org/drawingml/2006/main">
                  <a:graphicData uri="http://schemas.microsoft.com/office/word/2010/wordprocessingShape">
                    <wps:wsp>
                      <wps:cNvSpPr/>
                      <wps:spPr>
                        <a:xfrm>
                          <a:off x="0" y="0"/>
                          <a:ext cx="7096125" cy="2714625"/>
                        </a:xfrm>
                        <a:prstGeom prst="triangle">
                          <a:avLst>
                            <a:gd name="adj" fmla="val 99956"/>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1FD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0" o:spid="_x0000_s1026" type="#_x0000_t5" style="position:absolute;margin-left:92.25pt;margin-top:52.25pt;width:558.75pt;height:21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" adj="21590"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5986CDD9" wp14:editId="797536C6">
            <wp:extent cx="7905751" cy="4824414"/>
            <wp:effectExtent l="0" t="0" r="0" b="14605"/>
            <wp:docPr id="9" name="Diagramm 9">
              <a:extLst xmlns:a="http://schemas.openxmlformats.org/drawingml/2006/main">
                <a:ext uri="{FF2B5EF4-FFF2-40B4-BE49-F238E27FC236}">
                  <a16:creationId xmlns:a16="http://schemas.microsoft.com/office/drawing/2014/main" id="{773BFBBC-B9EE-469D-B49F-8D5828C77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63D85" w:rsidRDefault="00263D85" w:rsidP="00263D85">
      <w:pPr>
        <w:jc w:val="center"/>
      </w:pPr>
    </w:p>
    <w:p w:rsidR="007640F4" w:rsidRDefault="007640F4" w:rsidP="007640F4">
      <w:pPr>
        <w:pStyle w:val="berschrift1"/>
      </w:pPr>
      <w:r>
        <w:lastRenderedPageBreak/>
        <w:t>Aufgabe 3.2)</w:t>
      </w:r>
    </w:p>
    <w:p w:rsidR="007640F4" w:rsidRDefault="007640F4" w:rsidP="007640F4">
      <w:r>
        <w:t>Es folgt ein Diagramm, dass das Ergebnis einer durchgeführten Kosten-Trend-Analyse darstellt.</w:t>
      </w:r>
    </w:p>
    <w:p w:rsidR="007640F4" w:rsidRDefault="007640F4" w:rsidP="007640F4"/>
    <w:p w:rsidR="007640F4" w:rsidRDefault="007E10B1">
      <w:pPr>
        <w:sectPr w:rsidR="007640F4" w:rsidSect="007606DD">
          <w:footerReference w:type="default" r:id="rId18"/>
          <w:pgSz w:w="16834" w:h="11909" w:orient="landscape"/>
          <w:pgMar w:top="1440" w:right="1440" w:bottom="1440" w:left="1440" w:header="720" w:footer="720" w:gutter="0"/>
          <w:pgNumType w:start="1"/>
          <w:cols w:space="720"/>
          <w:docGrid w:linePitch="299"/>
        </w:sectPr>
      </w:pPr>
      <w:r>
        <w:rPr>
          <w:noProof/>
        </w:rPr>
        <w:drawing>
          <wp:inline distT="0" distB="0" distL="0" distR="0" wp14:anchorId="0CC801A0" wp14:editId="6BBD44F3">
            <wp:extent cx="8860790" cy="4289425"/>
            <wp:effectExtent l="0" t="0" r="16510" b="15875"/>
            <wp:docPr id="13" name="Diagramm 13">
              <a:extLst xmlns:a="http://schemas.openxmlformats.org/drawingml/2006/main">
                <a:ext uri="{FF2B5EF4-FFF2-40B4-BE49-F238E27FC236}">
                  <a16:creationId xmlns:a16="http://schemas.microsoft.com/office/drawing/2014/main" id="{02EE5009-78A8-46DC-93AA-2E3B4CEA4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640F4" w:rsidRDefault="007640F4" w:rsidP="007640F4">
      <w:pPr>
        <w:pStyle w:val="berschrift1"/>
      </w:pPr>
      <w:r>
        <w:lastRenderedPageBreak/>
        <w:t>Aufgabe 3.3)</w:t>
      </w:r>
    </w:p>
    <w:p w:rsidR="00D13670" w:rsidRDefault="00B23698">
      <w:r>
        <w:t>Es folgt eine tabellarische Auflistung der gewünschten und zusätzlich dafür benötigter relevanter Projektkennwerte.</w:t>
      </w:r>
      <w:r w:rsidR="00D13670">
        <w:t xml:space="preserve"> Dabei basieren die ermittelten Kennwerte auf einer Analyse, die innerhalb der Kalenderwoche 23 durchgeführt wurde.</w:t>
      </w:r>
    </w:p>
    <w:p w:rsidR="00D13670" w:rsidRDefault="00D13670"/>
    <w:tbl>
      <w:tblPr>
        <w:tblStyle w:val="Tabellenraster"/>
        <w:tblW w:w="0" w:type="auto"/>
        <w:tblLook w:val="04A0" w:firstRow="1" w:lastRow="0" w:firstColumn="1" w:lastColumn="0" w:noHBand="0" w:noVBand="1"/>
      </w:tblPr>
      <w:tblGrid>
        <w:gridCol w:w="4509"/>
        <w:gridCol w:w="4510"/>
      </w:tblGrid>
      <w:tr w:rsidR="00B23698" w:rsidTr="00B23698">
        <w:tc>
          <w:tcPr>
            <w:tcW w:w="4509" w:type="dxa"/>
          </w:tcPr>
          <w:p w:rsidR="00B23698" w:rsidRPr="00B23698" w:rsidRDefault="00B23698">
            <w:pPr>
              <w:rPr>
                <w:b/>
                <w:bCs/>
              </w:rPr>
            </w:pPr>
            <w:r w:rsidRPr="00B23698">
              <w:rPr>
                <w:b/>
                <w:bCs/>
              </w:rPr>
              <w:t>Kennwert</w:t>
            </w:r>
          </w:p>
        </w:tc>
        <w:tc>
          <w:tcPr>
            <w:tcW w:w="4510" w:type="dxa"/>
          </w:tcPr>
          <w:p w:rsidR="00B23698" w:rsidRPr="00B23698" w:rsidRDefault="00B23698" w:rsidP="00B23698">
            <w:pPr>
              <w:jc w:val="center"/>
              <w:rPr>
                <w:b/>
                <w:bCs/>
              </w:rPr>
            </w:pPr>
            <w:r w:rsidRPr="00B23698">
              <w:rPr>
                <w:b/>
                <w:bCs/>
              </w:rPr>
              <w:t>Berechnetes Ergebnis</w:t>
            </w:r>
          </w:p>
        </w:tc>
      </w:tr>
      <w:tr w:rsidR="00B23698" w:rsidTr="00B23698">
        <w:tc>
          <w:tcPr>
            <w:tcW w:w="4509" w:type="dxa"/>
          </w:tcPr>
          <w:p w:rsidR="00B23698" w:rsidRDefault="00B23698">
            <w:r>
              <w:t>Projektbudget (PGK)</w:t>
            </w:r>
          </w:p>
        </w:tc>
        <w:tc>
          <w:tcPr>
            <w:tcW w:w="4510" w:type="dxa"/>
          </w:tcPr>
          <w:p w:rsidR="00B23698" w:rsidRDefault="00B23698" w:rsidP="00B23698">
            <w:pPr>
              <w:jc w:val="center"/>
            </w:pPr>
            <w:r>
              <w:t>47.740,00 €</w:t>
            </w:r>
          </w:p>
        </w:tc>
      </w:tr>
      <w:tr w:rsidR="00B23698" w:rsidTr="00B23698">
        <w:tc>
          <w:tcPr>
            <w:tcW w:w="4509" w:type="dxa"/>
          </w:tcPr>
          <w:p w:rsidR="00B23698" w:rsidRDefault="00B23698">
            <w:r>
              <w:t>IST-Kosten (IK)</w:t>
            </w:r>
          </w:p>
        </w:tc>
        <w:tc>
          <w:tcPr>
            <w:tcW w:w="4510" w:type="dxa"/>
          </w:tcPr>
          <w:p w:rsidR="00B23698" w:rsidRDefault="00B23698" w:rsidP="00B23698">
            <w:pPr>
              <w:jc w:val="center"/>
            </w:pPr>
            <w:r>
              <w:t>49.120,00 €</w:t>
            </w:r>
          </w:p>
        </w:tc>
      </w:tr>
      <w:tr w:rsidR="00B23698" w:rsidTr="00B23698">
        <w:tc>
          <w:tcPr>
            <w:tcW w:w="4509" w:type="dxa"/>
          </w:tcPr>
          <w:p w:rsidR="00B23698" w:rsidRDefault="00B23698">
            <w:r>
              <w:t>Plankosten (PK)</w:t>
            </w:r>
          </w:p>
        </w:tc>
        <w:tc>
          <w:tcPr>
            <w:tcW w:w="4510" w:type="dxa"/>
          </w:tcPr>
          <w:p w:rsidR="00B23698" w:rsidRDefault="00B23698" w:rsidP="00B23698">
            <w:pPr>
              <w:jc w:val="center"/>
            </w:pPr>
            <w:r>
              <w:t>45.980,00 €</w:t>
            </w:r>
          </w:p>
        </w:tc>
      </w:tr>
      <w:tr w:rsidR="00B23698" w:rsidTr="00B23698">
        <w:tc>
          <w:tcPr>
            <w:tcW w:w="4509" w:type="dxa"/>
          </w:tcPr>
          <w:p w:rsidR="00B23698" w:rsidRDefault="00B23698">
            <w:r>
              <w:t>Fertigstellungsgrad (FGR)</w:t>
            </w:r>
          </w:p>
        </w:tc>
        <w:tc>
          <w:tcPr>
            <w:tcW w:w="4510" w:type="dxa"/>
          </w:tcPr>
          <w:p w:rsidR="00B23698" w:rsidRDefault="00B23698" w:rsidP="00B23698">
            <w:pPr>
              <w:jc w:val="center"/>
            </w:pPr>
            <w:r>
              <w:t>Planmäßig – 46%</w:t>
            </w:r>
          </w:p>
          <w:p w:rsidR="00B23698" w:rsidRDefault="00B23698" w:rsidP="00B23698">
            <w:pPr>
              <w:jc w:val="center"/>
            </w:pPr>
            <w:r>
              <w:t xml:space="preserve">IST-Zustand – </w:t>
            </w:r>
            <w:r w:rsidR="00D64954">
              <w:t>49</w:t>
            </w:r>
            <w:r>
              <w:t xml:space="preserve">% </w:t>
            </w:r>
          </w:p>
        </w:tc>
      </w:tr>
      <w:tr w:rsidR="00B23698" w:rsidTr="00B23698">
        <w:tc>
          <w:tcPr>
            <w:tcW w:w="4509" w:type="dxa"/>
          </w:tcPr>
          <w:p w:rsidR="00B23698" w:rsidRPr="00B23698" w:rsidRDefault="00B23698">
            <w:pPr>
              <w:rPr>
                <w:b/>
                <w:bCs/>
              </w:rPr>
            </w:pPr>
            <w:r w:rsidRPr="00B23698">
              <w:rPr>
                <w:b/>
                <w:bCs/>
              </w:rPr>
              <w:t>Fertigstellungswert (EV)</w:t>
            </w:r>
          </w:p>
        </w:tc>
        <w:tc>
          <w:tcPr>
            <w:tcW w:w="4510" w:type="dxa"/>
          </w:tcPr>
          <w:p w:rsidR="00B23698" w:rsidRPr="00D64954" w:rsidRDefault="00D64954" w:rsidP="00D64954">
            <w:pPr>
              <w:jc w:val="center"/>
              <w:rPr>
                <w:color w:val="000000"/>
              </w:rPr>
            </w:pPr>
            <w:r w:rsidRPr="00D64954">
              <w:rPr>
                <w:color w:val="000000"/>
              </w:rPr>
              <w:t>23.520,00 €</w:t>
            </w:r>
          </w:p>
        </w:tc>
      </w:tr>
      <w:tr w:rsidR="00B23698" w:rsidTr="00B23698">
        <w:tc>
          <w:tcPr>
            <w:tcW w:w="4509" w:type="dxa"/>
          </w:tcPr>
          <w:p w:rsidR="00B23698" w:rsidRPr="00B23698" w:rsidRDefault="00B23698">
            <w:pPr>
              <w:rPr>
                <w:b/>
                <w:bCs/>
              </w:rPr>
            </w:pPr>
            <w:r w:rsidRPr="00B23698">
              <w:rPr>
                <w:b/>
                <w:bCs/>
              </w:rPr>
              <w:t>Terminentwicklungsindex (SPI)</w:t>
            </w:r>
          </w:p>
        </w:tc>
        <w:tc>
          <w:tcPr>
            <w:tcW w:w="4510" w:type="dxa"/>
          </w:tcPr>
          <w:p w:rsidR="00B23698" w:rsidRDefault="00B23698" w:rsidP="00B23698">
            <w:pPr>
              <w:jc w:val="center"/>
            </w:pPr>
            <w:r>
              <w:t>0,</w:t>
            </w:r>
            <w:r w:rsidR="00D64954">
              <w:t>511</w:t>
            </w:r>
          </w:p>
        </w:tc>
      </w:tr>
      <w:tr w:rsidR="00B23698" w:rsidTr="00B23698">
        <w:tc>
          <w:tcPr>
            <w:tcW w:w="4509" w:type="dxa"/>
          </w:tcPr>
          <w:p w:rsidR="00B23698" w:rsidRPr="00B23698" w:rsidRDefault="00B23698">
            <w:pPr>
              <w:rPr>
                <w:b/>
                <w:bCs/>
              </w:rPr>
            </w:pPr>
            <w:r w:rsidRPr="00B23698">
              <w:rPr>
                <w:b/>
                <w:bCs/>
              </w:rPr>
              <w:t>Kostenentwicklungsindex (CPI)</w:t>
            </w:r>
          </w:p>
        </w:tc>
        <w:tc>
          <w:tcPr>
            <w:tcW w:w="4510" w:type="dxa"/>
          </w:tcPr>
          <w:p w:rsidR="00B23698" w:rsidRDefault="00B23698" w:rsidP="00B23698">
            <w:pPr>
              <w:jc w:val="center"/>
            </w:pPr>
            <w:r>
              <w:t>0,</w:t>
            </w:r>
            <w:r w:rsidR="00D64954">
              <w:t>478</w:t>
            </w:r>
          </w:p>
        </w:tc>
      </w:tr>
    </w:tbl>
    <w:p w:rsidR="00B23698" w:rsidRDefault="00B23698"/>
    <w:p w:rsidR="00D13670" w:rsidRDefault="00D13670" w:rsidP="00D13670">
      <w:r>
        <w:t>Das Projektbudget konnte aus der Kostenplanung des Projekts entnommen werden.</w:t>
      </w:r>
    </w:p>
    <w:p w:rsidR="00D13670" w:rsidRDefault="00D13670" w:rsidP="00D13670"/>
    <w:p w:rsidR="00D13670" w:rsidRDefault="00D13670" w:rsidP="00D13670">
      <w:r>
        <w:t>Die IST-Kosten ergaben sich aus der Summe, der angefallenen Kosten von bereits begonnen oder durchgeführten Teilaufgaben.</w:t>
      </w:r>
    </w:p>
    <w:p w:rsidR="00D13670" w:rsidRDefault="00D13670" w:rsidP="00D13670"/>
    <w:p w:rsidR="00D64954" w:rsidRDefault="00D64954" w:rsidP="00D13670">
      <w:r>
        <w:t xml:space="preserve">Der Fertigstellungsgrad wurde anhand der 50/50-Methode berechnet, </w:t>
      </w:r>
      <w:r w:rsidR="00215110">
        <w:t>auf der Folgeseite</w:t>
      </w:r>
      <w:r>
        <w:t xml:space="preserve"> befindet sich die dafür verwendete Tabelle.</w:t>
      </w:r>
      <w:r>
        <w:br/>
        <w:t>Dadurch ließ sich ein aktueller Fertigstellungsgrad von 49% ermitteln, bei einem Berichtstermin, der zu Beginn von KW 23 durchgeführt wurde.</w:t>
      </w:r>
      <w:r>
        <w:br/>
      </w:r>
      <w:proofErr w:type="gramStart"/>
      <w:r>
        <w:t>Planmäßig</w:t>
      </w:r>
      <w:proofErr w:type="gramEnd"/>
      <w:r>
        <w:t xml:space="preserve"> sollten wir zu diesem Zeitpunkt allerdings erst einen Fertigstellungsgrad von 46% erreicht haben. Der planmäßige Fertigstellungsgrad ergab sich aus Kalkulation des genutzten Planungsprogramms </w:t>
      </w:r>
      <w:proofErr w:type="spellStart"/>
      <w:r w:rsidRPr="00215110">
        <w:rPr>
          <w:i/>
          <w:iCs/>
        </w:rPr>
        <w:t>ProjectLibre</w:t>
      </w:r>
      <w:proofErr w:type="spellEnd"/>
      <w:r>
        <w:t xml:space="preserve">, bei welchem wir angegeben konnten, wie weit die Bearbeitung einzelner Arbeitspakete zu einem beliebigen Zeitpunkt bereits fortgeschritten ist. </w:t>
      </w:r>
      <w:r>
        <w:br/>
        <w:t xml:space="preserve">Im Zuge der Durchführung der 50/50-Methode ergab sich für das Projekt ein Fertigstellungswert von 23.520,00 €. </w:t>
      </w:r>
      <w:r>
        <w:br/>
        <w:t>Anhand der zuvor ermittelten Kennwerte konnte für den Terminentwicklungsindex ein Ergebnis von 0,511 und für den Kostenentwicklungsindex ein Ergebnis von 0,478 berechnet werden.</w:t>
      </w:r>
      <w:r>
        <w:br/>
        <w:t xml:space="preserve">Das lässt den Schluss zu, dass unser Projekt </w:t>
      </w:r>
      <w:r w:rsidR="00215110">
        <w:t>zu dem Zeitpunkt des Berichtstermins bereits langsamer und teurer verläuft als geplant.</w:t>
      </w:r>
    </w:p>
    <w:p w:rsidR="00215110" w:rsidRDefault="00215110" w:rsidP="00D13670">
      <w:pPr>
        <w:sectPr w:rsidR="00215110" w:rsidSect="007640F4">
          <w:footerReference w:type="default" r:id="rId20"/>
          <w:pgSz w:w="11909" w:h="16834"/>
          <w:pgMar w:top="1440" w:right="1440" w:bottom="1440" w:left="1440" w:header="720" w:footer="720" w:gutter="0"/>
          <w:pgNumType w:start="1"/>
          <w:cols w:space="720"/>
          <w:docGrid w:linePitch="299"/>
        </w:sectPr>
      </w:pPr>
      <w:r>
        <w:t xml:space="preserve">Die Diskrepanz zwischen diesem Rückschluss und den dagegensprechenden Fertigstellungsgraden lässt sich dadurch begründen, dass die 50/50-Methode ungenauere Ergebnisse liefert, als die von uns zuvor durchgeführte Projektbetrachtung im Rahmen von </w:t>
      </w:r>
      <w:proofErr w:type="spellStart"/>
      <w:r w:rsidRPr="00215110">
        <w:rPr>
          <w:i/>
          <w:iCs/>
        </w:rPr>
        <w:t>ProjectLibre</w:t>
      </w:r>
      <w:proofErr w:type="spellEnd"/>
      <w:r>
        <w:t>.</w:t>
      </w:r>
    </w:p>
    <w:tbl>
      <w:tblPr>
        <w:tblpPr w:leftFromText="141" w:rightFromText="141" w:vertAnchor="text" w:horzAnchor="margin" w:tblpY="-164"/>
        <w:tblW w:w="14060" w:type="dxa"/>
        <w:tblCellMar>
          <w:left w:w="70" w:type="dxa"/>
          <w:right w:w="70" w:type="dxa"/>
        </w:tblCellMar>
        <w:tblLook w:val="04A0" w:firstRow="1" w:lastRow="0" w:firstColumn="1" w:lastColumn="0" w:noHBand="0" w:noVBand="1"/>
      </w:tblPr>
      <w:tblGrid>
        <w:gridCol w:w="1780"/>
        <w:gridCol w:w="7240"/>
        <w:gridCol w:w="1380"/>
        <w:gridCol w:w="1300"/>
        <w:gridCol w:w="1000"/>
        <w:gridCol w:w="1360"/>
      </w:tblGrid>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rsidR="0039279C" w:rsidRPr="0039279C" w:rsidRDefault="0039279C" w:rsidP="0039279C">
            <w:pPr>
              <w:spacing w:line="240" w:lineRule="auto"/>
              <w:rPr>
                <w:rFonts w:ascii="Calibri" w:eastAsia="Times New Roman" w:hAnsi="Calibri" w:cs="Calibri"/>
                <w:b/>
                <w:bCs/>
                <w:color w:val="FFFFFF"/>
                <w:lang w:val="de-DE"/>
              </w:rPr>
            </w:pPr>
            <w:r w:rsidRPr="0039279C">
              <w:rPr>
                <w:rFonts w:ascii="Calibri" w:eastAsia="Times New Roman" w:hAnsi="Calibri" w:cs="Calibri"/>
                <w:b/>
                <w:bCs/>
                <w:color w:val="FFFFFF"/>
                <w:lang w:val="de-DE"/>
              </w:rPr>
              <w:lastRenderedPageBreak/>
              <w:t>Arbeitspaket-ID</w:t>
            </w:r>
          </w:p>
        </w:tc>
        <w:tc>
          <w:tcPr>
            <w:tcW w:w="724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39279C">
            <w:pPr>
              <w:spacing w:line="240" w:lineRule="auto"/>
              <w:rPr>
                <w:rFonts w:ascii="Calibri" w:eastAsia="Times New Roman" w:hAnsi="Calibri" w:cs="Calibri"/>
                <w:b/>
                <w:bCs/>
                <w:color w:val="FFFFFF"/>
                <w:lang w:val="de-DE"/>
              </w:rPr>
            </w:pPr>
            <w:r w:rsidRPr="0039279C">
              <w:rPr>
                <w:rFonts w:ascii="Calibri" w:eastAsia="Times New Roman" w:hAnsi="Calibri" w:cs="Calibri"/>
                <w:b/>
                <w:bCs/>
                <w:color w:val="FFFFFF"/>
                <w:lang w:val="de-DE"/>
              </w:rPr>
              <w:t>Arbeitspaket</w:t>
            </w:r>
          </w:p>
        </w:tc>
        <w:tc>
          <w:tcPr>
            <w:tcW w:w="138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PV</w:t>
            </w:r>
          </w:p>
        </w:tc>
        <w:tc>
          <w:tcPr>
            <w:tcW w:w="130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AC</w:t>
            </w:r>
          </w:p>
        </w:tc>
        <w:tc>
          <w:tcPr>
            <w:tcW w:w="1000" w:type="dxa"/>
            <w:tcBorders>
              <w:top w:val="single" w:sz="4" w:space="0" w:color="8EA9DB"/>
              <w:left w:val="nil"/>
              <w:bottom w:val="single" w:sz="4" w:space="0" w:color="8EA9DB"/>
              <w:right w:val="nil"/>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PC</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rsidR="0039279C" w:rsidRPr="0039279C" w:rsidRDefault="0039279C" w:rsidP="007074AF">
            <w:pPr>
              <w:spacing w:line="240" w:lineRule="auto"/>
              <w:jc w:val="center"/>
              <w:rPr>
                <w:rFonts w:ascii="Calibri" w:eastAsia="Times New Roman" w:hAnsi="Calibri" w:cs="Calibri"/>
                <w:b/>
                <w:bCs/>
                <w:color w:val="FFFFFF"/>
                <w:lang w:val="de-DE"/>
              </w:rPr>
            </w:pPr>
            <w:r w:rsidRPr="0039279C">
              <w:rPr>
                <w:rFonts w:ascii="Calibri" w:eastAsia="Times New Roman" w:hAnsi="Calibri" w:cs="Calibri"/>
                <w:b/>
                <w:bCs/>
                <w:color w:val="FFFFFF"/>
                <w:lang w:val="de-DE"/>
              </w:rPr>
              <w:t>EV</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Mitarbeiter über den Projektbeginn und zeitnahe Maßnahmen informieren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Risikomitarbeiter identifizieren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Personalbefragung durchführen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1.2.1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Umzusetzende Maßnahmen recherchieren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1.3.1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Software-Lizenzbedarf überprüfen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1.3.2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Anzahl an mobilen Geräten überprüfen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1.4.1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Maximales Projekt-Budget identifizieren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ob Kunden speziellen Gesprächsbedarf haben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480,00 €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Mitarbeiterbüros umbauen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640,00 €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Desinfektionsmittel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6.000,00 €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2.1.3</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Desinfektionsmittel bereitstellen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2.1.4</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Einweg-Mundschutzmasken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3.000,00 €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3.900,00 €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2.1.5</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Einweg-Mundschutzmasken bereitstellen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2.1.6</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Kantinenkonzept erstellen: Essen nur noch mitnehmen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Regelmäßigen Informationstermin koordinieren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2.3.1</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Notebooks kaufen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15.220,00 €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17.040,00 €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7.610,00 €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2.3.2</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Notebooks vorbereiten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660,00 €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2.3.3</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Ausgabe mobile Geräte</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1.100,00 €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2.3.4</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Ausgabe dokumentieren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440,00 €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2.3.5</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VPN-Zugänge einrichten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2.3.6</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Weitere VPN-Lizenzen erwerben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7.500,00 €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8.000,00 €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3.750,00 €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2.3.7</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Breitbandanbindung verbessern</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2.000,00 €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2.3.8</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Erwerb eines Kommunikationsprogramms</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5.000,00 €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50%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2.500,00 €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2.3.9</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Vorstellung des neuen Kommunikationsprogramms</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880,00 €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2.4.1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der Notwendigkeit von staatlichen Krediten</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2.4.2</w:t>
            </w: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Überprüfen, ob Kurzarbeitergeld eingeführt werden sollte</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100%</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320,00 €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rsidR="0039279C" w:rsidRPr="0039279C" w:rsidRDefault="0039279C" w:rsidP="0039279C">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3.1</w:t>
            </w:r>
          </w:p>
        </w:tc>
        <w:tc>
          <w:tcPr>
            <w:tcW w:w="724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Analyse Weiterführung von Homeoffice</w:t>
            </w:r>
          </w:p>
        </w:tc>
        <w:tc>
          <w:tcPr>
            <w:tcW w:w="138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1.600,00 €</w:t>
            </w:r>
          </w:p>
        </w:tc>
        <w:tc>
          <w:tcPr>
            <w:tcW w:w="13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c>
          <w:tcPr>
            <w:tcW w:w="1000" w:type="dxa"/>
            <w:tcBorders>
              <w:top w:val="single" w:sz="4" w:space="0" w:color="8EA9DB"/>
              <w:left w:val="nil"/>
              <w:bottom w:val="single" w:sz="4" w:space="0" w:color="8EA9DB"/>
              <w:right w:val="nil"/>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w:t>
            </w:r>
          </w:p>
        </w:tc>
        <w:tc>
          <w:tcPr>
            <w:tcW w:w="1360" w:type="dxa"/>
            <w:tcBorders>
              <w:top w:val="single" w:sz="4" w:space="0" w:color="8EA9DB"/>
              <w:left w:val="nil"/>
              <w:bottom w:val="single" w:sz="4" w:space="0" w:color="8EA9DB"/>
              <w:right w:val="single" w:sz="4" w:space="0" w:color="8EA9DB"/>
            </w:tcBorders>
            <w:shd w:val="clear" w:color="D9E1F2" w:fill="D9E1F2"/>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0,00 €</w:t>
            </w:r>
          </w:p>
        </w:tc>
      </w:tr>
      <w:tr w:rsidR="0039279C" w:rsidRPr="0039279C" w:rsidTr="0039279C">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rsidR="0039279C" w:rsidRPr="0039279C" w:rsidRDefault="0039279C" w:rsidP="0039279C">
            <w:pPr>
              <w:spacing w:line="240" w:lineRule="auto"/>
              <w:jc w:val="right"/>
              <w:rPr>
                <w:rFonts w:ascii="Calibri" w:eastAsia="Times New Roman" w:hAnsi="Calibri" w:cs="Calibri"/>
                <w:color w:val="000000"/>
                <w:lang w:val="de-DE"/>
              </w:rPr>
            </w:pPr>
          </w:p>
        </w:tc>
        <w:tc>
          <w:tcPr>
            <w:tcW w:w="724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39279C">
            <w:pPr>
              <w:spacing w:line="240" w:lineRule="auto"/>
              <w:rPr>
                <w:rFonts w:ascii="Calibri" w:eastAsia="Times New Roman" w:hAnsi="Calibri" w:cs="Calibri"/>
                <w:color w:val="000000"/>
                <w:lang w:val="de-DE"/>
              </w:rPr>
            </w:pPr>
            <w:r w:rsidRPr="0039279C">
              <w:rPr>
                <w:rFonts w:ascii="Calibri" w:eastAsia="Times New Roman" w:hAnsi="Calibri" w:cs="Calibri"/>
                <w:color w:val="000000"/>
                <w:lang w:val="de-DE"/>
              </w:rPr>
              <w:t>Gesamt</w:t>
            </w:r>
          </w:p>
        </w:tc>
        <w:tc>
          <w:tcPr>
            <w:tcW w:w="138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47.740,00 €</w:t>
            </w:r>
          </w:p>
        </w:tc>
        <w:tc>
          <w:tcPr>
            <w:tcW w:w="13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46.580,00 €</w:t>
            </w:r>
          </w:p>
        </w:tc>
        <w:tc>
          <w:tcPr>
            <w:tcW w:w="1000" w:type="dxa"/>
            <w:tcBorders>
              <w:top w:val="single" w:sz="4" w:space="0" w:color="8EA9DB"/>
              <w:left w:val="nil"/>
              <w:bottom w:val="single" w:sz="4" w:space="0" w:color="8EA9DB"/>
              <w:right w:val="nil"/>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49%</w:t>
            </w:r>
          </w:p>
        </w:tc>
        <w:tc>
          <w:tcPr>
            <w:tcW w:w="1360" w:type="dxa"/>
            <w:tcBorders>
              <w:top w:val="single" w:sz="4" w:space="0" w:color="8EA9DB"/>
              <w:left w:val="nil"/>
              <w:bottom w:val="single" w:sz="4" w:space="0" w:color="8EA9DB"/>
              <w:right w:val="single" w:sz="4" w:space="0" w:color="8EA9DB"/>
            </w:tcBorders>
            <w:shd w:val="clear" w:color="auto" w:fill="auto"/>
            <w:noWrap/>
            <w:vAlign w:val="bottom"/>
            <w:hideMark/>
          </w:tcPr>
          <w:p w:rsidR="0039279C" w:rsidRPr="0039279C" w:rsidRDefault="0039279C" w:rsidP="007074AF">
            <w:pPr>
              <w:spacing w:line="240" w:lineRule="auto"/>
              <w:jc w:val="center"/>
              <w:rPr>
                <w:rFonts w:ascii="Calibri" w:eastAsia="Times New Roman" w:hAnsi="Calibri" w:cs="Calibri"/>
                <w:color w:val="000000"/>
                <w:lang w:val="de-DE"/>
              </w:rPr>
            </w:pPr>
            <w:r w:rsidRPr="0039279C">
              <w:rPr>
                <w:rFonts w:ascii="Calibri" w:eastAsia="Times New Roman" w:hAnsi="Calibri" w:cs="Calibri"/>
                <w:color w:val="000000"/>
                <w:lang w:val="de-DE"/>
              </w:rPr>
              <w:t>23.520,00 €</w:t>
            </w:r>
          </w:p>
        </w:tc>
      </w:tr>
    </w:tbl>
    <w:p w:rsidR="0039279C" w:rsidRPr="0039279C" w:rsidRDefault="0039279C" w:rsidP="0039279C">
      <w:pPr>
        <w:tabs>
          <w:tab w:val="left" w:pos="990"/>
        </w:tabs>
        <w:sectPr w:rsidR="0039279C" w:rsidRPr="0039279C" w:rsidSect="00215110">
          <w:footerReference w:type="default" r:id="rId21"/>
          <w:pgSz w:w="16834" w:h="11909" w:orient="landscape"/>
          <w:pgMar w:top="1440" w:right="1440" w:bottom="1440" w:left="1440" w:header="720" w:footer="720" w:gutter="0"/>
          <w:pgNumType w:start="1"/>
          <w:cols w:space="720"/>
          <w:docGrid w:linePitch="299"/>
        </w:sectPr>
      </w:pPr>
      <w:bookmarkStart w:id="16" w:name="_GoBack"/>
      <w:bookmarkEnd w:id="16"/>
    </w:p>
    <w:p w:rsidR="00215110" w:rsidRPr="00215110" w:rsidRDefault="00215110" w:rsidP="00215110">
      <w:pPr>
        <w:pStyle w:val="berschrift2"/>
        <w:rPr>
          <w:sz w:val="40"/>
          <w:szCs w:val="40"/>
        </w:rPr>
      </w:pPr>
      <w:r w:rsidRPr="00215110">
        <w:rPr>
          <w:sz w:val="40"/>
          <w:szCs w:val="40"/>
        </w:rPr>
        <w:lastRenderedPageBreak/>
        <w:t>Aufgabe 3.4)</w:t>
      </w:r>
    </w:p>
    <w:p w:rsidR="00215110" w:rsidRDefault="00215110" w:rsidP="00D13670">
      <w:pPr>
        <w:rPr>
          <w:sz w:val="24"/>
          <w:szCs w:val="24"/>
        </w:rPr>
      </w:pPr>
      <w:r>
        <w:rPr>
          <w:sz w:val="24"/>
          <w:szCs w:val="24"/>
        </w:rPr>
        <w:t>Wir entschieden uns für die Verwendung der Planerfüllungs-Prognose für die Prognose der Projektgesamtkosten.</w:t>
      </w:r>
    </w:p>
    <w:p w:rsidR="0039279C" w:rsidRDefault="00215110" w:rsidP="00D13670">
      <w:pPr>
        <w:rPr>
          <w:sz w:val="24"/>
          <w:szCs w:val="24"/>
        </w:rPr>
      </w:pPr>
      <w:r>
        <w:rPr>
          <w:sz w:val="24"/>
          <w:szCs w:val="24"/>
        </w:rPr>
        <w:t>Dabei gehen wir davon aus, dass wir einen Ausgleich der aktuellen Abweichungen erzielen können und die planmäßige Erfüllung des Projekts erreicht werden kann.</w:t>
      </w:r>
      <w:r>
        <w:rPr>
          <w:sz w:val="24"/>
          <w:szCs w:val="24"/>
        </w:rPr>
        <w:br/>
        <w:t xml:space="preserve">Somit entspricht die Prognose unserer Projektgesamtkosten, den bereits zuvor ermittelten Projektgesamtkosten von 47.740,00 €. </w:t>
      </w:r>
    </w:p>
    <w:p w:rsidR="0039279C" w:rsidRDefault="0039279C" w:rsidP="00D13670">
      <w:pPr>
        <w:rPr>
          <w:sz w:val="24"/>
          <w:szCs w:val="24"/>
        </w:rPr>
      </w:pPr>
    </w:p>
    <w:p w:rsidR="0039279C" w:rsidRPr="00215110" w:rsidRDefault="0039279C" w:rsidP="00D13670">
      <w:pPr>
        <w:rPr>
          <w:sz w:val="24"/>
          <w:szCs w:val="24"/>
        </w:rPr>
      </w:pPr>
      <w:r>
        <w:rPr>
          <w:sz w:val="24"/>
          <w:szCs w:val="24"/>
        </w:rPr>
        <w:t>Andere Prognosen wie das lineare- und additive Verfahren wurden von uns abgelehnt, da wir bereits zu Beginn des Projekts verhältnismäßig große Ausgaben bzw. Kostenpunkte hatten und im späteren Verlauf des Projekts nur noch weitaus geringere Projektkosten anfallen. Dadurch würden diese Verfahren, keine aussagekräftigen Ergebnisse für den weiteren Projektverlauf liefern können.</w:t>
      </w:r>
    </w:p>
    <w:sectPr w:rsidR="0039279C" w:rsidRPr="00215110" w:rsidSect="00215110">
      <w:footerReference w:type="default" r:id="rId22"/>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E23" w:rsidRDefault="00852E23" w:rsidP="0039671B">
      <w:pPr>
        <w:spacing w:line="240" w:lineRule="auto"/>
      </w:pPr>
      <w:r>
        <w:separator/>
      </w:r>
    </w:p>
  </w:endnote>
  <w:endnote w:type="continuationSeparator" w:id="0">
    <w:p w:rsidR="00852E23" w:rsidRDefault="00852E23" w:rsidP="00396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0F4" w:rsidRDefault="007640F4">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10" w:rsidRDefault="00215110">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110" w:rsidRDefault="002151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E23" w:rsidRDefault="00852E23" w:rsidP="0039671B">
      <w:pPr>
        <w:spacing w:line="240" w:lineRule="auto"/>
      </w:pPr>
      <w:r>
        <w:separator/>
      </w:r>
    </w:p>
  </w:footnote>
  <w:footnote w:type="continuationSeparator" w:id="0">
    <w:p w:rsidR="00852E23" w:rsidRDefault="00852E23" w:rsidP="003967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E0A"/>
    <w:multiLevelType w:val="multilevel"/>
    <w:tmpl w:val="C93E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C5B53"/>
    <w:multiLevelType w:val="multilevel"/>
    <w:tmpl w:val="99980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3403E"/>
    <w:multiLevelType w:val="hybridMultilevel"/>
    <w:tmpl w:val="7CBA8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6B699F"/>
    <w:multiLevelType w:val="multilevel"/>
    <w:tmpl w:val="75A81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E25671"/>
    <w:multiLevelType w:val="multilevel"/>
    <w:tmpl w:val="DC6A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74"/>
    <w:rsid w:val="000E652D"/>
    <w:rsid w:val="00215110"/>
    <w:rsid w:val="00263D85"/>
    <w:rsid w:val="002F7448"/>
    <w:rsid w:val="0031232D"/>
    <w:rsid w:val="00384D7D"/>
    <w:rsid w:val="0039279C"/>
    <w:rsid w:val="0039671B"/>
    <w:rsid w:val="007074AF"/>
    <w:rsid w:val="007606DD"/>
    <w:rsid w:val="007640F4"/>
    <w:rsid w:val="007E10B1"/>
    <w:rsid w:val="00852E23"/>
    <w:rsid w:val="00884838"/>
    <w:rsid w:val="00932116"/>
    <w:rsid w:val="00A068F1"/>
    <w:rsid w:val="00B23698"/>
    <w:rsid w:val="00C76289"/>
    <w:rsid w:val="00D13670"/>
    <w:rsid w:val="00D36474"/>
    <w:rsid w:val="00D37FDC"/>
    <w:rsid w:val="00D64954"/>
    <w:rsid w:val="00F61C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5AB"/>
  <w15:docId w15:val="{5FD8C394-A3CD-4F2E-B830-C69DB71F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39671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671B"/>
  </w:style>
  <w:style w:type="paragraph" w:styleId="Fuzeile">
    <w:name w:val="footer"/>
    <w:basedOn w:val="Standard"/>
    <w:link w:val="FuzeileZchn"/>
    <w:uiPriority w:val="99"/>
    <w:unhideWhenUsed/>
    <w:rsid w:val="0039671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671B"/>
  </w:style>
  <w:style w:type="table" w:styleId="Tabellenraster">
    <w:name w:val="Table Grid"/>
    <w:basedOn w:val="NormaleTabelle"/>
    <w:uiPriority w:val="39"/>
    <w:rsid w:val="00B23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1882">
      <w:bodyDiv w:val="1"/>
      <w:marLeft w:val="0"/>
      <w:marRight w:val="0"/>
      <w:marTop w:val="0"/>
      <w:marBottom w:val="0"/>
      <w:divBdr>
        <w:top w:val="none" w:sz="0" w:space="0" w:color="auto"/>
        <w:left w:val="none" w:sz="0" w:space="0" w:color="auto"/>
        <w:bottom w:val="none" w:sz="0" w:space="0" w:color="auto"/>
        <w:right w:val="none" w:sz="0" w:space="0" w:color="auto"/>
      </w:divBdr>
    </w:div>
    <w:div w:id="203569281">
      <w:bodyDiv w:val="1"/>
      <w:marLeft w:val="0"/>
      <w:marRight w:val="0"/>
      <w:marTop w:val="0"/>
      <w:marBottom w:val="0"/>
      <w:divBdr>
        <w:top w:val="none" w:sz="0" w:space="0" w:color="auto"/>
        <w:left w:val="none" w:sz="0" w:space="0" w:color="auto"/>
        <w:bottom w:val="none" w:sz="0" w:space="0" w:color="auto"/>
        <w:right w:val="none" w:sz="0" w:space="0" w:color="auto"/>
      </w:divBdr>
    </w:div>
    <w:div w:id="610673437">
      <w:bodyDiv w:val="1"/>
      <w:marLeft w:val="0"/>
      <w:marRight w:val="0"/>
      <w:marTop w:val="0"/>
      <w:marBottom w:val="0"/>
      <w:divBdr>
        <w:top w:val="none" w:sz="0" w:space="0" w:color="auto"/>
        <w:left w:val="none" w:sz="0" w:space="0" w:color="auto"/>
        <w:bottom w:val="none" w:sz="0" w:space="0" w:color="auto"/>
        <w:right w:val="none" w:sz="0" w:space="0" w:color="auto"/>
      </w:divBdr>
    </w:div>
    <w:div w:id="1310130753">
      <w:bodyDiv w:val="1"/>
      <w:marLeft w:val="0"/>
      <w:marRight w:val="0"/>
      <w:marTop w:val="0"/>
      <w:marBottom w:val="0"/>
      <w:divBdr>
        <w:top w:val="none" w:sz="0" w:space="0" w:color="auto"/>
        <w:left w:val="none" w:sz="0" w:space="0" w:color="auto"/>
        <w:bottom w:val="none" w:sz="0" w:space="0" w:color="auto"/>
        <w:right w:val="none" w:sz="0" w:space="0" w:color="auto"/>
      </w:divBdr>
    </w:div>
    <w:div w:id="1424836717">
      <w:bodyDiv w:val="1"/>
      <w:marLeft w:val="0"/>
      <w:marRight w:val="0"/>
      <w:marTop w:val="0"/>
      <w:marBottom w:val="0"/>
      <w:divBdr>
        <w:top w:val="none" w:sz="0" w:space="0" w:color="auto"/>
        <w:left w:val="none" w:sz="0" w:space="0" w:color="auto"/>
        <w:bottom w:val="none" w:sz="0" w:space="0" w:color="auto"/>
        <w:right w:val="none" w:sz="0" w:space="0" w:color="auto"/>
      </w:divBdr>
    </w:div>
    <w:div w:id="1609048325">
      <w:bodyDiv w:val="1"/>
      <w:marLeft w:val="0"/>
      <w:marRight w:val="0"/>
      <w:marTop w:val="0"/>
      <w:marBottom w:val="0"/>
      <w:divBdr>
        <w:top w:val="none" w:sz="0" w:space="0" w:color="auto"/>
        <w:left w:val="none" w:sz="0" w:space="0" w:color="auto"/>
        <w:bottom w:val="none" w:sz="0" w:space="0" w:color="auto"/>
        <w:right w:val="none" w:sz="0" w:space="0" w:color="auto"/>
      </w:divBdr>
    </w:div>
    <w:div w:id="208105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Meilenstein-Trend-Analyse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Meilenstein!$A$2</c:f>
              <c:strCache>
                <c:ptCount val="1"/>
                <c:pt idx="0">
                  <c:v>Umzusetzende Maßnahmen recherchieren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Meilenstein!$B$2:$I$2</c:f>
              <c:numCache>
                <c:formatCode>General</c:formatCode>
                <c:ptCount val="8"/>
                <c:pt idx="0">
                  <c:v>21</c:v>
                </c:pt>
                <c:pt idx="1">
                  <c:v>22</c:v>
                </c:pt>
              </c:numCache>
            </c:numRef>
          </c:val>
          <c:smooth val="0"/>
          <c:extLst>
            <c:ext xmlns:c16="http://schemas.microsoft.com/office/drawing/2014/chart" uri="{C3380CC4-5D6E-409C-BE32-E72D297353CC}">
              <c16:uniqueId val="{00000000-EFC9-4A8B-9EEA-A35EB103B5BA}"/>
            </c:ext>
          </c:extLst>
        </c:ser>
        <c:ser>
          <c:idx val="1"/>
          <c:order val="1"/>
          <c:tx>
            <c:strRef>
              <c:f>Meilenstein!$A$3</c:f>
              <c:strCache>
                <c:ptCount val="1"/>
                <c:pt idx="0">
                  <c:v>Wer soll ins Homeoffice?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Meilenstein!$B$3:$I$3</c:f>
              <c:numCache>
                <c:formatCode>General</c:formatCode>
                <c:ptCount val="8"/>
                <c:pt idx="0">
                  <c:v>22</c:v>
                </c:pt>
                <c:pt idx="1">
                  <c:v>23</c:v>
                </c:pt>
                <c:pt idx="2">
                  <c:v>23</c:v>
                </c:pt>
              </c:numCache>
            </c:numRef>
          </c:val>
          <c:smooth val="0"/>
          <c:extLst>
            <c:ext xmlns:c16="http://schemas.microsoft.com/office/drawing/2014/chart" uri="{C3380CC4-5D6E-409C-BE32-E72D297353CC}">
              <c16:uniqueId val="{00000001-EFC9-4A8B-9EEA-A35EB103B5BA}"/>
            </c:ext>
          </c:extLst>
        </c:ser>
        <c:ser>
          <c:idx val="2"/>
          <c:order val="2"/>
          <c:tx>
            <c:strRef>
              <c:f>Meilenstein!$A$4</c:f>
              <c:strCache>
                <c:ptCount val="1"/>
                <c:pt idx="0">
                  <c:v>Mitarbeiterbüros umbauen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Meilenstein!$B$4:$I$4</c:f>
              <c:numCache>
                <c:formatCode>General</c:formatCode>
                <c:ptCount val="8"/>
                <c:pt idx="0">
                  <c:v>22</c:v>
                </c:pt>
                <c:pt idx="1">
                  <c:v>23</c:v>
                </c:pt>
              </c:numCache>
            </c:numRef>
          </c:val>
          <c:smooth val="0"/>
          <c:extLst>
            <c:ext xmlns:c16="http://schemas.microsoft.com/office/drawing/2014/chart" uri="{C3380CC4-5D6E-409C-BE32-E72D297353CC}">
              <c16:uniqueId val="{00000002-EFC9-4A8B-9EEA-A35EB103B5BA}"/>
            </c:ext>
          </c:extLst>
        </c:ser>
        <c:ser>
          <c:idx val="3"/>
          <c:order val="3"/>
          <c:tx>
            <c:strRef>
              <c:f>Meilenstein!$A$5</c:f>
              <c:strCache>
                <c:ptCount val="1"/>
                <c:pt idx="0">
                  <c:v>Desinfektionsmittel kaufen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Meilenstein!$B$5:$I$5</c:f>
              <c:numCache>
                <c:formatCode>General</c:formatCode>
                <c:ptCount val="8"/>
                <c:pt idx="0">
                  <c:v>25</c:v>
                </c:pt>
                <c:pt idx="1">
                  <c:v>25</c:v>
                </c:pt>
                <c:pt idx="2">
                  <c:v>24</c:v>
                </c:pt>
                <c:pt idx="3">
                  <c:v>24</c:v>
                </c:pt>
              </c:numCache>
            </c:numRef>
          </c:val>
          <c:smooth val="0"/>
          <c:extLst>
            <c:ext xmlns:c16="http://schemas.microsoft.com/office/drawing/2014/chart" uri="{C3380CC4-5D6E-409C-BE32-E72D297353CC}">
              <c16:uniqueId val="{00000003-EFC9-4A8B-9EEA-A35EB103B5BA}"/>
            </c:ext>
          </c:extLst>
        </c:ser>
        <c:ser>
          <c:idx val="4"/>
          <c:order val="4"/>
          <c:tx>
            <c:strRef>
              <c:f>Meilenstein!$A$6</c:f>
              <c:strCache>
                <c:ptCount val="1"/>
                <c:pt idx="0">
                  <c:v>Notebooks vorbereiten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Meilenstein!$B$6:$I$6</c:f>
              <c:numCache>
                <c:formatCode>General</c:formatCode>
                <c:ptCount val="8"/>
                <c:pt idx="0">
                  <c:v>25</c:v>
                </c:pt>
                <c:pt idx="1">
                  <c:v>26</c:v>
                </c:pt>
                <c:pt idx="2">
                  <c:v>27</c:v>
                </c:pt>
                <c:pt idx="3">
                  <c:v>27</c:v>
                </c:pt>
                <c:pt idx="4">
                  <c:v>27</c:v>
                </c:pt>
                <c:pt idx="5">
                  <c:v>27</c:v>
                </c:pt>
                <c:pt idx="6">
                  <c:v>27</c:v>
                </c:pt>
              </c:numCache>
            </c:numRef>
          </c:val>
          <c:smooth val="0"/>
          <c:extLst>
            <c:ext xmlns:c16="http://schemas.microsoft.com/office/drawing/2014/chart" uri="{C3380CC4-5D6E-409C-BE32-E72D297353CC}">
              <c16:uniqueId val="{00000004-EFC9-4A8B-9EEA-A35EB103B5BA}"/>
            </c:ext>
          </c:extLst>
        </c:ser>
        <c:ser>
          <c:idx val="5"/>
          <c:order val="5"/>
          <c:tx>
            <c:strRef>
              <c:f>Meilenstein!$A$7</c:f>
              <c:strCache>
                <c:ptCount val="1"/>
                <c:pt idx="0">
                  <c:v>Überprüfung ob Kurzarbeiter-Geld eingeführt werden sollte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Meilenstein!$B$7:$I$7</c:f>
              <c:numCache>
                <c:formatCode>General</c:formatCode>
                <c:ptCount val="8"/>
                <c:pt idx="0">
                  <c:v>22</c:v>
                </c:pt>
                <c:pt idx="1">
                  <c:v>22</c:v>
                </c:pt>
              </c:numCache>
            </c:numRef>
          </c:val>
          <c:smooth val="0"/>
          <c:extLst>
            <c:ext xmlns:c16="http://schemas.microsoft.com/office/drawing/2014/chart" uri="{C3380CC4-5D6E-409C-BE32-E72D297353CC}">
              <c16:uniqueId val="{00000005-EFC9-4A8B-9EEA-A35EB103B5BA}"/>
            </c:ext>
          </c:extLst>
        </c:ser>
        <c:ser>
          <c:idx val="6"/>
          <c:order val="6"/>
          <c:tx>
            <c:strRef>
              <c:f>Meilenstein!$A$8</c:f>
              <c:strCache>
                <c:ptCount val="1"/>
                <c:pt idx="0">
                  <c:v>Analyse Weiterführung von Homeoffice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Meilenstein!$B$8:$I$8</c:f>
              <c:numCache>
                <c:formatCode>General</c:formatCode>
                <c:ptCount val="8"/>
                <c:pt idx="0">
                  <c:v>28</c:v>
                </c:pt>
                <c:pt idx="1">
                  <c:v>28</c:v>
                </c:pt>
                <c:pt idx="2">
                  <c:v>28</c:v>
                </c:pt>
                <c:pt idx="3">
                  <c:v>28</c:v>
                </c:pt>
                <c:pt idx="4">
                  <c:v>28</c:v>
                </c:pt>
                <c:pt idx="5">
                  <c:v>28</c:v>
                </c:pt>
                <c:pt idx="6">
                  <c:v>28</c:v>
                </c:pt>
                <c:pt idx="7">
                  <c:v>28</c:v>
                </c:pt>
              </c:numCache>
            </c:numRef>
          </c:val>
          <c:smooth val="0"/>
          <c:extLst>
            <c:ext xmlns:c16="http://schemas.microsoft.com/office/drawing/2014/chart" uri="{C3380CC4-5D6E-409C-BE32-E72D297353CC}">
              <c16:uniqueId val="{00000006-EFC9-4A8B-9EEA-A35EB103B5BA}"/>
            </c:ext>
          </c:extLst>
        </c:ser>
        <c:dLbls>
          <c:showLegendKey val="0"/>
          <c:showVal val="0"/>
          <c:showCatName val="0"/>
          <c:showSerName val="0"/>
          <c:showPercent val="0"/>
          <c:showBubbleSize val="0"/>
        </c:dLbls>
        <c:marker val="1"/>
        <c:smooth val="0"/>
        <c:axId val="460155424"/>
        <c:axId val="599728736"/>
      </c:lineChart>
      <c:catAx>
        <c:axId val="46015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Berichtszeitpunkt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9728736"/>
        <c:crosses val="autoZero"/>
        <c:auto val="1"/>
        <c:lblAlgn val="ctr"/>
        <c:lblOffset val="100"/>
        <c:noMultiLvlLbl val="0"/>
      </c:catAx>
      <c:valAx>
        <c:axId val="5997287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Termin (KW)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01554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Kosten-Trend-Analyse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'[Kosten-Trend-Analyse.xlsx]Tabelle1'!$B$2</c:f>
              <c:strCache>
                <c:ptCount val="1"/>
                <c:pt idx="0">
                  <c:v>Wer soll ins Homeoffice?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7.3468899752487202E-2"/>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'[Kosten-Trend-Analyse.xlsx]Tabelle1'!$D$2:$K$2</c:f>
              <c:numCache>
                <c:formatCode>General</c:formatCode>
                <c:ptCount val="8"/>
                <c:pt idx="0">
                  <c:v>800</c:v>
                </c:pt>
                <c:pt idx="1">
                  <c:v>800</c:v>
                </c:pt>
                <c:pt idx="2">
                  <c:v>800</c:v>
                </c:pt>
              </c:numCache>
            </c:numRef>
          </c:val>
          <c:smooth val="0"/>
          <c:extLst>
            <c:ext xmlns:c16="http://schemas.microsoft.com/office/drawing/2014/chart" uri="{C3380CC4-5D6E-409C-BE32-E72D297353CC}">
              <c16:uniqueId val="{00000001-5325-4FC9-A2C4-F1F20825B91D}"/>
            </c:ext>
          </c:extLst>
        </c:ser>
        <c:ser>
          <c:idx val="1"/>
          <c:order val="1"/>
          <c:tx>
            <c:strRef>
              <c:f>'[Kosten-Trend-Analyse.xlsx]Tabelle1'!$B$3</c:f>
              <c:strCache>
                <c:ptCount val="1"/>
                <c:pt idx="0">
                  <c:v>Politische Verordnungen analysieren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6.0501025919410201E-2"/>
                  <c:y val="1.235872557665494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'[Kosten-Trend-Analyse.xlsx]Tabelle1'!$D$3:$K$3</c:f>
              <c:numCache>
                <c:formatCode>General</c:formatCode>
                <c:ptCount val="8"/>
                <c:pt idx="0">
                  <c:v>320</c:v>
                </c:pt>
                <c:pt idx="1">
                  <c:v>320</c:v>
                </c:pt>
              </c:numCache>
            </c:numRef>
          </c:val>
          <c:smooth val="0"/>
          <c:extLst>
            <c:ext xmlns:c16="http://schemas.microsoft.com/office/drawing/2014/chart" uri="{C3380CC4-5D6E-409C-BE32-E72D297353CC}">
              <c16:uniqueId val="{00000003-5325-4FC9-A2C4-F1F20825B91D}"/>
            </c:ext>
          </c:extLst>
        </c:ser>
        <c:ser>
          <c:idx val="2"/>
          <c:order val="2"/>
          <c:tx>
            <c:strRef>
              <c:f>'[Kosten-Trend-Analyse.xlsx]Tabelle1'!$B$4</c:f>
              <c:strCache>
                <c:ptCount val="1"/>
                <c:pt idx="0">
                  <c:v>IST-Analyse technische Infrastruktur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4.6377832417568148E-2"/>
                  <c:y val="-1.33759953855644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'[Kosten-Trend-Analyse.xlsx]Tabelle1'!$D$4:$K$4</c:f>
              <c:numCache>
                <c:formatCode>General</c:formatCode>
                <c:ptCount val="8"/>
                <c:pt idx="0">
                  <c:v>480</c:v>
                </c:pt>
                <c:pt idx="1">
                  <c:v>800</c:v>
                </c:pt>
              </c:numCache>
            </c:numRef>
          </c:val>
          <c:smooth val="0"/>
          <c:extLst>
            <c:ext xmlns:c16="http://schemas.microsoft.com/office/drawing/2014/chart" uri="{C3380CC4-5D6E-409C-BE32-E72D297353CC}">
              <c16:uniqueId val="{00000005-5325-4FC9-A2C4-F1F20825B91D}"/>
            </c:ext>
          </c:extLst>
        </c:ser>
        <c:ser>
          <c:idx val="3"/>
          <c:order val="3"/>
          <c:tx>
            <c:strRef>
              <c:f>'[Kosten-Trend-Analyse.xlsx]Tabelle1'!$B$5</c:f>
              <c:strCache>
                <c:ptCount val="1"/>
                <c:pt idx="0">
                  <c:v>Firmenliquidität untersuchen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'[Kosten-Trend-Analyse.xlsx]Tabelle1'!$D$5:$K$5</c:f>
              <c:numCache>
                <c:formatCode>General</c:formatCode>
                <c:ptCount val="8"/>
                <c:pt idx="0">
                  <c:v>160</c:v>
                </c:pt>
              </c:numCache>
            </c:numRef>
          </c:val>
          <c:smooth val="0"/>
          <c:extLst>
            <c:ext xmlns:c16="http://schemas.microsoft.com/office/drawing/2014/chart" uri="{C3380CC4-5D6E-409C-BE32-E72D297353CC}">
              <c16:uniqueId val="{00000006-5325-4FC9-A2C4-F1F20825B91D}"/>
            </c:ext>
          </c:extLst>
        </c:ser>
        <c:ser>
          <c:idx val="4"/>
          <c:order val="4"/>
          <c:tx>
            <c:strRef>
              <c:f>'[Kosten-Trend-Analyse.xlsx]Tabelle1'!$B$6</c:f>
              <c:strCache>
                <c:ptCount val="1"/>
                <c:pt idx="0">
                  <c:v>Überprüfen ob Kunden speziellen Gesprächsbedarf haben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'[Kosten-Trend-Analyse.xlsx]Tabelle1'!$D$6:$K$6</c:f>
              <c:numCache>
                <c:formatCode>General</c:formatCode>
                <c:ptCount val="8"/>
                <c:pt idx="0">
                  <c:v>480</c:v>
                </c:pt>
              </c:numCache>
            </c:numRef>
          </c:val>
          <c:smooth val="0"/>
          <c:extLst>
            <c:ext xmlns:c16="http://schemas.microsoft.com/office/drawing/2014/chart" uri="{C3380CC4-5D6E-409C-BE32-E72D297353CC}">
              <c16:uniqueId val="{00000007-5325-4FC9-A2C4-F1F20825B91D}"/>
            </c:ext>
          </c:extLst>
        </c:ser>
        <c:ser>
          <c:idx val="5"/>
          <c:order val="5"/>
          <c:tx>
            <c:strRef>
              <c:f>'[Kosten-Trend-Analyse.xlsx]Tabelle1'!$B$7</c:f>
              <c:strCache>
                <c:ptCount val="1"/>
                <c:pt idx="0">
                  <c:v>Maßnahmen im Firmengebäude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'[Kosten-Trend-Analyse.xlsx]Tabelle1'!$D$7:$K$7</c:f>
              <c:numCache>
                <c:formatCode>General</c:formatCode>
                <c:ptCount val="8"/>
                <c:pt idx="1">
                  <c:v>9600</c:v>
                </c:pt>
                <c:pt idx="2">
                  <c:v>9600</c:v>
                </c:pt>
                <c:pt idx="3">
                  <c:v>11500</c:v>
                </c:pt>
                <c:pt idx="4">
                  <c:v>11500</c:v>
                </c:pt>
                <c:pt idx="5">
                  <c:v>11500</c:v>
                </c:pt>
              </c:numCache>
            </c:numRef>
          </c:val>
          <c:smooth val="0"/>
          <c:extLst>
            <c:ext xmlns:c16="http://schemas.microsoft.com/office/drawing/2014/chart" uri="{C3380CC4-5D6E-409C-BE32-E72D297353CC}">
              <c16:uniqueId val="{00000008-5325-4FC9-A2C4-F1F20825B91D}"/>
            </c:ext>
          </c:extLst>
        </c:ser>
        <c:ser>
          <c:idx val="6"/>
          <c:order val="6"/>
          <c:tx>
            <c:strRef>
              <c:f>'[Kosten-Trend-Analyse.xlsx]Tabelle1'!$B$8</c:f>
              <c:strCache>
                <c:ptCount val="1"/>
                <c:pt idx="0">
                  <c:v>Regelmäßigen Informationstermin koordinieren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Lbl>
              <c:idx val="1"/>
              <c:layout>
                <c:manualLayout>
                  <c:x val="6.6725605359287147E-3"/>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'[Kosten-Trend-Analyse.xlsx]Tabelle1'!$D$8:$K$8</c:f>
              <c:numCache>
                <c:formatCode>General</c:formatCode>
                <c:ptCount val="8"/>
                <c:pt idx="1">
                  <c:v>320</c:v>
                </c:pt>
              </c:numCache>
            </c:numRef>
          </c:val>
          <c:smooth val="0"/>
          <c:extLst>
            <c:ext xmlns:c16="http://schemas.microsoft.com/office/drawing/2014/chart" uri="{C3380CC4-5D6E-409C-BE32-E72D297353CC}">
              <c16:uniqueId val="{0000000A-5325-4FC9-A2C4-F1F20825B91D}"/>
            </c:ext>
          </c:extLst>
        </c:ser>
        <c:ser>
          <c:idx val="7"/>
          <c:order val="7"/>
          <c:tx>
            <c:strRef>
              <c:f>'[Kosten-Trend-Analyse.xlsx]Tabelle1'!$B$9</c:f>
              <c:strCache>
                <c:ptCount val="1"/>
                <c:pt idx="0">
                  <c:v>Realisierung Homeoffice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'[Kosten-Trend-Analyse.xlsx]Tabelle1'!$D$9:$K$9</c:f>
              <c:numCache>
                <c:formatCode>General</c:formatCode>
                <c:ptCount val="8"/>
                <c:pt idx="1">
                  <c:v>33180</c:v>
                </c:pt>
                <c:pt idx="2">
                  <c:v>36000</c:v>
                </c:pt>
                <c:pt idx="3">
                  <c:v>36000</c:v>
                </c:pt>
                <c:pt idx="4">
                  <c:v>36000</c:v>
                </c:pt>
                <c:pt idx="5">
                  <c:v>36000</c:v>
                </c:pt>
                <c:pt idx="6">
                  <c:v>36000</c:v>
                </c:pt>
              </c:numCache>
            </c:numRef>
          </c:val>
          <c:smooth val="0"/>
          <c:extLst>
            <c:ext xmlns:c16="http://schemas.microsoft.com/office/drawing/2014/chart" uri="{C3380CC4-5D6E-409C-BE32-E72D297353CC}">
              <c16:uniqueId val="{0000000B-5325-4FC9-A2C4-F1F20825B91D}"/>
            </c:ext>
          </c:extLst>
        </c:ser>
        <c:ser>
          <c:idx val="8"/>
          <c:order val="8"/>
          <c:tx>
            <c:strRef>
              <c:f>'[Kosten-Trend-Analyse.xlsx]Tabelle1'!$B$10</c:f>
              <c:strCache>
                <c:ptCount val="1"/>
                <c:pt idx="0">
                  <c:v>Finanzielle Situation überprüfen</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'[Kosten-Trend-Analyse.xlsx]Tabelle1'!$D$10:$K$10</c:f>
              <c:numCache>
                <c:formatCode>General</c:formatCode>
                <c:ptCount val="8"/>
                <c:pt idx="1">
                  <c:v>640</c:v>
                </c:pt>
              </c:numCache>
            </c:numRef>
          </c:val>
          <c:smooth val="0"/>
          <c:extLst>
            <c:ext xmlns:c16="http://schemas.microsoft.com/office/drawing/2014/chart" uri="{C3380CC4-5D6E-409C-BE32-E72D297353CC}">
              <c16:uniqueId val="{0000000C-5325-4FC9-A2C4-F1F20825B91D}"/>
            </c:ext>
          </c:extLst>
        </c:ser>
        <c:ser>
          <c:idx val="9"/>
          <c:order val="9"/>
          <c:tx>
            <c:strRef>
              <c:f>'[Kosten-Trend-Analyse.xlsx]Tabelle1'!$B$11</c:f>
              <c:strCache>
                <c:ptCount val="1"/>
                <c:pt idx="0">
                  <c:v>Abschluss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'[Kosten-Trend-Analyse.xlsx]Tabelle1'!$D$11:$K$11</c:f>
              <c:numCache>
                <c:formatCode>General</c:formatCode>
                <c:ptCount val="8"/>
                <c:pt idx="5">
                  <c:v>1600</c:v>
                </c:pt>
                <c:pt idx="6">
                  <c:v>1600</c:v>
                </c:pt>
                <c:pt idx="7">
                  <c:v>1600</c:v>
                </c:pt>
              </c:numCache>
            </c:numRef>
          </c:val>
          <c:smooth val="0"/>
          <c:extLst>
            <c:ext xmlns:c16="http://schemas.microsoft.com/office/drawing/2014/chart" uri="{C3380CC4-5D6E-409C-BE32-E72D297353CC}">
              <c16:uniqueId val="{0000000D-5325-4FC9-A2C4-F1F20825B91D}"/>
            </c:ext>
          </c:extLst>
        </c:ser>
        <c:dLbls>
          <c:showLegendKey val="0"/>
          <c:showVal val="0"/>
          <c:showCatName val="0"/>
          <c:showSerName val="0"/>
          <c:showPercent val="0"/>
          <c:showBubbleSize val="0"/>
        </c:dLbls>
        <c:marker val="1"/>
        <c:smooth val="0"/>
        <c:axId val="1807618751"/>
        <c:axId val="1796916591"/>
      </c:lineChart>
      <c:catAx>
        <c:axId val="180761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Berichtszeitraum</a:t>
                </a:r>
                <a:r>
                  <a:rPr lang="de-DE" baseline="0"/>
                  <a:t> (KW)</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6916591"/>
        <c:crosses val="autoZero"/>
        <c:auto val="1"/>
        <c:lblAlgn val="ctr"/>
        <c:lblOffset val="100"/>
        <c:noMultiLvlLbl val="0"/>
      </c:catAx>
      <c:valAx>
        <c:axId val="1796916591"/>
        <c:scaling>
          <c:logBase val="10"/>
          <c:orientation val="minMax"/>
          <c:max val="1000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Kosten (in</a:t>
                </a:r>
                <a:r>
                  <a:rPr lang="de-DE" baseline="0"/>
                  <a:t>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0761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409E-D1EA-4E49-B350-0300E3AA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2432</Words>
  <Characters>15327</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 Thomas</cp:lastModifiedBy>
  <cp:revision>14</cp:revision>
  <dcterms:created xsi:type="dcterms:W3CDTF">2020-06-03T09:12:00Z</dcterms:created>
  <dcterms:modified xsi:type="dcterms:W3CDTF">2020-06-17T08:33:00Z</dcterms:modified>
</cp:coreProperties>
</file>