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spacing w:after="200"/>
        <w:jc w:val="center"/>
      </w:pPr>
      <w:r>
        <w:rPr>
          <w:rFonts w:ascii="黑体" w:cs="黑体" w:eastAsia="黑体" w:hAnsi="黑体"/>
          <w:b/>
          <w:bCs/>
          <w:sz w:val="40"/>
          <w:szCs w:val="40"/>
        </w:rPr>
        <w:t xml:space="preserve">大数据计算集群技术综合实践</w:t>
      </w:r>
    </w:p>
    <w:p>
      <w:pPr>
        <w:spacing w:after="300"/>
        <w:jc w:val="center"/>
      </w:pPr>
      <w:r>
        <w:rPr>
          <w:rFonts w:ascii="黑体" w:cs="黑体" w:eastAsia="黑体" w:hAnsi="黑体"/>
          <w:sz w:val="32"/>
          <w:szCs w:val="32"/>
        </w:rPr>
        <w:t xml:space="preserve">课程设计大纲（二）</w:t>
      </w:r>
    </w:p>
    <w:p>
      <w:pPr>
        <w:spacing w:after="300"/>
        <w:jc w:val="center"/>
      </w:pPr>
      <w:r>
        <w:rPr>
          <w:rFonts w:ascii="宋体" w:cs="宋体" w:eastAsia="宋体" w:hAnsi="宋体"/>
          <w:sz w:val="28"/>
          <w:szCs w:val="28"/>
        </w:rPr>
        <w:t xml:space="preserve">汽车投诉数据Web可视化系统开发</w:t>
      </w:r>
    </w:p>
    <w:p>
      <w:pPr>
        <w:spacing w:after="120" w:before="4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姓名：__________    学号：__________    班级：__________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440" w:right="1260" w:bottom="1440" w:left="1260" w:header="708" w:footer="708" w:gutter="0"/>
          <w:pgNumType/>
          <w:docGrid w:linePitch="360"/>
        </w:sectPr>
      </w:pPr>
    </w:p>
    <w:p>
      <w:pPr>
        <w:pStyle w:val="Heading1"/>
        <w:pageBreakBefore/>
        <w:spacing w:after="200" w:before="300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一、技术架构概览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层级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技术组件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版本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用途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数据库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MariaDB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10.11.9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存储6张分析结果表，utf8mb4字符集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后端框架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Spring Boot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2.7.18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RESTful API + 内嵌Tomcat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数据库连接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JDBC Template + HikariCP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—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轻量级查询 + 高性能连接池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JDBC驱动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MariaDB Connector/J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3.1.4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连接MariaDB 10.11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前端图表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Apache ECharts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5.4.3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6种图表+深色仪表盘主题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前端技术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HTML5 + CSS3 Grid + ES6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—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Fetch API异步加载+响应式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序列化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Jackson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2.13.x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Java对象自动→JSON</w:t>
            </w:r>
          </w:p>
        </w:tc>
      </w:tr>
    </w:tbl>
    <w:p>
      <w:pPr>
        <w:spacing w:after="60"/>
      </w:pPr>
    </w:p>
    <w:p>
      <w:pPr>
        <w:pStyle w:val="Heading1"/>
        <w:pageBreakBefore/>
        <w:spacing w:after="200" w:before="300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二、核心代码结构</w:t>
      </w:r>
    </w:p>
    <w:p>
      <w:pPr>
        <w:spacing w:after="60" w:before="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项目：car_complaint_web（Spring Boot Maven项目），包结构：</w:t>
      </w:r>
    </w:p>
    <w:p>
      <w:pPr>
        <w:spacing w:after="40" w:before="40"/>
        <w:ind w:left="240"/>
      </w:pPr>
      <w:r>
        <w:rPr>
          <w:rFonts w:ascii="宋体" w:cs="宋体" w:eastAsia="宋体" w:hAnsi="宋体"/>
          <w:sz w:val="24"/>
          <w:szCs w:val="24"/>
        </w:rPr>
        <w:t xml:space="preserve">ComplaintWebApplication.java — @SpringBootApplication启动类</w:t>
      </w:r>
    </w:p>
    <w:p>
      <w:pPr>
        <w:spacing w:after="40" w:before="40"/>
        <w:ind w:left="240"/>
      </w:pPr>
      <w:r>
        <w:rPr>
          <w:rFonts w:ascii="宋体" w:cs="宋体" w:eastAsia="宋体" w:hAnsi="宋体"/>
          <w:sz w:val="24"/>
          <w:szCs w:val="24"/>
        </w:rPr>
        <w:t xml:space="preserve">controller/AnalysisController.java — @RestController，6个@GetMapping接口</w:t>
      </w:r>
    </w:p>
    <w:p>
      <w:pPr>
        <w:spacing w:after="40" w:before="40"/>
        <w:ind w:left="240"/>
      </w:pPr>
      <w:r>
        <w:rPr>
          <w:rFonts w:ascii="宋体" w:cs="宋体" w:eastAsia="宋体" w:hAnsi="宋体"/>
          <w:sz w:val="24"/>
          <w:szCs w:val="24"/>
        </w:rPr>
        <w:t xml:space="preserve">resources/application.properties — 数据源配置（MariaDB连接+HikariCP）</w:t>
      </w:r>
    </w:p>
    <w:p>
      <w:pPr>
        <w:spacing w:after="40" w:before="40"/>
        <w:ind w:left="240"/>
      </w:pPr>
      <w:r>
        <w:rPr>
          <w:rFonts w:ascii="宋体" w:cs="宋体" w:eastAsia="宋体" w:hAnsi="宋体"/>
          <w:sz w:val="24"/>
          <w:szCs w:val="24"/>
        </w:rPr>
        <w:t xml:space="preserve">resources/static/index.html — 单页面ECharts仪表盘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// Spring Boot启动类</w:t>
            </w:r>
          </w:p>
          <w:p>
            <w:pPr>
              <w:spacing w:after="20" w:before="2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@SpringBootApplication  // = @Configuration + @EnableAutoConfiguration + @ComponentScan</w:t>
            </w:r>
          </w:p>
          <w:p>
            <w:pPr>
              <w:spacing w:after="20" w:before="2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public class ComplaintWebApplication {</w:t>
            </w:r>
          </w:p>
          <w:p>
            <w:pPr>
              <w:spacing w:after="20" w:before="2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public static void main(String[] args) {</w:t>
            </w:r>
          </w:p>
          <w:p>
            <w:pPr>
              <w:spacing w:after="20" w:before="2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SpringApplication.run(ComplaintWebApplication.class, args);</w:t>
            </w:r>
          </w:p>
          <w:p>
            <w:pPr>
              <w:spacing w:after="20" w:before="2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}</w:t>
            </w:r>
          </w:p>
          <w:p>
            <w:pPr>
              <w:spacing w:after="20" w:before="2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// Controller核心模式（品牌TOP20接口示例）</w:t>
            </w:r>
          </w:p>
          <w:p>
            <w:pPr>
              <w:spacing w:after="20" w:before="2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@RestController   @CrossOrigin(origins = "*")</w:t>
            </w:r>
          </w:p>
          <w:p>
            <w:pPr>
              <w:spacing w:after="20" w:before="2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public class AnalysisController {</w:t>
            </w:r>
          </w:p>
          <w:p>
            <w:pPr>
              <w:spacing w:after="20" w:before="2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@Autowired  private JdbcTemplate jdbcTemplate;</w:t>
            </w:r>
          </w:p>
          <w:p>
            <w:pPr>
              <w:spacing w:after="20" w:before="2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20" w:before="2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@GetMapping("/api/brand/top20")</w:t>
            </w:r>
          </w:p>
          <w:p>
            <w:pPr>
              <w:spacing w:after="20" w:before="2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public Map&lt;String, Object&gt; getBrandTop20() {</w:t>
            </w:r>
          </w:p>
          <w:p>
            <w:pPr>
              <w:spacing w:after="20" w:before="2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String sql = "SELECT name, cnt FROM brand_analysis</w:t>
            </w:r>
          </w:p>
          <w:p>
            <w:pPr>
              <w:spacing w:after="20" w:before="2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   ORDER BY cnt DESC LIMIT 20";</w:t>
            </w:r>
          </w:p>
          <w:p>
            <w:pPr>
              <w:spacing w:after="20" w:before="2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List&lt;Map&lt;String,Object&gt;&gt; rows=jdbcTemplate.queryForList(sql);</w:t>
            </w:r>
          </w:p>
          <w:p>
            <w:pPr>
              <w:spacing w:after="20" w:before="2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// 转换为JSON数组... → Jackson自动序列化</w:t>
            </w:r>
          </w:p>
          <w:p>
            <w:pPr>
              <w:spacing w:after="20" w:before="2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return Map.of("brand",brands,"cnt",cnts);</w:t>
            </w:r>
          </w:p>
          <w:p>
            <w:pPr>
              <w:spacing w:after="20" w:before="2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}</w:t>
            </w:r>
          </w:p>
          <w:p>
            <w:pPr>
              <w:spacing w:after="20" w:before="2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// ECharts核心模式（品牌横向柱状图示例）</w:t>
            </w:r>
          </w:p>
          <w:p>
            <w:pPr>
              <w:spacing w:after="20" w:before="2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fetch("/api/brand/top20")   // 异步请求后端API</w:t>
            </w:r>
          </w:p>
          <w:p>
            <w:pPr>
              <w:spacing w:after="20" w:before="2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.then(res =&gt; res.json())    // 解析JSON</w:t>
            </w:r>
          </w:p>
          <w:p>
            <w:pPr>
              <w:spacing w:after="20" w:before="2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.then(data =&gt; {</w:t>
            </w:r>
          </w:p>
          <w:p>
            <w:pPr>
              <w:spacing w:after="20" w:before="2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const chart = echarts.init(</w:t>
            </w:r>
          </w:p>
          <w:p>
            <w:pPr>
              <w:spacing w:after="20" w:before="2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document.getElementById("brand-chart"));</w:t>
            </w:r>
          </w:p>
          <w:p>
            <w:pPr>
              <w:spacing w:after="20" w:before="2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chart.setOption({         // 声明式配置</w:t>
            </w:r>
          </w:p>
          <w:p>
            <w:pPr>
              <w:spacing w:after="20" w:before="2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yAxis: { data: data.brand.reverse() },</w:t>
            </w:r>
          </w:p>
          <w:p>
            <w:pPr>
              <w:spacing w:after="20" w:before="2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series: [{ type: "bar",</w:t>
            </w:r>
          </w:p>
          <w:p>
            <w:pPr>
              <w:spacing w:after="20" w:before="2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data: data.cnt.reverse(),</w:t>
            </w:r>
          </w:p>
          <w:p>
            <w:pPr>
              <w:spacing w:after="20" w:before="2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itemStyle: { color: gradient } }]</w:t>
            </w:r>
          </w:p>
          <w:p>
            <w:pPr>
              <w:spacing w:after="20" w:before="2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});</w:t>
            </w:r>
          </w:p>
          <w:p>
            <w:pPr>
              <w:spacing w:after="20" w:before="2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});</w:t>
            </w:r>
          </w:p>
        </w:tc>
      </w:tr>
    </w:tbl>
    <w:p>
      <w:pPr>
        <w:spacing w:before="60"/>
      </w:pPr>
    </w:p>
    <w:p>
      <w:pPr>
        <w:pStyle w:val="Heading1"/>
        <w:pageBreakBefore/>
        <w:spacing w:after="200" w:before="300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三、6个API接口一览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900"/>
        <w:gridCol w:w="2200"/>
        <w:gridCol w:w="2560"/>
      </w:tblGrid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接口路径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方法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SQL查询表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对应ECharts图表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/api/brand/top20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GET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brand_analysis LIMIT 20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横向柱状图(蓝色渐变)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/api/series/top15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GET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series_analysis LIMIT 15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横向柱状图(紫色渐变)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/api/problem/category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GET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problem_category_analysis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玫瑰饼图(空心环形)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/api/problem/type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GET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problem_type_analysis LIMIT 20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标准柱状图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/api/brand/problem/cross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GET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brand_problem_cross LIMIT 200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热力图+visualMap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/api/trend/daily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GET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daily_trend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平滑折线图+面积填充</w:t>
            </w:r>
          </w:p>
        </w:tc>
      </w:tr>
    </w:tbl>
    <w:p>
      <w:pPr>
        <w:spacing w:after="60"/>
      </w:pPr>
    </w:p>
    <w:p>
      <w:pPr>
        <w:pStyle w:val="Heading1"/>
        <w:pageBreakBefore/>
        <w:spacing w:after="200" w:before="300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四、数据库设计</w:t>
      </w:r>
    </w:p>
    <w:p>
      <w:pPr>
        <w:spacing w:after="60" w:before="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6张InnoDB表，utf8mb4字符集，总计1,742行数据：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00"/>
        <w:gridCol w:w="2160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表名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主键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字段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行数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brand_analysis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name VARCHAR(100)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4个字段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118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series_analysis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name VARCHAR(200)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2个字段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670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problem_category_analysis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name VARCHAR(100)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2个字段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19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problem_type_analysis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name VARCHAR(200)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2个字段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110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brand_problem_cross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id INT AUTO_INCREMENT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3个字段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733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daily_trend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day DATE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2个字段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92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// 数据导入流程</w:t>
            </w:r>
          </w:p>
          <w:p>
            <w:pPr>
              <w:spacing w:after="20" w:before="2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hdfs dfs -get /car_complaint/output/BrandAnalysis/part-* /tmp/brand/</w:t>
            </w:r>
          </w:p>
          <w:p>
            <w:pPr>
              <w:spacing w:after="20" w:before="2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cat /tmp/brand/part-* &gt; /tmp/brand.csv</w:t>
            </w:r>
          </w:p>
          <w:p>
            <w:pPr>
              <w:spacing w:after="20" w:before="2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mysql -u root -p123456 car_complaint -e "</w:t>
            </w:r>
          </w:p>
          <w:p>
            <w:pPr>
              <w:spacing w:after="20" w:before="2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LOAD DATA LOCAL INFILE '/tmp/brand.csv'</w:t>
            </w:r>
          </w:p>
          <w:p>
            <w:pPr>
              <w:spacing w:after="20" w:before="2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INTO TABLE brand_analysis</w:t>
            </w:r>
          </w:p>
          <w:p>
            <w:pPr>
              <w:spacing w:after="20" w:before="2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FIELDS TERMINATED BY ',' LINES TERMINATED BY '\n';</w:t>
            </w:r>
          </w:p>
          <w:p>
            <w:pPr>
              <w:spacing w:after="20" w:before="2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"</w:t>
            </w:r>
          </w:p>
        </w:tc>
      </w:tr>
    </w:tbl>
    <w:p>
      <w:pPr>
        <w:spacing w:before="60"/>
      </w:pPr>
    </w:p>
    <w:p>
      <w:pPr>
        <w:pStyle w:val="Heading1"/>
        <w:pageBreakBefore/>
        <w:spacing w:after="200" w:before="300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五、Spring Boot 配置关键点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// application.properties</w:t>
            </w:r>
          </w:p>
          <w:p>
            <w:pPr>
              <w:spacing w:after="20" w:before="2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server.port=8080</w:t>
            </w:r>
          </w:p>
          <w:p>
            <w:pPr>
              <w:spacing w:after="20" w:before="2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spring.datasource.url=jdbc:mariadb://192.168.88.101:3306</w:t>
            </w:r>
          </w:p>
          <w:p>
            <w:pPr>
              <w:spacing w:after="20" w:before="2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/car_complaint?useSSL=false&amp;characterEncoding=utf8</w:t>
            </w:r>
          </w:p>
          <w:p>
            <w:pPr>
              <w:spacing w:after="20" w:before="2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spring.datasource.username=root</w:t>
            </w:r>
          </w:p>
          <w:p>
            <w:pPr>
              <w:spacing w:after="20" w:before="2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spring.datasource.password=123456</w:t>
            </w:r>
          </w:p>
          <w:p>
            <w:pPr>
              <w:spacing w:after="20" w:before="2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spring.datasource.driver-class-name=org.mariadb.jdbc.Driver</w:t>
            </w:r>
          </w:p>
        </w:tc>
      </w:tr>
    </w:tbl>
    <w:p>
      <w:pPr>
        <w:spacing w:before="60"/>
      </w:pPr>
    </w:p>
    <w:p>
      <w:pPr>
        <w:pStyle w:val="Heading1"/>
        <w:pageBreakBefore/>
        <w:spacing w:after="200" w:before="300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六、遇到的问题与解决方案</w:t>
      </w:r>
    </w:p>
    <w:p>
      <w:pPr>
        <w:pStyle w:val="Heading2"/>
        <w:spacing w:after="160" w:before="24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问题1：Spring Boot连接MariaDB超时</w:t>
      </w:r>
    </w:p>
    <w:p>
      <w:pPr>
        <w:spacing w:after="60" w:before="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现象：后端启动报 Connection timed out: getsockopt to 192.168.88.101:3306。排查：ping通但telnet不通 → 防火墙阻挡。解决：firewall-cmd --add-port=3306/tcp --permanent 开放端口。</w:t>
      </w:r>
    </w:p>
    <w:p>
      <w:pPr>
        <w:pStyle w:val="Heading2"/>
        <w:spacing w:after="160" w:before="24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问题2：ECharts热力图数据格式转换</w:t>
      </w:r>
    </w:p>
    <w:p>
      <w:pPr>
        <w:spacing w:after="60" w:before="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现象：热力图需要 [colIndex,rowIndex,value] 三元组，但API返回二维矩阵。解决：前端双层forEach遍历brand/category数组，cnt&gt;0时生成三元组push入heatData。可选链 data[bi]?.[ci] 安全处理undefined。</w:t>
      </w:r>
    </w:p>
    <w:p>
      <w:pPr>
        <w:pStyle w:val="Heading2"/>
        <w:spacing w:after="160" w:before="24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问题3：ECharts图表空白无数据</w:t>
      </w:r>
    </w:p>
    <w:p>
      <w:pPr>
        <w:spacing w:after="60" w:before="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现象：fetch使用http://192.168.88.101:8080绝对路径，导致CORS预检失败。解决：改为相对路径 '' （页面和API同源localhost:8080），@CrossOrigin保留作冗余。</w:t>
      </w:r>
    </w:p>
    <w:p>
      <w:pPr>
        <w:pStyle w:val="Heading2"/>
        <w:spacing w:after="160" w:before="24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问题4：Spark输出CSV header被LOAD DATA误读为数据</w:t>
      </w:r>
    </w:p>
    <w:p>
      <w:pPr>
        <w:spacing w:after="60" w:before="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现象：Spark CSV输出带header行，MariaDB导入时header被当作数据行。解决：Spark输出去掉 .option("header","true")。对于有自增ID的表(如brand_problem_cross)，LOAD DATA时显式指定 (brand, problem_category, cnt) 跳过id列。</w:t>
      </w:r>
    </w:p>
    <w:p>
      <w:pPr>
        <w:pStyle w:val="Heading1"/>
        <w:pageBreakBefore/>
        <w:spacing w:after="200" w:before="300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七、技术关键词</w:t>
      </w:r>
    </w:p>
    <w:p>
      <w:pPr>
        <w:spacing w:after="60" w:before="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Spring Boot AutoConfiguration · @RestController · JdbcTemplate · HikariCP · CORS · Jackson序列化 · ECharts setOption · CSS Grid · Fetch API · MariaDB LOAD DATA LOCAL INFILE · InnoDB/utf8mb4 · firewall-cmd · Tomcat嵌入</w:t>
      </w:r>
    </w:p>
    <w:sectPr>
      <w:headerReference w:type="default" r:id="rId9"/>
      <w:footerReference w:type="default" r:id="rId10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宋体" w:cs="宋体" w:eastAsia="宋体" w:hAnsi="宋体"/>
        <w:sz w:val="18"/>
        <w:szCs w:val="18"/>
      </w:rPr>
      <w:t xml:space="preserve">第 </w:t>
    </w:r>
    <w:r>
      <w:rPr>
        <w:rFonts w:ascii="宋体" w:cs="宋体" w:eastAsia="宋体" w:hAnsi="宋体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宋体" w:cs="宋体" w:eastAsia="宋体" w:hAnsi="宋体"/>
        <w:sz w:val="18"/>
        <w:szCs w:val="18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宋体" w:cs="宋体" w:eastAsia="宋体" w:hAnsi="宋体"/>
        <w:sz w:val="18"/>
        <w:szCs w:val="18"/>
      </w:rPr>
      <w:t xml:space="preserve">第 </w:t>
    </w:r>
    <w:r>
      <w:rPr>
        <w:rFonts w:ascii="宋体" w:cs="宋体" w:eastAsia="宋体" w:hAnsi="宋体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宋体" w:cs="宋体" w:eastAsia="宋体" w:hAnsi="宋体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宋体" w:cs="宋体" w:eastAsia="宋体" w:hAnsi="宋体"/>
        <w:color w:val="888888"/>
        <w:sz w:val="18"/>
        <w:szCs w:val="18"/>
      </w:rPr>
      <w:t xml:space="preserve">大数据计算集群技术综合实践 — 大纲（二）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宋体" w:cs="宋体" w:eastAsia="宋体" w:hAnsi="宋体"/>
        <w:color w:val="888888"/>
        <w:sz w:val="18"/>
        <w:szCs w:val="18"/>
      </w:rPr>
      <w:t xml:space="preserve">大数据计算集群技术综合实践 — 大纲（二）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黑体" w:cs="黑体" w:eastAsia="黑体" w:hAnsi="黑体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黑体" w:cs="黑体" w:eastAsia="黑体" w:hAnsi="黑体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2026-06-23T02:23:00.941Z</dcterms:created>
  <dcterms:modified xsi:type="dcterms:W3CDTF">2026-06-23T02:23:00.941Z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