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60" w:line="240" w:lineRule="auto"/>
      </w:pPr>
      <w:r>
        <w:rPr>
          <w:rFonts w:ascii="Arial" w:hAnsi="Arial"/>
          <w:b/>
          <w:color w:val="5DB9D9"/>
          <w:sz w:val="18"/>
        </w:rPr>
        <w:t>IE SUSTAINABILITY DATATHON · MARCH 2026</w:t>
      </w:r>
    </w:p>
    <w:p>
      <w:pPr>
        <w:spacing w:before="0" w:after="1440" w:line="240" w:lineRule="auto"/>
        <w:pBdr>
          <w:bottom w:val="single" w:sz="12" w:color="5DB9D9"/>
        </w:pBdr>
      </w:pPr>
      <w:r>
        <w:rPr>
          <w:sz w:val="2"/>
        </w:rPr>
        <w:t xml:space="preserve"> </w:t>
      </w:r>
    </w:p>
    <w:p>
      <w:pPr>
        <w:spacing w:before="0" w:after="80" w:line="240" w:lineRule="auto"/>
        <w:jc w:val="left"/>
      </w:pPr>
      <w:r>
        <w:rPr>
          <w:rFonts w:ascii="Arial" w:hAnsi="Arial"/>
          <w:b/>
          <w:color w:val="002F5F"/>
          <w:sz w:val="92"/>
        </w:rPr>
        <w:t>Water as</w:t>
      </w:r>
    </w:p>
    <w:p>
      <w:pPr>
        <w:spacing w:before="0" w:after="480" w:line="240" w:lineRule="auto"/>
      </w:pPr>
      <w:r>
        <w:rPr>
          <w:rFonts w:ascii="Arial" w:hAnsi="Arial"/>
          <w:b/>
          <w:color w:val="5DB9D9"/>
          <w:sz w:val="92"/>
        </w:rPr>
        <w:t>Strategy.</w:t>
      </w:r>
    </w:p>
    <w:p>
      <w:pPr>
        <w:spacing w:before="0" w:after="240" w:line="312" w:lineRule="auto"/>
      </w:pPr>
      <w:r>
        <w:rPr>
          <w:rFonts w:ascii="Arial" w:hAnsi="Arial"/>
          <w:b w:val="0"/>
          <w:color w:val="0B4F74"/>
          <w:sz w:val="30"/>
        </w:rPr>
        <w:t>A Double Materiality Framework for Aqualia, 2027–2030</w:t>
      </w:r>
    </w:p>
    <w:p>
      <w:pPr>
        <w:spacing w:before="480" w:after="960" w:line="360" w:lineRule="auto"/>
      </w:pPr>
      <w:r>
        <w:rPr>
          <w:rFonts w:ascii="Arial" w:hAnsi="Arial"/>
          <w:color w:val="4A5663"/>
          <w:sz w:val="24"/>
        </w:rPr>
        <w:t>Three material topics. A €500 million EU-Taxonomy-aligned green bond programme. A 2027–2030 strategic roadmap with named owners and measurable KPIs. Simulated external ESG advisory engagement for Aqualia, the integrated water-cycle operator of the FCC Group.</w:t>
      </w:r>
    </w:p>
    <w:p>
      <w:pPr>
        <w:spacing w:before="2400" w:after="120" w:line="240" w:lineRule="auto"/>
        <w:pBdr>
          <w:top w:val="single" w:sz="6" w:color="002f5f"/>
        </w:pBdr>
      </w:pPr>
      <w:r>
        <w:rPr>
          <w:sz w:val="2"/>
        </w:rPr>
        <w:t xml:space="preserve"> </w:t>
      </w:r>
    </w:p>
    <w:p>
      <w:pPr>
        <w:spacing w:before="80" w:after="0" w:line="336" w:lineRule="auto"/>
      </w:pPr>
      <w:r>
        <w:rPr>
          <w:rFonts w:ascii="Arial" w:hAnsi="Arial"/>
          <w:b/>
          <w:color w:val="5DB9D9"/>
          <w:sz w:val="16"/>
        </w:rPr>
        <w:t xml:space="preserve">Track   </w:t>
      </w:r>
      <w:r>
        <w:rPr>
          <w:rFonts w:ascii="Arial" w:hAnsi="Arial"/>
          <w:color w:val="002F5F"/>
          <w:sz w:val="20"/>
        </w:rPr>
        <w:t>Double Materiality &amp; ESG Strategy · Aqualia</w:t>
      </w:r>
    </w:p>
    <w:p>
      <w:pPr>
        <w:spacing w:before="40" w:after="0" w:line="336" w:lineRule="auto"/>
      </w:pPr>
      <w:r>
        <w:rPr>
          <w:rFonts w:ascii="Arial" w:hAnsi="Arial"/>
          <w:b/>
          <w:color w:val="5DB9D9"/>
          <w:sz w:val="16"/>
        </w:rPr>
        <w:t xml:space="preserve">Team    </w:t>
      </w:r>
      <w:r>
        <w:rPr>
          <w:rFonts w:ascii="Arial" w:hAnsi="Arial"/>
          <w:color w:val="002F5F"/>
          <w:sz w:val="20"/>
        </w:rPr>
        <w:t>Los Gatos de Datos · IE Master in Business Analytics &amp; Data Science</w:t>
      </w:r>
    </w:p>
    <w:p>
      <w:pPr>
        <w:spacing w:before="40" w:after="0" w:line="336" w:lineRule="auto"/>
      </w:pPr>
      <w:r>
        <w:rPr>
          <w:rFonts w:ascii="Arial" w:hAnsi="Arial"/>
          <w:b/>
          <w:color w:val="5DB9D9"/>
          <w:sz w:val="16"/>
        </w:rPr>
        <w:t xml:space="preserve">Deck    </w:t>
      </w:r>
      <w:r>
        <w:rPr>
          <w:rFonts w:ascii="Arial" w:hAnsi="Arial"/>
          <w:color w:val="002F5F"/>
          <w:sz w:val="20"/>
        </w:rPr>
        <w:t>ma731.github.io/Aqualia-Datathon</w:t>
      </w:r>
    </w:p>
    <w:p>
      <w:r>
        <w:br w:type="page"/>
      </w:r>
    </w:p>
    <w:p>
      <w:pPr>
        <w:spacing w:before="0" w:after="120" w:line="324" w:lineRule="auto"/>
      </w:pPr>
      <w:r>
        <w:rPr>
          <w:rFonts w:ascii="Arial" w:hAnsi="Arial"/>
          <w:b/>
          <w:color w:val="002F5F"/>
          <w:sz w:val="22"/>
        </w:rPr>
        <w:t>IE Sustainability Datathon — March 2026</w:t>
      </w:r>
      <w:r>
        <w:rPr>
          <w:rFonts w:ascii="Arial" w:hAnsi="Arial"/>
          <w:color w:val="4A5663"/>
          <w:sz w:val="22"/>
        </w:rPr>
        <w:t xml:space="preserve"> </w:t>
      </w:r>
      <w:r>
        <w:rPr>
          <w:rFonts w:ascii="Arial" w:hAnsi="Arial"/>
          <w:b/>
          <w:color w:val="002F5F"/>
          <w:sz w:val="22"/>
        </w:rPr>
        <w:t>Track: Double Materiality &amp; ESG Strategy — Aqualia</w:t>
      </w:r>
      <w:r>
        <w:rPr>
          <w:rFonts w:ascii="Arial" w:hAnsi="Arial"/>
          <w:color w:val="4A5663"/>
          <w:sz w:val="22"/>
        </w:rPr>
        <w:t xml:space="preserve"> </w:t>
      </w:r>
      <w:r>
        <w:rPr>
          <w:rFonts w:ascii="Arial" w:hAnsi="Arial"/>
          <w:b/>
          <w:color w:val="002F5F"/>
          <w:sz w:val="22"/>
        </w:rPr>
        <w:t>Commissioned work · External ESG advisory engagement</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1. Executive Summary</w:t>
      </w:r>
    </w:p>
    <w:p>
      <w:pPr>
        <w:spacing w:before="0" w:after="120" w:line="324" w:lineRule="auto"/>
      </w:pPr>
      <w:r>
        <w:rPr>
          <w:rFonts w:ascii="Arial" w:hAnsi="Arial"/>
          <w:color w:val="4A5663"/>
          <w:sz w:val="22"/>
        </w:rPr>
        <w:t>Aqualia is the integrated water-cycle operator of the FCC Group, serving roughly 32 million users across eight countries. Its 2025 double materiality review, the most recent cycle, catalogued sixteen material topics and eighty-three specific impacts, risks, and opportunities. That is comprehensive work. It is also, in our view, too broad to drive a 2027–2030 strategic plan: sixteen equal priorities is operationally indistinguishable from none.</w:t>
      </w:r>
    </w:p>
    <w:p>
      <w:pPr>
        <w:spacing w:before="0" w:after="120" w:line="324" w:lineRule="auto"/>
      </w:pPr>
      <w:r>
        <w:rPr>
          <w:rFonts w:ascii="Arial" w:hAnsi="Arial"/>
          <w:color w:val="4A5663"/>
          <w:sz w:val="22"/>
        </w:rPr>
        <w:t>Our brief, simulating an external ESG advisory engagement, was to reduce those sixteen topics to three, score each with enough transparency to survive executive-committee review, and translate the analysis into a funded, scheduled roadmap. What follows is that deliverable.</w:t>
      </w:r>
    </w:p>
    <w:p>
      <w:pPr>
        <w:spacing w:before="240" w:after="80" w:line="288" w:lineRule="auto"/>
      </w:pPr>
      <w:r>
        <w:rPr>
          <w:rFonts w:ascii="Arial" w:hAnsi="Arial"/>
          <w:b/>
          <w:color w:val="002F5F"/>
          <w:sz w:val="24"/>
        </w:rPr>
        <w:t>The three topics</w:t>
      </w:r>
    </w:p>
    <w:p>
      <w:pPr>
        <w:spacing w:before="0" w:after="120" w:line="324" w:lineRule="auto"/>
      </w:pPr>
      <w:r>
        <w:rPr>
          <w:rFonts w:ascii="Arial" w:hAnsi="Arial"/>
          <w:color w:val="4A5663"/>
          <w:sz w:val="22"/>
        </w:rPr>
        <w:t xml:space="preserve">The short-list is Water Resilience and Equitable Access (T1), Digital and Cyber Infrastructure (T2), and Green Finance and Integrity (T3). Together they absorb 73% of Aqualia's 83 IROs, and their matrix positions hold under four alternative stakeholder-weighting schemes. T1 sits solidly in the Target Zone, at Impact Severity </w:t>
      </w:r>
      <w:r>
        <w:rPr>
          <w:rFonts w:ascii="Arial" w:hAnsi="Arial"/>
          <w:b/>
          <w:color w:val="002F5F"/>
          <w:sz w:val="22"/>
        </w:rPr>
        <w:t>3.98</w:t>
      </w:r>
      <w:r>
        <w:rPr>
          <w:rFonts w:ascii="Arial" w:hAnsi="Arial"/>
          <w:color w:val="4A5663"/>
          <w:sz w:val="22"/>
        </w:rPr>
        <w:t xml:space="preserve"> and Financial Severity </w:t>
      </w:r>
      <w:r>
        <w:rPr>
          <w:rFonts w:ascii="Arial" w:hAnsi="Arial"/>
          <w:b/>
          <w:color w:val="002F5F"/>
          <w:sz w:val="22"/>
        </w:rPr>
        <w:t>3.07</w:t>
      </w:r>
      <w:r>
        <w:rPr>
          <w:rFonts w:ascii="Arial" w:hAnsi="Arial"/>
          <w:color w:val="4A5663"/>
          <w:sz w:val="22"/>
        </w:rPr>
        <w:t>. T2 is also Target Zone at (3.08, 2.75), repositioned upward from Aqualia's current lower-middle placement: a direct consequence of what we read as an under-weighting of digitalisation in the 2025 review, which assigns it only two of the 83 IROs. T3 is borderline at (3.24, 2.42), conditionally material on the financial axis, a status we treat as diagnostic rather than defective.</w:t>
      </w:r>
    </w:p>
    <w:p>
      <w:pPr>
        <w:spacing w:before="240" w:after="80" w:line="288" w:lineRule="auto"/>
      </w:pPr>
      <w:r>
        <w:rPr>
          <w:rFonts w:ascii="Arial" w:hAnsi="Arial"/>
          <w:b/>
          <w:color w:val="002F5F"/>
          <w:sz w:val="24"/>
        </w:rPr>
        <w:t>Three findings</w:t>
      </w:r>
    </w:p>
    <w:p>
      <w:pPr>
        <w:spacing w:before="0" w:after="120" w:line="324" w:lineRule="auto"/>
      </w:pPr>
      <w:r>
        <w:rPr>
          <w:rFonts w:ascii="Arial" w:hAnsi="Arial"/>
          <w:color w:val="4A5663"/>
          <w:sz w:val="22"/>
        </w:rPr>
        <w:t>A blind spot, a missing voice, a differentiator.</w:t>
      </w:r>
    </w:p>
    <w:p>
      <w:pPr>
        <w:spacing w:before="0" w:after="120" w:line="324" w:lineRule="auto"/>
      </w:pPr>
      <w:r>
        <w:rPr>
          <w:rFonts w:ascii="Arial" w:hAnsi="Arial"/>
          <w:color w:val="4A5663"/>
          <w:sz w:val="22"/>
        </w:rPr>
        <w:t>The blind spot is digital. Aqualia's framework carries two IROs on digitalisation. Veolia, Suez, Severn Trent, and Global Omnium each treat digital-and-cyber as a top-five strategic topic; the EU Water Resilience Strategy names it Action Area 3 of 5; Aqualia's own Risk Map logs three operational risks in this cluster as HIGH. Our Monte Carlo repositions the topic firmly inside the Target Zone.</w:t>
      </w:r>
    </w:p>
    <w:p>
      <w:pPr>
        <w:spacing w:before="0" w:after="120" w:line="324" w:lineRule="auto"/>
      </w:pPr>
      <w:r>
        <w:rPr>
          <w:rFonts w:ascii="Arial" w:hAnsi="Arial"/>
          <w:color w:val="4A5663"/>
          <w:sz w:val="22"/>
        </w:rPr>
        <w:t xml:space="preserve">The missing voice is community. Aqualia's framework folds ESRS S3 (affected communities) into ESRS S4 (consumers). Their own 2024 customer-satisfaction survey, in a sample of more than seven thousand respondents, reports satisfaction ranging 86–98% across Spain, Portugal, France, Italy, Czech Republic, and institutional markets, and </w:t>
      </w:r>
      <w:r>
        <w:rPr>
          <w:rFonts w:ascii="Arial" w:hAnsi="Arial"/>
          <w:b/>
          <w:color w:val="002F5F"/>
          <w:sz w:val="22"/>
        </w:rPr>
        <w:t>33% in Colombia</w:t>
      </w:r>
      <w:r>
        <w:rPr>
          <w:rFonts w:ascii="Arial" w:hAnsi="Arial"/>
          <w:color w:val="4A5663"/>
          <w:sz w:val="22"/>
        </w:rPr>
        <w:t>. A 55-point spread sits inside a single group-average metric. Under ESRS S3 the same data tells a different story, with different remediation and concession-renewal implications. We recommend restoring S3 as a stand-alone disclosure from the 2027 reporting cycle.</w:t>
      </w:r>
    </w:p>
    <w:p>
      <w:pPr>
        <w:spacing w:before="0" w:after="120" w:line="324" w:lineRule="auto"/>
      </w:pPr>
      <w:r>
        <w:rPr>
          <w:rFonts w:ascii="Arial" w:hAnsi="Arial"/>
          <w:color w:val="4A5663"/>
          <w:sz w:val="22"/>
        </w:rPr>
        <w:t>The differentiator is green finance. Aqualia already leads Iberian water peers on EU Taxonomy alignment and green-finance disclosure. The financial upside of that lead, priced in basis points of cost of capital saved, is not quantified in the 2025 framework. We quantify it.</w:t>
      </w:r>
    </w:p>
    <w:p>
      <w:pPr>
        <w:spacing w:before="240" w:after="80" w:line="288" w:lineRule="auto"/>
      </w:pPr>
      <w:r>
        <w:rPr>
          <w:rFonts w:ascii="Arial" w:hAnsi="Arial"/>
          <w:b/>
          <w:color w:val="002F5F"/>
          <w:sz w:val="24"/>
        </w:rPr>
        <w:t>The numbers</w:t>
      </w:r>
    </w:p>
    <w:p>
      <w:pPr>
        <w:spacing w:before="0" w:after="120" w:line="324" w:lineRule="auto"/>
      </w:pPr>
      <w:r>
        <w:rPr>
          <w:rFonts w:ascii="Arial" w:hAnsi="Arial"/>
          <w:color w:val="4A5663"/>
          <w:sz w:val="22"/>
        </w:rPr>
        <w:t xml:space="preserve">Net annual financial materiality that Aqualia's current framework leaves un-priced, aggregated across the three topics, is </w:t>
      </w:r>
      <w:r>
        <w:rPr>
          <w:rFonts w:ascii="Arial" w:hAnsi="Arial"/>
          <w:b/>
          <w:color w:val="002F5F"/>
          <w:sz w:val="22"/>
        </w:rPr>
        <w:t>€18 M/yr</w:t>
      </w:r>
      <w:r>
        <w:rPr>
          <w:rFonts w:ascii="Arial" w:hAnsi="Arial"/>
          <w:color w:val="4A5663"/>
          <w:sz w:val="22"/>
        </w:rPr>
        <w:t xml:space="preserve">. Implied 2027–2030 CAPEX is </w:t>
      </w:r>
      <w:r>
        <w:rPr>
          <w:rFonts w:ascii="Arial" w:hAnsi="Arial"/>
          <w:b/>
          <w:color w:val="002F5F"/>
          <w:sz w:val="22"/>
        </w:rPr>
        <w:t>€440 M</w:t>
      </w:r>
      <w:r>
        <w:rPr>
          <w:rFonts w:ascii="Arial" w:hAnsi="Arial"/>
          <w:color w:val="4A5663"/>
          <w:sz w:val="22"/>
        </w:rPr>
        <w:t xml:space="preserve"> base case, with a sensitivity range of €285–685 M. Our funding recommendation is a </w:t>
      </w:r>
      <w:r>
        <w:rPr>
          <w:rFonts w:ascii="Arial" w:hAnsi="Arial"/>
          <w:b/>
          <w:color w:val="002F5F"/>
          <w:sz w:val="22"/>
        </w:rPr>
        <w:t>€500 M EU-Taxonomy-aligned green / sustainability-linked bond programme</w:t>
      </w:r>
      <w:r>
        <w:rPr>
          <w:rFonts w:ascii="Arial" w:hAnsi="Arial"/>
          <w:color w:val="4A5663"/>
          <w:sz w:val="22"/>
        </w:rPr>
        <w:t xml:space="preserve">, issued in four tranches aligned to CAPEX drawdown. At the prevailing 25 basis-point green-bond spread for investment-grade Euro water-utility issuance (Climate Bonds Initiative, 2024 Green Bond Pricing Report), the programme captures approximately </w:t>
      </w:r>
      <w:r>
        <w:rPr>
          <w:rFonts w:ascii="Arial" w:hAnsi="Arial"/>
          <w:b/>
          <w:color w:val="002F5F"/>
          <w:sz w:val="22"/>
        </w:rPr>
        <w:t>€31 M</w:t>
      </w:r>
      <w:r>
        <w:rPr>
          <w:rFonts w:ascii="Arial" w:hAnsi="Arial"/>
          <w:color w:val="4A5663"/>
          <w:sz w:val="22"/>
        </w:rPr>
        <w:t xml:space="preserve"> of present-value interest savings over its ten-year life.</w:t>
      </w:r>
    </w:p>
    <w:p>
      <w:pPr>
        <w:spacing w:before="240" w:after="80" w:line="288" w:lineRule="auto"/>
      </w:pPr>
      <w:r>
        <w:rPr>
          <w:rFonts w:ascii="Arial" w:hAnsi="Arial"/>
          <w:b/>
          <w:color w:val="002F5F"/>
          <w:sz w:val="24"/>
        </w:rPr>
        <w:t>A note on method</w:t>
      </w:r>
    </w:p>
    <w:p>
      <w:pPr>
        <w:spacing w:before="0" w:after="120" w:line="324" w:lineRule="auto"/>
      </w:pPr>
      <w:r>
        <w:rPr>
          <w:rFonts w:ascii="Arial" w:hAnsi="Arial"/>
          <w:color w:val="4A5663"/>
          <w:sz w:val="22"/>
        </w:rPr>
        <w:t>We did not replace Aqualia's scoring structure. We preserve it, severity multiplied by probability on the impact axis and magnitude multiplied by probability and a horizon discount on the financial axis, so that our output reads as directly comparable to their 2025 work. We then extend the framework in four ways. Every 1–5 threshold in the rubric cites a public source (ESRS 1 §43–51, EFRAG IG-1, SASB Water Utilities, WRI Aqueduct, MSCI 2024). Stakeholders are weighted under the Mitchell–Agle–Wood (1997) salience model applied to Aqualia's own ten-group ecosystem. Uncertainty is propagated via 10,000 Monte Carlo draws per topic, producing 90% confidence ellipses rather than false-precision point estimates. And the ESRS disclosure landscape is audited by a bilingual TF-IDF match of 75 canonical datapoints against 873 paragraph chunks drawn from Aqualia's 2022–2025 sustainability reports.</w:t>
      </w:r>
    </w:p>
    <w:p>
      <w:pPr>
        <w:spacing w:before="0" w:after="120" w:line="324" w:lineRule="auto"/>
      </w:pPr>
      <w:r>
        <w:rPr>
          <w:rFonts w:ascii="Arial" w:hAnsi="Arial"/>
          <w:color w:val="4A5663"/>
          <w:sz w:val="22"/>
        </w:rPr>
        <w:t>Our view is that materiality is not a static categorisation exercise but an ongoing strategic input. The three topics here are designed to become the spine of a 2027–2030 plan. The €500 M programme is the financial instrument that makes the plan executable without a budget trade-off against Aqualia's existing infrastructure spend.</w:t>
      </w:r>
    </w:p>
    <w:p>
      <w:pPr>
        <w:spacing w:before="0" w:after="120" w:line="324" w:lineRule="auto"/>
      </w:pPr>
      <w:r>
        <w:rPr>
          <w:rFonts w:ascii="Arial" w:hAnsi="Arial"/>
          <w:color w:val="4A5663"/>
          <w:sz w:val="22"/>
        </w:rPr>
        <w:t>The rest of this report documents each step.</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2. Challenge and Scope</w:t>
      </w:r>
    </w:p>
    <w:p>
      <w:pPr>
        <w:spacing w:before="240" w:after="80" w:line="288" w:lineRule="auto"/>
      </w:pPr>
      <w:r>
        <w:rPr>
          <w:rFonts w:ascii="Arial" w:hAnsi="Arial"/>
          <w:b/>
          <w:color w:val="002F5F"/>
          <w:sz w:val="24"/>
        </w:rPr>
        <w:t>2.1 The CSRD / ESRS mandate</w:t>
      </w:r>
    </w:p>
    <w:p>
      <w:pPr>
        <w:spacing w:before="0" w:after="120" w:line="324" w:lineRule="auto"/>
      </w:pPr>
      <w:r>
        <w:rPr>
          <w:rFonts w:ascii="Arial" w:hAnsi="Arial"/>
          <w:color w:val="4A5663"/>
          <w:sz w:val="22"/>
        </w:rPr>
        <w:t>The Corporate Sustainability Reporting Directive (Directive (EU) 2022/2464) elevates sustainability reporting from a peripheral compliance activity to a bidirectional disclosure regime. Under CSRD, large undertakings must perform a *double materiality assessment*: reporting both how their activities impact society and the environment (impact materiality, "inside-out") and how ESG factors influence their financial performance and enterprise value (financial materiality, "outside-in"). The European Sustainability Reporting Standards (ESRS; Commission Delegated Regulation (EU) 2023/2772) operationalise the Directive across twelve topical standards (E1–E5, S1–S4, G1) and a cross-cutting set of approximately 1,144 datapoints documented in EFRAG Implementation Guidance IG 3.</w:t>
      </w:r>
    </w:p>
    <w:p>
      <w:pPr>
        <w:spacing w:before="240" w:after="80" w:line="288" w:lineRule="auto"/>
      </w:pPr>
      <w:r>
        <w:rPr>
          <w:rFonts w:ascii="Arial" w:hAnsi="Arial"/>
          <w:b/>
          <w:color w:val="002F5F"/>
          <w:sz w:val="24"/>
        </w:rPr>
        <w:t>2.2 Aqualia's operating context</w:t>
      </w:r>
    </w:p>
    <w:p>
      <w:pPr>
        <w:spacing w:before="0" w:after="120" w:line="324" w:lineRule="auto"/>
      </w:pPr>
      <w:r>
        <w:rPr>
          <w:rFonts w:ascii="Arial" w:hAnsi="Arial"/>
          <w:color w:val="4A5663"/>
          <w:sz w:val="22"/>
        </w:rPr>
        <w:t>Aqualia is the integrated water-cycle operator of the FCC Group. Its activity covers the end-to-end urban water cycle (collection, treatment, distribution, sewerage, wastewater treatment, reuse) across Spain, Portugal, Italy, France, Czech Republic, Colombia, and several project-operation markets. Public disclosures cite 130+ years of operating record, service to more than 32 million people, and €40 M/year of sustained infrastructure investment (</w:t>
      </w:r>
      <w:r>
        <w:rPr>
          <w:rFonts w:ascii="Consolas" w:hAnsi="Consolas"/>
          <w:color w:val="4A5663"/>
          <w:sz w:val="20"/>
        </w:rPr>
        <w:t>Corporate context and sustainability framework_2025_ENG.pdf</w:t>
      </w:r>
      <w:r>
        <w:rPr>
          <w:rFonts w:ascii="Arial" w:hAnsi="Arial"/>
          <w:color w:val="4A5663"/>
          <w:sz w:val="22"/>
        </w:rPr>
        <w:t>).</w:t>
      </w:r>
    </w:p>
    <w:p>
      <w:pPr>
        <w:spacing w:before="240" w:after="80" w:line="288" w:lineRule="auto"/>
      </w:pPr>
      <w:r>
        <w:rPr>
          <w:rFonts w:ascii="Arial" w:hAnsi="Arial"/>
          <w:b/>
          <w:color w:val="002F5F"/>
          <w:sz w:val="24"/>
        </w:rPr>
        <w:t>2.3 Our role</w:t>
      </w:r>
    </w:p>
    <w:p>
      <w:pPr>
        <w:spacing w:before="0" w:after="120" w:line="324" w:lineRule="auto"/>
      </w:pPr>
      <w:r>
        <w:rPr>
          <w:rFonts w:ascii="Arial" w:hAnsi="Arial"/>
          <w:color w:val="4A5663"/>
          <w:sz w:val="22"/>
        </w:rPr>
        <w:t>We operate as an external ESG advisory team. Our deliverable simulates the kind of work Aqualia's executive committee or sustainability board would commission from a consultancy: consolidated topic selection, explicit scoring methodology, an auditable matrix, and an actionable 2027–2030 roadmap.</w:t>
      </w:r>
    </w:p>
    <w:p>
      <w:pPr>
        <w:spacing w:before="240" w:after="80" w:line="288" w:lineRule="auto"/>
      </w:pPr>
      <w:r>
        <w:rPr>
          <w:rFonts w:ascii="Arial" w:hAnsi="Arial"/>
          <w:b/>
          <w:color w:val="002F5F"/>
          <w:sz w:val="24"/>
        </w:rPr>
        <w:t>2.4 Framework boundary</w:t>
      </w:r>
    </w:p>
    <w:p>
      <w:pPr>
        <w:spacing w:before="0" w:after="120" w:line="324" w:lineRule="auto"/>
      </w:pPr>
      <w:r>
        <w:rPr>
          <w:rFonts w:ascii="Arial" w:hAnsi="Arial"/>
          <w:color w:val="4A5663"/>
          <w:sz w:val="22"/>
        </w:rPr>
        <w:t>We take ESRS 1 and ESRS 2 cross-cutting standards plus the ten topical standards (E1–E5, S1–S4, G1) as the universe of candidate topics. Where Aqualia's 2025 review introduces sector-specific "AQ" topics (Technological Innovation, Digitalisation, Green Finance, Cybersecurity), we preserve those extensions. We also overlay three complementary frameworks: TNFD for nature-related financial disclosures (which Aqualia has publicly committed to); SASB Water Utilities &amp; Services as a sector-specific metric source; and the EU Taxonomy Regulation for CAPEX/OPEX alignment criteria. We explicitly exclude sector-adjacent issues without a CSRD-compliant disclosure home (e.g., lobbying expenditure outside G1-5 coverage).</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3. Methodology</w:t>
      </w:r>
    </w:p>
    <w:p>
      <w:pPr>
        <w:spacing w:before="240" w:after="80" w:line="288" w:lineRule="auto"/>
      </w:pPr>
      <w:r>
        <w:rPr>
          <w:rFonts w:ascii="Arial" w:hAnsi="Arial"/>
          <w:b/>
          <w:color w:val="002F5F"/>
          <w:sz w:val="24"/>
        </w:rPr>
        <w:t>3.1 Four-phase blueprint</w:t>
      </w:r>
    </w:p>
    <w:p>
      <w:pPr>
        <w:spacing w:before="0" w:after="120" w:line="324" w:lineRule="auto"/>
      </w:pPr>
      <w:r>
        <w:rPr>
          <w:rFonts w:ascii="Arial" w:hAnsi="Arial"/>
          <w:color w:val="4A5663"/>
          <w:sz w:val="22"/>
        </w:rPr>
        <w:t>The work follows the Workshop 1 ("The Analytical Current") blueprint: Phase 1 Context Analysis (peer benchmark, regulatory scan, internal baseline); Phase 2 Impact Materiality; Phase 3 Financial Materiality; Phase 4 Strategic Synthesis. Each phase produces a documented artefact and is subject to one independent team review before the next begins.</w:t>
      </w:r>
    </w:p>
    <w:p>
      <w:pPr>
        <w:spacing w:before="240" w:after="80" w:line="288" w:lineRule="auto"/>
      </w:pPr>
      <w:r>
        <w:rPr>
          <w:rFonts w:ascii="Arial" w:hAnsi="Arial"/>
          <w:b/>
          <w:color w:val="002F5F"/>
          <w:sz w:val="24"/>
        </w:rPr>
        <w:t>3.2 Scoring formulas — aligned with Aqualia, extended by us</w:t>
      </w:r>
    </w:p>
    <w:p>
      <w:pPr>
        <w:spacing w:before="0" w:after="120" w:line="324" w:lineRule="auto"/>
      </w:pPr>
      <w:r>
        <w:rPr>
          <w:rFonts w:ascii="Arial" w:hAnsi="Arial"/>
          <w:color w:val="4A5663"/>
          <w:sz w:val="22"/>
        </w:rPr>
        <w:t>We preserve the structural formulas Aqualia publishes internally (</w:t>
      </w:r>
      <w:r>
        <w:rPr>
          <w:rFonts w:ascii="Consolas" w:hAnsi="Consolas"/>
          <w:color w:val="4A5663"/>
          <w:sz w:val="20"/>
        </w:rPr>
        <w:t>Methodology Double Materiality Assessment Review.pdf</w:t>
      </w:r>
      <w:r>
        <w:rPr>
          <w:rFonts w:ascii="Arial" w:hAnsi="Arial"/>
          <w:color w:val="4A5663"/>
          <w:sz w:val="22"/>
        </w:rPr>
        <w:t>) so that our output remains directly comparable.</w:t>
      </w:r>
    </w:p>
    <w:p>
      <w:pPr>
        <w:spacing w:before="0" w:after="120" w:line="324" w:lineRule="auto"/>
      </w:pPr>
      <w:r>
        <w:rPr>
          <w:rFonts w:ascii="Arial" w:hAnsi="Arial"/>
          <w:b/>
          <w:color w:val="002F5F"/>
          <w:sz w:val="22"/>
        </w:rPr>
        <w:t>Impact materiality.</w:t>
      </w:r>
      <w:r>
        <w:rPr>
          <w:rFonts w:ascii="Arial" w:hAnsi="Arial"/>
          <w:color w:val="4A5663"/>
          <w:sz w:val="22"/>
        </w:rPr>
        <w:t xml:space="preserve"> Severity = mean(Scale, Scope, Remediability), each rated 1–5 under cited thresholds (§3.3). Current impacts score Severity × 5 (probability pinned at max). Potential impacts score Severity × Probability. Raw scores fall in [1, 25] and are linearly rescaled to [1, 5].</w:t>
      </w:r>
    </w:p>
    <w:p>
      <w:pPr>
        <w:spacing w:before="0" w:after="120" w:line="324" w:lineRule="auto"/>
      </w:pPr>
      <w:r>
        <w:rPr>
          <w:rFonts w:ascii="Arial" w:hAnsi="Arial"/>
          <w:b/>
          <w:color w:val="002F5F"/>
          <w:sz w:val="22"/>
        </w:rPr>
        <w:t>Financial materiality.</w:t>
      </w:r>
      <w:r>
        <w:rPr>
          <w:rFonts w:ascii="Arial" w:hAnsi="Arial"/>
          <w:color w:val="4A5663"/>
          <w:sz w:val="22"/>
        </w:rPr>
        <w:t xml:space="preserve"> Severity = Magnitude × Probability × Horizon Discount. Magnitude is rated 1–5 against EFRAG and FCC-segment revenue thresholds (§3.3). Probability uses the same 1–5 scale as impact. Horizon discount is 1.00 (short, ≤3y), 0.80 (medium, 3–10y), 0.60 (long, &gt;10y) — mirroring EFRAG IG-1 §69 on present-value framing.</w:t>
      </w:r>
    </w:p>
    <w:p>
      <w:pPr>
        <w:spacing w:before="0" w:after="120" w:line="324" w:lineRule="auto"/>
      </w:pPr>
      <w:r>
        <w:rPr>
          <w:rFonts w:ascii="Arial" w:hAnsi="Arial"/>
          <w:b/>
          <w:color w:val="002F5F"/>
          <w:sz w:val="22"/>
        </w:rPr>
        <w:t>Topic aggregation.</w:t>
      </w:r>
      <w:r>
        <w:rPr>
          <w:rFonts w:ascii="Arial" w:hAnsi="Arial"/>
          <w:color w:val="4A5663"/>
          <w:sz w:val="22"/>
        </w:rPr>
        <w:t xml:space="preserve"> Topic-level Impact or Financial score = the mean of the top-k IRO (or R&amp;O) scores where k = max(3, round(N × 0.6)). Top-k aggregation mirrors standard practice of pricing materiality off the most material subset rather than an undifferentiated mean.</w:t>
      </w:r>
    </w:p>
    <w:p>
      <w:pPr>
        <w:spacing w:before="0" w:after="120" w:line="324" w:lineRule="auto"/>
      </w:pPr>
      <w:r>
        <w:rPr>
          <w:rFonts w:ascii="Arial" w:hAnsi="Arial"/>
          <w:b/>
          <w:color w:val="002F5F"/>
          <w:sz w:val="22"/>
        </w:rPr>
        <w:t>Terminology mapping to the Aqualia Datathon brief.</w:t>
      </w:r>
      <w:r>
        <w:rPr>
          <w:rFonts w:ascii="Arial" w:hAnsi="Arial"/>
          <w:color w:val="4A5663"/>
          <w:sz w:val="22"/>
        </w:rPr>
        <w:t xml:space="preserve"> The brief (§3) lists four impact-materiality factors: *scale, scope, likelihood, irreversibility*. Our formulas preserve Aqualia's published nomenclature (</w:t>
      </w:r>
      <w:r>
        <w:rPr>
          <w:rFonts w:ascii="Consolas" w:hAnsi="Consolas"/>
          <w:color w:val="4A5663"/>
          <w:sz w:val="20"/>
        </w:rPr>
        <w:t>Methodology Double Materiality Assessment Review.pdf</w:t>
      </w:r>
      <w:r>
        <w:rPr>
          <w:rFonts w:ascii="Arial" w:hAnsi="Arial"/>
          <w:color w:val="4A5663"/>
          <w:sz w:val="22"/>
        </w:rPr>
        <w:t>) so that output remains directly comparable to Aqualia's 2025 internal review. The mapping is one-to-one:</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Brief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Our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Relationship</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Likelihood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Probability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synonymous (P[occur] on the 1–5 scale)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Irreversibility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Remediability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inverse — high remediability implies low irreversibility</w:t>
            </w:r>
          </w:p>
        </w:tc>
      </w:tr>
    </w:tbl>
    <w:p>
      <w:pPr>
        <w:spacing w:before="0" w:after="120" w:line="324" w:lineRule="auto"/>
      </w:pPr>
    </w:p>
    <w:p>
      <w:pPr>
        <w:spacing w:before="0" w:after="120" w:line="324" w:lineRule="auto"/>
      </w:pPr>
      <w:r>
        <w:rPr>
          <w:rFonts w:ascii="Arial" w:hAnsi="Arial"/>
          <w:color w:val="4A5663"/>
          <w:sz w:val="22"/>
        </w:rPr>
        <w:t>The factor *set* is identical to the brief; the aggregation *pattern* follows Aqualia's published practice (severity = mean of the first three, multiplied by probability) rather than a single 4-factor mean. The Monte Carlo pipeline propagates uncertainty in all four factors simultaneously, so no factor is suppressed in the final matrix position.</w:t>
      </w:r>
    </w:p>
    <w:p>
      <w:pPr>
        <w:spacing w:before="240" w:after="80" w:line="288" w:lineRule="auto"/>
      </w:pPr>
      <w:r>
        <w:rPr>
          <w:rFonts w:ascii="Arial" w:hAnsi="Arial"/>
          <w:b/>
          <w:color w:val="002F5F"/>
          <w:sz w:val="24"/>
        </w:rPr>
        <w:t>3.3 Threshold calibration</w:t>
      </w:r>
    </w:p>
    <w:p>
      <w:pPr>
        <w:spacing w:before="0" w:after="120" w:line="324" w:lineRule="auto"/>
      </w:pPr>
      <w:r>
        <w:rPr>
          <w:rFonts w:ascii="Arial" w:hAnsi="Arial"/>
          <w:color w:val="4A5663"/>
          <w:sz w:val="22"/>
        </w:rPr>
        <w:t xml:space="preserve">Threshold bands for every sub-criterion are documented in </w:t>
      </w:r>
      <w:r>
        <w:rPr>
          <w:rFonts w:ascii="Consolas" w:hAnsi="Consolas"/>
          <w:color w:val="4A5663"/>
          <w:sz w:val="20"/>
        </w:rPr>
        <w:t>03_analysis/scoring_rubric.md</w:t>
      </w:r>
      <w:r>
        <w:rPr>
          <w:rFonts w:ascii="Arial" w:hAnsi="Arial"/>
          <w:color w:val="4A5663"/>
          <w:sz w:val="22"/>
        </w:rPr>
        <w:t xml:space="preserve"> §2–§3 and reproduced in Appendix A. Anchors include ESRS 1 §43–51, EFRAG IG-1, SASB Water Utilities metrics (NRW, pipe replacement, effluent non-compliance), WRI Aqueduct population-exposure bands, and MSCI's 2024 Water Utilities sub-weights.</w:t>
      </w:r>
    </w:p>
    <w:p>
      <w:pPr>
        <w:spacing w:before="0" w:after="120" w:line="324" w:lineRule="auto"/>
      </w:pPr>
      <w:r>
        <w:rPr>
          <w:rFonts w:ascii="Arial" w:hAnsi="Arial"/>
          <w:color w:val="4A5663"/>
          <w:sz w:val="22"/>
        </w:rPr>
        <w:t xml:space="preserve">The Financial Magnitude scale is anchored to an Aqualia revenue proxy of </w:t>
      </w:r>
      <w:r>
        <w:rPr>
          <w:rFonts w:ascii="Arial" w:hAnsi="Arial"/>
          <w:b/>
          <w:color w:val="002F5F"/>
          <w:sz w:val="22"/>
        </w:rPr>
        <w:t>€1.4 B</w:t>
      </w:r>
      <w:r>
        <w:rPr>
          <w:rFonts w:ascii="Arial" w:hAnsi="Arial"/>
          <w:color w:val="4A5663"/>
          <w:sz w:val="22"/>
        </w:rPr>
        <w:t xml:space="preserve"> (Assumption A01), drawn from FCC Group 2024 segment disclosure with the Aqualia water segment at ~28% of group revenue. Band 3 (Moderate) corresponds to 0.5–2% of revenue (€7–28 M), a material budget line but recoverable from normal operations. Band 5 (Severe) exceeds 5% (€70 M), enterprise-level impact. Section 7 of </w:t>
      </w:r>
      <w:r>
        <w:rPr>
          <w:rFonts w:ascii="Consolas" w:hAnsi="Consolas"/>
          <w:color w:val="4A5663"/>
          <w:sz w:val="20"/>
        </w:rPr>
        <w:t>financials.md</w:t>
      </w:r>
      <w:r>
        <w:rPr>
          <w:rFonts w:ascii="Arial" w:hAnsi="Arial"/>
          <w:color w:val="4A5663"/>
          <w:sz w:val="22"/>
        </w:rPr>
        <w:t xml:space="preserve"> shows that rank ordering of topics is stable under ±20% revenue anchor shifts.</w:t>
      </w:r>
    </w:p>
    <w:p>
      <w:pPr>
        <w:spacing w:before="240" w:after="80" w:line="288" w:lineRule="auto"/>
      </w:pPr>
      <w:r>
        <w:rPr>
          <w:rFonts w:ascii="Arial" w:hAnsi="Arial"/>
          <w:b/>
          <w:color w:val="002F5F"/>
          <w:sz w:val="24"/>
        </w:rPr>
        <w:t>3.4 Stakeholder salience</w:t>
      </w:r>
    </w:p>
    <w:p>
      <w:pPr>
        <w:spacing w:before="0" w:after="120" w:line="324" w:lineRule="auto"/>
      </w:pPr>
      <w:r>
        <w:rPr>
          <w:rFonts w:ascii="Arial" w:hAnsi="Arial"/>
          <w:color w:val="4A5663"/>
          <w:sz w:val="22"/>
        </w:rPr>
        <w:t xml:space="preserve">Aqualia's 2025 review was scored internally by its Sustainability Department without external stakeholder consultation (their methodology acknowledges this). We restore a salience input by applying the Mitchell–Agle–Wood (1997) model, the canonical framework in stakeholder theory, to Aqualia's own ten-group stakeholder map. Each stakeholder is scored 0/1 on Power, Legitimacy, and Urgency; the salience score (0–3) becomes a normalised weight in [0, 1] summing to 1.000. </w:t>
      </w:r>
      <w:r>
        <w:rPr>
          <w:rFonts w:ascii="Arial" w:hAnsi="Arial"/>
          <w:b/>
          <w:color w:val="002F5F"/>
          <w:sz w:val="22"/>
        </w:rPr>
        <w:t>Exhibit 2</w:t>
      </w:r>
      <w:r>
        <w:rPr>
          <w:rFonts w:ascii="Arial" w:hAnsi="Arial"/>
          <w:color w:val="4A5663"/>
          <w:sz w:val="22"/>
        </w:rPr>
        <w:t xml:space="preserve"> in the appendix reproduces the full scoring table. Public Authorities, Customers, Shareholders, and Employees score Definitive (3/3) under this application; Academy scores Discretionary (1/3).</w:t>
      </w:r>
    </w:p>
    <w:p>
      <w:pPr>
        <w:spacing w:before="240" w:after="80" w:line="288" w:lineRule="auto"/>
      </w:pPr>
      <w:r>
        <w:rPr>
          <w:rFonts w:ascii="Arial" w:hAnsi="Arial"/>
          <w:b/>
          <w:color w:val="002F5F"/>
          <w:sz w:val="24"/>
        </w:rPr>
        <w:t>3.5 Monte Carlo design</w:t>
      </w:r>
    </w:p>
    <w:p>
      <w:pPr>
        <w:spacing w:before="0" w:after="120" w:line="324" w:lineRule="auto"/>
      </w:pPr>
      <w:r>
        <w:rPr>
          <w:rFonts w:ascii="Arial" w:hAnsi="Arial"/>
          <w:color w:val="4A5663"/>
          <w:sz w:val="22"/>
        </w:rPr>
        <w:t xml:space="preserve">Every uncertain input feeds a triangular distribution centred on the base value with perturbation ±0.7 on the 1–5 score scale, clipped to [1, 5]. Stakeholder weights sample from a Dirichlet distribution centred on the salience vector (concentration parameter k = 100). Financial magnitude uses triangular (low, base, high) as specified in the topic financial tables (§6). Ten thousand draws are generated per topic. For each topic, the (Financial, Impact) scatter produces a 2D distribution from which a 90% χ²-containment confidence ellipse is drawn via eigendecomposition of the covariance matrix (containment constant ≈ 2.146 on each axis). The rendered matrix is </w:t>
      </w:r>
      <w:r>
        <w:rPr>
          <w:rFonts w:ascii="Arial" w:hAnsi="Arial"/>
          <w:b/>
          <w:color w:val="002F5F"/>
          <w:sz w:val="22"/>
        </w:rPr>
        <w:t>Exhibit 12</w:t>
      </w:r>
      <w:r>
        <w:rPr>
          <w:rFonts w:ascii="Arial" w:hAnsi="Arial"/>
          <w:color w:val="4A5663"/>
          <w:sz w:val="22"/>
        </w:rPr>
        <w:t>.</w:t>
      </w:r>
    </w:p>
    <w:p>
      <w:pPr>
        <w:spacing w:before="240" w:after="80" w:line="288" w:lineRule="auto"/>
      </w:pPr>
      <w:r>
        <w:rPr>
          <w:rFonts w:ascii="Arial" w:hAnsi="Arial"/>
          <w:b/>
          <w:color w:val="002F5F"/>
          <w:sz w:val="24"/>
        </w:rPr>
        <w:t>3.6 Robustness</w:t>
      </w:r>
    </w:p>
    <w:p>
      <w:pPr>
        <w:spacing w:before="0" w:after="120" w:line="324" w:lineRule="auto"/>
      </w:pPr>
      <w:r>
        <w:rPr>
          <w:rFonts w:ascii="Arial" w:hAnsi="Arial"/>
          <w:color w:val="4A5663"/>
          <w:sz w:val="22"/>
        </w:rPr>
        <w:t xml:space="preserve">The Monte Carlo is repeated under four alternate stakeholder- weighting schemes: Equal (all 11 groups = 1/11), Regulator-heavy (Public Authorities = 0.30), Community-first (Society + Local Communities = 0.30 combined), and Investor-first (Shareholders + Investors = 0.40 combined). Results are reported in </w:t>
      </w:r>
      <w:r>
        <w:rPr>
          <w:rFonts w:ascii="Consolas" w:hAnsi="Consolas"/>
          <w:color w:val="4A5663"/>
          <w:sz w:val="20"/>
        </w:rPr>
        <w:t>mc_robustness.csv</w:t>
      </w:r>
      <w:r>
        <w:rPr>
          <w:rFonts w:ascii="Arial" w:hAnsi="Arial"/>
          <w:color w:val="4A5663"/>
          <w:sz w:val="22"/>
        </w:rPr>
        <w:t xml:space="preserve">; </w:t>
      </w:r>
      <w:r>
        <w:rPr>
          <w:rFonts w:ascii="Arial" w:hAnsi="Arial"/>
          <w:b/>
          <w:color w:val="002F5F"/>
          <w:sz w:val="22"/>
        </w:rPr>
        <w:t>no ranking flip occurs</w:t>
      </w:r>
      <w:r>
        <w:rPr>
          <w:rFonts w:ascii="Arial" w:hAnsi="Arial"/>
          <w:color w:val="4A5663"/>
          <w:sz w:val="22"/>
        </w:rPr>
        <w:t xml:space="preserve"> across schemes — T1 and T2 remain in the Target Zone, T3 remains borderline. This stability constitutes our robustness claim (Exhibit 14).</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4. Topic Identification and Selection</w:t>
      </w:r>
    </w:p>
    <w:p>
      <w:pPr>
        <w:spacing w:before="240" w:after="80" w:line="288" w:lineRule="auto"/>
      </w:pPr>
      <w:r>
        <w:rPr>
          <w:rFonts w:ascii="Arial" w:hAnsi="Arial"/>
          <w:b/>
          <w:color w:val="002F5F"/>
          <w:sz w:val="24"/>
        </w:rPr>
        <w:t>4.1 From 16 topics to 3</w:t>
      </w:r>
    </w:p>
    <w:p>
      <w:pPr>
        <w:spacing w:before="0" w:after="120" w:line="324" w:lineRule="auto"/>
      </w:pPr>
      <w:r>
        <w:rPr>
          <w:rFonts w:ascii="Arial" w:hAnsi="Arial"/>
          <w:color w:val="4A5663"/>
          <w:sz w:val="22"/>
        </w:rPr>
        <w:t xml:space="preserve">Aqualia's 2025 comprehensive Double Materiality Review identified </w:t>
      </w:r>
      <w:r>
        <w:rPr>
          <w:rFonts w:ascii="Arial" w:hAnsi="Arial"/>
          <w:b/>
          <w:color w:val="002F5F"/>
          <w:sz w:val="22"/>
        </w:rPr>
        <w:t>sixteen material topics</w:t>
      </w:r>
      <w:r>
        <w:rPr>
          <w:rFonts w:ascii="Arial" w:hAnsi="Arial"/>
          <w:color w:val="4A5663"/>
          <w:sz w:val="22"/>
        </w:rPr>
        <w:t xml:space="preserve"> across environmental (6), social (5), and governance (5) domains, collectively carrying </w:t>
      </w:r>
      <w:r>
        <w:rPr>
          <w:rFonts w:ascii="Arial" w:hAnsi="Arial"/>
          <w:b/>
          <w:color w:val="002F5F"/>
          <w:sz w:val="22"/>
        </w:rPr>
        <w:t>83 IROs</w:t>
      </w:r>
      <w:r>
        <w:rPr>
          <w:rFonts w:ascii="Arial" w:hAnsi="Arial"/>
          <w:color w:val="4A5663"/>
          <w:sz w:val="22"/>
        </w:rPr>
        <w:t xml:space="preserve"> (impacts, risks, and opportunities). The topics span four environmental ESRS standards (E1, E3, E4, E5) plus sector-specific AQ-tagged topics (Technological Innovation, Digitalisation), three social standards (S1 workforce, S4 customers; note: S2 and S3 are not elevated to stand-alone topics), and one governance standard (G1) split across five sub-topics.</w:t>
      </w:r>
    </w:p>
    <w:p>
      <w:pPr>
        <w:spacing w:before="0" w:after="120" w:line="324" w:lineRule="auto"/>
      </w:pPr>
      <w:r>
        <w:rPr>
          <w:rFonts w:ascii="Arial" w:hAnsi="Arial"/>
          <w:color w:val="4A5663"/>
          <w:sz w:val="22"/>
        </w:rPr>
        <w:t xml:space="preserve">Our task was to select </w:t>
      </w:r>
      <w:r>
        <w:rPr>
          <w:rFonts w:ascii="Arial" w:hAnsi="Arial"/>
          <w:b/>
          <w:color w:val="002F5F"/>
          <w:sz w:val="22"/>
        </w:rPr>
        <w:t>three</w:t>
      </w:r>
      <w:r>
        <w:rPr>
          <w:rFonts w:ascii="Arial" w:hAnsi="Arial"/>
          <w:color w:val="4A5663"/>
          <w:sz w:val="22"/>
        </w:rPr>
        <w:t xml:space="preserve"> topics that (i) reflect peer and regulator consensus on sector-core issues, (ii) surface Aqualia- specific differentiation (blind spots or advantages), and (iii) act as an organising structure for the 2027–2030 strategy. Selection was performed via an analytical funnel: sector-core overlay (5 topics treated as core by all peers); blind-spot overlay (three areas where Aqualia's framing diverges from peers or regulators); differentiator overlay (three areas where Aqualia is demonstrably ahead of peers).</w:t>
      </w:r>
    </w:p>
    <w:p>
      <w:pPr>
        <w:spacing w:before="240" w:after="80" w:line="288" w:lineRule="auto"/>
      </w:pPr>
      <w:r>
        <w:rPr>
          <w:rFonts w:ascii="Arial" w:hAnsi="Arial"/>
          <w:b/>
          <w:color w:val="002F5F"/>
          <w:sz w:val="24"/>
        </w:rPr>
        <w:t>4.2 Peer benchmarking (Exhibit 3)</w:t>
      </w:r>
    </w:p>
    <w:p>
      <w:pPr>
        <w:spacing w:before="0" w:after="120" w:line="324" w:lineRule="auto"/>
      </w:pPr>
      <w:r>
        <w:rPr>
          <w:rFonts w:ascii="Arial" w:hAnsi="Arial"/>
          <w:color w:val="4A5663"/>
          <w:sz w:val="22"/>
        </w:rPr>
        <w:t xml:space="preserve">We constructed a 14-column benchmarking matrix comparing Aqualia's 16 topics to the declared material topics of five peers (Veolia, Suez, Saur, Facsa, Global Omnium, the five named in Aqualia's own 2025 benchmark) and with Severn Trent as a CSRD-adjacent UK comparator. Detail in </w:t>
      </w:r>
      <w:r>
        <w:rPr>
          <w:rFonts w:ascii="Consolas" w:hAnsi="Consolas"/>
          <w:color w:val="4A5663"/>
          <w:sz w:val="20"/>
        </w:rPr>
        <w:t>01_research/peer_benchmark.md</w:t>
      </w:r>
      <w:r>
        <w:rPr>
          <w:rFonts w:ascii="Arial" w:hAnsi="Arial"/>
          <w:color w:val="4A5663"/>
          <w:sz w:val="22"/>
        </w:rPr>
        <w:t>.</w:t>
      </w:r>
    </w:p>
    <w:p>
      <w:pPr>
        <w:spacing w:before="0" w:after="120" w:line="324" w:lineRule="auto"/>
      </w:pPr>
      <w:r>
        <w:rPr>
          <w:rFonts w:ascii="Arial" w:hAnsi="Arial"/>
          <w:b/>
          <w:color w:val="002F5F"/>
          <w:sz w:val="22"/>
        </w:rPr>
        <w:t>Shared sector core (universal across all peers):</w:t>
      </w:r>
      <w:r>
        <w:rPr>
          <w:rFonts w:ascii="Arial" w:hAnsi="Arial"/>
          <w:color w:val="4A5663"/>
          <w:sz w:val="22"/>
        </w:rPr>
        <w:t xml:space="preserve"> climate mitigation and adaptation (E1); water resource sustainability (E3); consumer/ service resilience (S4); business conduct and compliance (G1); own workforce H&amp;S (S1). Any short-list must include at least one of these to avoid the "you missed the obvious" critique.</w:t>
      </w:r>
    </w:p>
    <w:p>
      <w:pPr>
        <w:spacing w:before="0" w:after="120" w:line="324" w:lineRule="auto"/>
      </w:pPr>
      <w:r>
        <w:rPr>
          <w:rFonts w:ascii="Arial" w:hAnsi="Arial"/>
          <w:b/>
          <w:color w:val="002F5F"/>
          <w:sz w:val="22"/>
        </w:rPr>
        <w:t>Three blind spots.</w:t>
      </w:r>
      <w:r>
        <w:rPr>
          <w:rFonts w:ascii="Arial" w:hAnsi="Arial"/>
          <w:color w:val="4A5663"/>
          <w:sz w:val="22"/>
        </w:rPr>
        <w:t xml:space="preserve"> First, </w:t>
      </w:r>
      <w:r>
        <w:rPr>
          <w:rFonts w:ascii="Arial" w:hAnsi="Arial"/>
          <w:b/>
          <w:color w:val="002F5F"/>
          <w:sz w:val="22"/>
        </w:rPr>
        <w:t>digitalisation</w:t>
      </w:r>
      <w:r>
        <w:rPr>
          <w:rFonts w:ascii="Arial" w:hAnsi="Arial"/>
          <w:color w:val="4A5663"/>
          <w:sz w:val="22"/>
        </w:rPr>
        <w:t xml:space="preserve">: Aqualia assigns it two IROs; Veolia (AquaCIS), Suez (Aquadvanced), and Global Omnium (GoAigua) each treat digital platforms as a core strategic pillar; EU Water Resilience Strategy names it Action Area 3 of 5. Second, </w:t>
      </w:r>
      <w:r>
        <w:rPr>
          <w:rFonts w:ascii="Arial" w:hAnsi="Arial"/>
          <w:b/>
          <w:color w:val="002F5F"/>
          <w:sz w:val="22"/>
        </w:rPr>
        <w:t>ESRS S3 affected communities</w:t>
      </w:r>
      <w:r>
        <w:rPr>
          <w:rFonts w:ascii="Arial" w:hAnsi="Arial"/>
          <w:color w:val="4A5663"/>
          <w:sz w:val="22"/>
        </w:rPr>
        <w:t xml:space="preserve">: Aqualia folds community-specific impacts into S4 consumer disclosures; every peer discloses S3 separately; CSRD's ESRS S3 explicitly treats communities as distinct from consumers. Third, </w:t>
      </w:r>
      <w:r>
        <w:rPr>
          <w:rFonts w:ascii="Arial" w:hAnsi="Arial"/>
          <w:b/>
          <w:color w:val="002F5F"/>
          <w:sz w:val="22"/>
        </w:rPr>
        <w:t>E5 circular economy</w:t>
      </w:r>
      <w:r>
        <w:rPr>
          <w:rFonts w:ascii="Arial" w:hAnsi="Arial"/>
          <w:color w:val="4A5663"/>
          <w:sz w:val="22"/>
        </w:rPr>
        <w:t>: Aqualia's E5 topic carries only 3 IROs; Veolia and Suez publish quantitative by-product valorisation pipelines; Directive 2024/3019 and RD 1985/2024 pull E5 to the regulatory foreground.</w:t>
      </w:r>
    </w:p>
    <w:p>
      <w:pPr>
        <w:spacing w:before="0" w:after="120" w:line="324" w:lineRule="auto"/>
      </w:pPr>
      <w:r>
        <w:rPr>
          <w:rFonts w:ascii="Arial" w:hAnsi="Arial"/>
          <w:b/>
          <w:color w:val="002F5F"/>
          <w:sz w:val="22"/>
        </w:rPr>
        <w:t>Three differentiators.</w:t>
      </w:r>
      <w:r>
        <w:rPr>
          <w:rFonts w:ascii="Arial" w:hAnsi="Arial"/>
          <w:color w:val="4A5663"/>
          <w:sz w:val="22"/>
        </w:rPr>
        <w:t xml:space="preserve"> First, green finance as a stand-alone material topic — ahead of peers. Second, explicit integration of the double materiality framework with the Corporate Risk Map, with named Executive Committee owners per risk code (S1, C1–C5, F1–F3, O1–O14). Third, TNFD integration alongside CSRD — an unusual depth among Spanish peers.</w:t>
      </w:r>
    </w:p>
    <w:p>
      <w:pPr>
        <w:spacing w:before="240" w:after="80" w:line="288" w:lineRule="auto"/>
      </w:pPr>
      <w:r>
        <w:rPr>
          <w:rFonts w:ascii="Arial" w:hAnsi="Arial"/>
          <w:b/>
          <w:color w:val="002F5F"/>
          <w:sz w:val="24"/>
        </w:rPr>
        <w:t>4.3 Final short-list (Exhibit 4 — traceability)</w:t>
      </w:r>
    </w:p>
    <w:p>
      <w:pPr>
        <w:spacing w:before="0" w:after="120" w:line="324" w:lineRule="auto"/>
      </w:pPr>
      <w:r>
        <w:rPr>
          <w:rFonts w:ascii="Arial" w:hAnsi="Arial"/>
          <w:color w:val="4A5663"/>
          <w:sz w:val="22"/>
        </w:rPr>
        <w:t>We combine one sector-core pillar with one blind-spot and one differentiator in each topic:</w:t>
      </w:r>
    </w:p>
    <w:p>
      <w:pPr>
        <w:pStyle w:val="ListNumber"/>
        <w:spacing w:before="0" w:after="60" w:line="312" w:lineRule="auto"/>
      </w:pPr>
      <w:r>
        <w:rPr>
          <w:rFonts w:ascii="Arial" w:hAnsi="Arial"/>
          <w:b/>
          <w:color w:val="002F5F"/>
          <w:sz w:val="22"/>
        </w:rPr>
        <w:t>T1 Water Resilience &amp; Equitable Access</w:t>
      </w:r>
      <w:r>
        <w:rPr>
          <w:rFonts w:ascii="Arial" w:hAnsi="Arial"/>
          <w:color w:val="4A5663"/>
          <w:sz w:val="22"/>
        </w:rPr>
        <w:t xml:space="preserve"> (sector-core + S3</w:t>
      </w:r>
    </w:p>
    <w:p>
      <w:pPr>
        <w:spacing w:before="0" w:after="120" w:line="324" w:lineRule="auto"/>
      </w:pPr>
      <w:r>
        <w:rPr>
          <w:rFonts w:ascii="Arial" w:hAnsi="Arial"/>
          <w:color w:val="4A5663"/>
          <w:sz w:val="22"/>
        </w:rPr>
        <w:t xml:space="preserve">restoration). Bundles Aqualia's E1 (9 IROs), E3 (9 IROs), S4 Service Resilience (8 IROs), with S3 restored to surface the Colombia satisfaction finding. Absorbs </w:t>
      </w:r>
      <w:r>
        <w:rPr>
          <w:rFonts w:ascii="Arial" w:hAnsi="Arial"/>
          <w:b/>
          <w:color w:val="002F5F"/>
          <w:sz w:val="22"/>
        </w:rPr>
        <w:t>26+ IROs</w:t>
      </w:r>
      <w:r>
        <w:rPr>
          <w:rFonts w:ascii="Arial" w:hAnsi="Arial"/>
          <w:color w:val="4A5663"/>
          <w:sz w:val="22"/>
        </w:rPr>
        <w:t>.</w:t>
      </w:r>
    </w:p>
    <w:p>
      <w:pPr>
        <w:pStyle w:val="ListNumber"/>
        <w:spacing w:before="0" w:after="60" w:line="312" w:lineRule="auto"/>
      </w:pPr>
      <w:r>
        <w:rPr>
          <w:rFonts w:ascii="Arial" w:hAnsi="Arial"/>
          <w:b/>
          <w:color w:val="002F5F"/>
          <w:sz w:val="22"/>
        </w:rPr>
        <w:t>T2 Digital &amp; Cyber Infrastructure</w:t>
      </w:r>
      <w:r>
        <w:rPr>
          <w:rFonts w:ascii="Arial" w:hAnsi="Arial"/>
          <w:color w:val="4A5663"/>
          <w:sz w:val="22"/>
        </w:rPr>
        <w:t xml:space="preserve"> (blind spot). Bundles</w:t>
      </w:r>
    </w:p>
    <w:p>
      <w:pPr>
        <w:spacing w:before="0" w:after="120" w:line="324" w:lineRule="auto"/>
      </w:pPr>
      <w:r>
        <w:rPr>
          <w:rFonts w:ascii="Arial" w:hAnsi="Arial"/>
          <w:color w:val="4A5663"/>
          <w:sz w:val="22"/>
        </w:rPr>
        <w:t xml:space="preserve">Technological Innovation (5 IROs), Digitalisation (2 IROs), and Cybersecurity (4 IROs). Absorbs </w:t>
      </w:r>
      <w:r>
        <w:rPr>
          <w:rFonts w:ascii="Arial" w:hAnsi="Arial"/>
          <w:b/>
          <w:color w:val="002F5F"/>
          <w:sz w:val="22"/>
        </w:rPr>
        <w:t>11 IROs</w:t>
      </w:r>
      <w:r>
        <w:rPr>
          <w:rFonts w:ascii="Arial" w:hAnsi="Arial"/>
          <w:color w:val="4A5663"/>
          <w:sz w:val="22"/>
        </w:rPr>
        <w:t>. Our Monte Carlo repositions this cluster into the Target Zone.</w:t>
      </w:r>
    </w:p>
    <w:p>
      <w:pPr>
        <w:pStyle w:val="ListNumber"/>
        <w:spacing w:before="0" w:after="60" w:line="312" w:lineRule="auto"/>
      </w:pPr>
      <w:r>
        <w:rPr>
          <w:rFonts w:ascii="Arial" w:hAnsi="Arial"/>
          <w:b/>
          <w:color w:val="002F5F"/>
          <w:sz w:val="22"/>
        </w:rPr>
        <w:t>T3 Green Finance &amp; Integrity</w:t>
      </w:r>
      <w:r>
        <w:rPr>
          <w:rFonts w:ascii="Arial" w:hAnsi="Arial"/>
          <w:color w:val="4A5663"/>
          <w:sz w:val="22"/>
        </w:rPr>
        <w:t xml:space="preserve"> (differentiator amplification).</w:t>
      </w:r>
    </w:p>
    <w:p>
      <w:pPr>
        <w:spacing w:before="0" w:after="120" w:line="324" w:lineRule="auto"/>
      </w:pPr>
      <w:r>
        <w:rPr>
          <w:rFonts w:ascii="Arial" w:hAnsi="Arial"/>
          <w:color w:val="4A5663"/>
          <w:sz w:val="22"/>
        </w:rPr>
        <w:t xml:space="preserve">Bundles the G1 cluster — Compliance Culture (11 IROs), Fight against Corruption (3), Labour Rights &amp; HR in Supply Chain (4) — with Financial Management &amp; Green Finance (6). Absorbs </w:t>
      </w:r>
      <w:r>
        <w:rPr>
          <w:rFonts w:ascii="Arial" w:hAnsi="Arial"/>
          <w:b/>
          <w:color w:val="002F5F"/>
          <w:sz w:val="22"/>
        </w:rPr>
        <w:t>24 IROs</w:t>
      </w:r>
      <w:r>
        <w:rPr>
          <w:rFonts w:ascii="Arial" w:hAnsi="Arial"/>
          <w:color w:val="4A5663"/>
          <w:sz w:val="22"/>
        </w:rPr>
        <w:t>.</w:t>
      </w:r>
    </w:p>
    <w:p>
      <w:pPr>
        <w:spacing w:before="0" w:after="120" w:line="324" w:lineRule="auto"/>
      </w:pPr>
      <w:r>
        <w:rPr>
          <w:rFonts w:ascii="Arial" w:hAnsi="Arial"/>
          <w:b/>
          <w:color w:val="002F5F"/>
          <w:sz w:val="22"/>
        </w:rPr>
        <w:t>Cumulative coverage:</w:t>
      </w:r>
      <w:r>
        <w:rPr>
          <w:rFonts w:ascii="Arial" w:hAnsi="Arial"/>
          <w:color w:val="4A5663"/>
          <w:sz w:val="22"/>
        </w:rPr>
        <w:t xml:space="preserve"> 61 of 83 IROs (</w:t>
      </w:r>
      <w:r>
        <w:rPr>
          <w:rFonts w:ascii="Arial" w:hAnsi="Arial"/>
          <w:b/>
          <w:color w:val="002F5F"/>
          <w:sz w:val="22"/>
        </w:rPr>
        <w:t>73%</w:t>
      </w:r>
      <w:r>
        <w:rPr>
          <w:rFonts w:ascii="Arial" w:hAnsi="Arial"/>
          <w:color w:val="4A5663"/>
          <w:sz w:val="22"/>
        </w:rPr>
        <w:t xml:space="preserve">) in Aqualia's 2025 review are absorbed into our three topics; no high-density topic is orphaned (see </w:t>
      </w:r>
      <w:r>
        <w:rPr>
          <w:rFonts w:ascii="Consolas" w:hAnsi="Consolas"/>
          <w:color w:val="4A5663"/>
          <w:sz w:val="20"/>
        </w:rPr>
        <w:t>short_list_lock.md</w:t>
      </w:r>
      <w:r>
        <w:rPr>
          <w:rFonts w:ascii="Arial" w:hAnsi="Arial"/>
          <w:color w:val="4A5663"/>
          <w:sz w:val="22"/>
        </w:rPr>
        <w:t xml:space="preserve"> §4 for the full rebuttal of the 13 dropped topics, reproduced in Appendix E).</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5. Impact Materiality Assessment</w:t>
      </w:r>
    </w:p>
    <w:p>
      <w:pPr>
        <w:spacing w:before="240" w:after="80" w:line="288" w:lineRule="auto"/>
      </w:pPr>
      <w:r>
        <w:rPr>
          <w:rFonts w:ascii="Arial" w:hAnsi="Arial"/>
          <w:b/>
          <w:color w:val="002F5F"/>
          <w:sz w:val="24"/>
        </w:rPr>
        <w:t>5.1 Value-chain overlay (Exhibit 5)</w:t>
      </w:r>
    </w:p>
    <w:p>
      <w:pPr>
        <w:spacing w:before="0" w:after="120" w:line="324" w:lineRule="auto"/>
      </w:pPr>
      <w:r>
        <w:rPr>
          <w:rFonts w:ascii="Arial" w:hAnsi="Arial"/>
          <w:color w:val="4A5663"/>
          <w:sz w:val="22"/>
        </w:rPr>
        <w:t xml:space="preserve">Impacts are assessed along Aqualia's end-to-end water cycle. </w:t>
      </w:r>
      <w:r>
        <w:rPr>
          <w:rFonts w:ascii="Arial" w:hAnsi="Arial"/>
          <w:b/>
          <w:color w:val="002F5F"/>
          <w:sz w:val="22"/>
        </w:rPr>
        <w:t>Upstream</w:t>
      </w:r>
      <w:r>
        <w:rPr>
          <w:rFonts w:ascii="Arial" w:hAnsi="Arial"/>
          <w:color w:val="4A5663"/>
          <w:sz w:val="22"/>
        </w:rPr>
        <w:t xml:space="preserve"> impacts (supply-chain human rights, equipment extraction footprint, procurement energy) are attributed to T3 and T2. </w:t>
      </w:r>
      <w:r>
        <w:rPr>
          <w:rFonts w:ascii="Arial" w:hAnsi="Arial"/>
          <w:b/>
          <w:color w:val="002F5F"/>
          <w:sz w:val="22"/>
        </w:rPr>
        <w:t>Own-operations</w:t>
      </w:r>
      <w:r>
        <w:rPr>
          <w:rFonts w:ascii="Arial" w:hAnsi="Arial"/>
          <w:color w:val="4A5663"/>
          <w:sz w:val="22"/>
        </w:rPr>
        <w:t xml:space="preserve"> impacts (water abstraction, WWTP emissions, chemical use, workforce safety, digital-service continuity) are dominated by T1 and T2. </w:t>
      </w:r>
      <w:r>
        <w:rPr>
          <w:rFonts w:ascii="Arial" w:hAnsi="Arial"/>
          <w:b/>
          <w:color w:val="002F5F"/>
          <w:sz w:val="22"/>
        </w:rPr>
        <w:t>Downstream</w:t>
      </w:r>
      <w:r>
        <w:rPr>
          <w:rFonts w:ascii="Arial" w:hAnsi="Arial"/>
          <w:color w:val="4A5663"/>
          <w:sz w:val="22"/>
        </w:rPr>
        <w:t xml:space="preserve"> impacts (customer safety, community access to water, biodiversity discharge effects, agricultural reuse) fall primarily within T1 and its restored S3 dimension.</w:t>
      </w:r>
    </w:p>
    <w:p>
      <w:pPr>
        <w:spacing w:before="240" w:after="80" w:line="288" w:lineRule="auto"/>
      </w:pPr>
      <w:r>
        <w:rPr>
          <w:rFonts w:ascii="Arial" w:hAnsi="Arial"/>
          <w:b/>
          <w:color w:val="002F5F"/>
          <w:sz w:val="24"/>
        </w:rPr>
        <w:t>5.2 T1 — Water Resilience &amp; Equitable Access</w:t>
      </w:r>
    </w:p>
    <w:p>
      <w:pPr>
        <w:spacing w:before="0" w:after="120" w:line="324" w:lineRule="auto"/>
      </w:pPr>
      <w:r>
        <w:rPr>
          <w:rFonts w:ascii="Arial" w:hAnsi="Arial"/>
          <w:color w:val="4A5663"/>
          <w:sz w:val="22"/>
        </w:rPr>
        <w:t>Impact materiality for T1 is driven by current, high-severity impacts affecting high-salience stakeholders. Aqualia's own operational risks O1 (deficient supplied-water quality/quantity), O2 (discharge quality impacting ecosystems), O3 (crisis continuity), and O5 (inadequate climate adaptation) are all catalogued HIGH in the Corporate Risk Map. The World Economic Forum's Global Risks 2025–2026 report ranks five of the top ten long-term risks as water-related, and projects global water demand to exceed supply by 40% by 2030.</w:t>
      </w:r>
    </w:p>
    <w:p>
      <w:pPr>
        <w:spacing w:before="0" w:after="120" w:line="324" w:lineRule="auto"/>
      </w:pPr>
      <w:r>
        <w:rPr>
          <w:rFonts w:ascii="Arial" w:hAnsi="Arial"/>
          <w:color w:val="4A5663"/>
          <w:sz w:val="22"/>
        </w:rPr>
        <w:t xml:space="preserve">The restored S3 dimension introduces the Colombia finding: Aqualia's 2024 customer satisfaction survey (n&gt;7,000) reports 88–98% satisfaction across Spain, Czech Republic, France, Portugal, Italy, and institutional/industrial segments, against </w:t>
      </w:r>
      <w:r>
        <w:rPr>
          <w:rFonts w:ascii="Arial" w:hAnsi="Arial"/>
          <w:b/>
          <w:color w:val="002F5F"/>
          <w:sz w:val="22"/>
        </w:rPr>
        <w:t>33% in Colombia</w:t>
      </w:r>
      <w:r>
        <w:rPr>
          <w:rFonts w:ascii="Arial" w:hAnsi="Arial"/>
          <w:color w:val="4A5663"/>
          <w:sz w:val="22"/>
        </w:rPr>
        <w:t xml:space="preserve"> (</w:t>
      </w:r>
      <w:r>
        <w:rPr>
          <w:rFonts w:ascii="Consolas" w:hAnsi="Consolas"/>
          <w:color w:val="4A5663"/>
          <w:sz w:val="20"/>
        </w:rPr>
        <w:t>Corporate context… 2025_ENG.pdf</w:t>
      </w:r>
      <w:r>
        <w:rPr>
          <w:rFonts w:ascii="Arial" w:hAnsi="Arial"/>
          <w:color w:val="4A5663"/>
          <w:sz w:val="22"/>
        </w:rPr>
        <w:t xml:space="preserve">, p. 15). The 55-point spread signals an S3 affected-communities issue that the current S4-only framing obscures. Monte Carlo mean Impact Severity: </w:t>
      </w:r>
      <w:r>
        <w:rPr>
          <w:rFonts w:ascii="Arial" w:hAnsi="Arial"/>
          <w:b/>
          <w:color w:val="002F5F"/>
          <w:sz w:val="22"/>
        </w:rPr>
        <w:t>3.98</w:t>
      </w:r>
      <w:r>
        <w:rPr>
          <w:rFonts w:ascii="Arial" w:hAnsi="Arial"/>
          <w:color w:val="4A5663"/>
          <w:sz w:val="22"/>
        </w:rPr>
        <w:t>, 90% interval [3.87, 4.09].</w:t>
      </w:r>
    </w:p>
    <w:p>
      <w:pPr>
        <w:spacing w:before="240" w:after="80" w:line="288" w:lineRule="auto"/>
      </w:pPr>
      <w:r>
        <w:rPr>
          <w:rFonts w:ascii="Arial" w:hAnsi="Arial"/>
          <w:b/>
          <w:color w:val="002F5F"/>
          <w:sz w:val="24"/>
        </w:rPr>
        <w:t>5.3 T2 — Digital &amp; Cyber Infrastructure</w:t>
      </w:r>
    </w:p>
    <w:p>
      <w:pPr>
        <w:spacing w:before="0" w:after="120" w:line="324" w:lineRule="auto"/>
      </w:pPr>
      <w:r>
        <w:rPr>
          <w:rFonts w:ascii="Arial" w:hAnsi="Arial"/>
          <w:color w:val="4A5663"/>
          <w:sz w:val="22"/>
        </w:rPr>
        <w:t xml:space="preserve">Impact materiality for T2 is driven by three operational risks Aqualia itself rates HIGH — O8 (poor digital deployment), O9 (deficient cyber response plan), and O10 (customer-data management) — despite the topic carrying only two IROs in the 2025 matrix. The stakeholder-salience weighting amplifies: customers (0.120), public authorities (0.120), employees (0.120), and investors (0.080) are all materially affected. Peer comparators demonstrate that digital capability has direct impact materiality on service continuity and data privacy: the Thames Water 2023 cyber-incident disclosure and the Severn Trent 2024 OT/IT exposure update both quantify service-continuity impacts on millions of users. Monte Carlo mean Impact Severity: </w:t>
      </w:r>
      <w:r>
        <w:rPr>
          <w:rFonts w:ascii="Arial" w:hAnsi="Arial"/>
          <w:b/>
          <w:color w:val="002F5F"/>
          <w:sz w:val="22"/>
        </w:rPr>
        <w:t>3.08</w:t>
      </w:r>
      <w:r>
        <w:rPr>
          <w:rFonts w:ascii="Arial" w:hAnsi="Arial"/>
          <w:color w:val="4A5663"/>
          <w:sz w:val="22"/>
        </w:rPr>
        <w:t>, 90% interval [2.93, 3.24].</w:t>
      </w:r>
    </w:p>
    <w:p>
      <w:pPr>
        <w:spacing w:before="240" w:after="80" w:line="288" w:lineRule="auto"/>
      </w:pPr>
      <w:r>
        <w:rPr>
          <w:rFonts w:ascii="Arial" w:hAnsi="Arial"/>
          <w:b/>
          <w:color w:val="002F5F"/>
          <w:sz w:val="24"/>
        </w:rPr>
        <w:t>5.4 T3 — Green Finance &amp; Integrity</w:t>
      </w:r>
    </w:p>
    <w:p>
      <w:pPr>
        <w:spacing w:before="0" w:after="120" w:line="324" w:lineRule="auto"/>
      </w:pPr>
      <w:r>
        <w:rPr>
          <w:rFonts w:ascii="Arial" w:hAnsi="Arial"/>
          <w:color w:val="4A5663"/>
          <w:sz w:val="22"/>
        </w:rPr>
        <w:t xml:space="preserve">Impact materiality for T3 is governance-heavy. The Compliance cluster (11 IROs) covers CSRD reporting obligations, contract compliance with Public Administrations and private principals, Corporate Compliance Management System alignment, and tax compliance — each with a named owner in Aqualia's Risk List. Labour rights and human rights in the supply chain (4 IROs) introduce workforce impacts upstream. Green finance as a stand-alone topic (6 IROs) creates a positive-impact channel via capital-markets signalling to investors and rating agencies. Monte Carlo mean Impact Severity: </w:t>
      </w:r>
      <w:r>
        <w:rPr>
          <w:rFonts w:ascii="Arial" w:hAnsi="Arial"/>
          <w:b/>
          <w:color w:val="002F5F"/>
          <w:sz w:val="22"/>
        </w:rPr>
        <w:t>3.24</w:t>
      </w:r>
      <w:r>
        <w:rPr>
          <w:rFonts w:ascii="Arial" w:hAnsi="Arial"/>
          <w:color w:val="4A5663"/>
          <w:sz w:val="22"/>
        </w:rPr>
        <w:t>, 90% interval [3.08, 3.41].</w:t>
      </w:r>
    </w:p>
    <w:p>
      <w:pPr>
        <w:spacing w:before="240" w:after="80" w:line="288" w:lineRule="auto"/>
      </w:pPr>
      <w:r>
        <w:rPr>
          <w:rFonts w:ascii="Arial" w:hAnsi="Arial"/>
          <w:b/>
          <w:color w:val="002F5F"/>
          <w:sz w:val="24"/>
        </w:rPr>
        <w:t>5.5 The Colombia outlier (Exhibit 7)</w:t>
      </w:r>
    </w:p>
    <w:p>
      <w:pPr>
        <w:spacing w:before="0" w:after="120" w:line="324" w:lineRule="auto"/>
      </w:pPr>
      <w:r>
        <w:rPr>
          <w:rFonts w:ascii="Arial" w:hAnsi="Arial"/>
          <w:color w:val="4A5663"/>
          <w:sz w:val="22"/>
        </w:rPr>
        <w:t>We highlight this as a standalone finding. The spread between Colombia (33%) and the next-lowest market (Portugal, 65%) is 32 points; the spread to Italy (67%) is 34 points; to Spain (88%) is 55 points. Aqualia's 2025 review does not discuss Colombia specifically in the S4 topic; the framing treats satisfaction as a group-level customer- experience measure. Under ESRS S3, which specifically concerns affected communities rather than end-users, a 33% satisfaction market with ongoing supply reliability issues (documented in the 2024 report, pp. 148–155) represents material impact on affected communities. Our recommendation is to re-surface S3 as its own disclosure rather than as a subset of S4 (see §8 roadmap T1-2027).</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6. Financial Materiality Assessment</w:t>
      </w:r>
    </w:p>
    <w:p>
      <w:pPr>
        <w:spacing w:before="240" w:after="80" w:line="288" w:lineRule="auto"/>
      </w:pPr>
      <w:r>
        <w:rPr>
          <w:rFonts w:ascii="Arial" w:hAnsi="Arial"/>
          <w:b/>
          <w:color w:val="002F5F"/>
          <w:sz w:val="24"/>
        </w:rPr>
        <w:t>6.1 Per-topic financial decomposition</w:t>
      </w:r>
    </w:p>
    <w:p>
      <w:pPr>
        <w:spacing w:before="0" w:after="120" w:line="324" w:lineRule="auto"/>
      </w:pPr>
      <w:r>
        <w:rPr>
          <w:rFonts w:ascii="Arial" w:hAnsi="Arial"/>
          <w:color w:val="4A5663"/>
          <w:sz w:val="22"/>
        </w:rPr>
        <w:t xml:space="preserve">Each topic decomposes into five financial channels: revenue at risk, revenue upside, OPEX impact, CAPEX needs, and contingent liabilities. For each channel we estimate a triangular distribution (low / base / high) anchored to Aqualia's public financial scale, peer disclosures, and regulatory cost factors. Full assumption log A01–A17 is in Appendix B; detail at </w:t>
      </w:r>
      <w:r>
        <w:rPr>
          <w:rFonts w:ascii="Consolas" w:hAnsi="Consolas"/>
          <w:color w:val="4A5663"/>
          <w:sz w:val="20"/>
        </w:rPr>
        <w:t>financials.md</w:t>
      </w:r>
      <w:r>
        <w:rPr>
          <w:rFonts w:ascii="Arial" w:hAnsi="Arial"/>
          <w:color w:val="4A5663"/>
          <w:sz w:val="22"/>
        </w:rPr>
        <w:t>.</w:t>
      </w:r>
    </w:p>
    <w:p>
      <w:pPr>
        <w:spacing w:before="0" w:after="120" w:line="324" w:lineRule="auto"/>
      </w:pPr>
      <w:r>
        <w:rPr>
          <w:rFonts w:ascii="Arial" w:hAnsi="Arial"/>
          <w:b/>
          <w:color w:val="002F5F"/>
          <w:sz w:val="22"/>
        </w:rPr>
        <w:t>T1 (€ per year where applicable; € cumulative where CAPEX):</w:t>
      </w:r>
      <w:r>
        <w:rPr>
          <w:rFonts w:ascii="Arial" w:hAnsi="Arial"/>
          <w:color w:val="4A5663"/>
          <w:sz w:val="22"/>
        </w:rPr>
        <w:t xml:space="preserve"> Revenue at risk </w:t>
      </w:r>
      <w:r>
        <w:rPr>
          <w:rFonts w:ascii="Arial" w:hAnsi="Arial"/>
          <w:b/>
          <w:color w:val="002F5F"/>
          <w:sz w:val="22"/>
        </w:rPr>
        <w:t>€25–110 M</w:t>
      </w:r>
      <w:r>
        <w:rPr>
          <w:rFonts w:ascii="Arial" w:hAnsi="Arial"/>
          <w:color w:val="4A5663"/>
          <w:sz w:val="22"/>
        </w:rPr>
        <w:t xml:space="preserve"> from concession loss and tariff pressure in water-stressed basins (A03); revenue upside </w:t>
      </w:r>
      <w:r>
        <w:rPr>
          <w:rFonts w:ascii="Arial" w:hAnsi="Arial"/>
          <w:b/>
          <w:color w:val="002F5F"/>
          <w:sz w:val="22"/>
        </w:rPr>
        <w:t>€15–75 M</w:t>
      </w:r>
      <w:r>
        <w:rPr>
          <w:rFonts w:ascii="Arial" w:hAnsi="Arial"/>
          <w:color w:val="4A5663"/>
          <w:sz w:val="22"/>
        </w:rPr>
        <w:t xml:space="preserve"> from the reuse market under RD 1985/2024 and nature credits (A04); OPEX impact </w:t>
      </w:r>
      <w:r>
        <w:rPr>
          <w:rFonts w:ascii="Arial" w:hAnsi="Arial"/>
          <w:b/>
          <w:color w:val="002F5F"/>
          <w:sz w:val="22"/>
        </w:rPr>
        <w:t>€8–32 M/yr</w:t>
      </w:r>
      <w:r>
        <w:rPr>
          <w:rFonts w:ascii="Arial" w:hAnsi="Arial"/>
          <w:color w:val="4A5663"/>
          <w:sz w:val="22"/>
        </w:rPr>
        <w:t xml:space="preserve"> under UWWTD recast and chemical cost inflation (A05); CAPEX needs </w:t>
      </w:r>
      <w:r>
        <w:rPr>
          <w:rFonts w:ascii="Arial" w:hAnsi="Arial"/>
          <w:b/>
          <w:color w:val="002F5F"/>
          <w:sz w:val="22"/>
        </w:rPr>
        <w:t>€220–520 M cumulative 2027–2030</w:t>
      </w:r>
      <w:r>
        <w:rPr>
          <w:rFonts w:ascii="Arial" w:hAnsi="Arial"/>
          <w:color w:val="4A5663"/>
          <w:sz w:val="22"/>
        </w:rPr>
        <w:t xml:space="preserve"> across desalination, reuse, leak reduction, and WWTP energy-neutrality (A06); contingent liabilities </w:t>
      </w:r>
      <w:r>
        <w:rPr>
          <w:rFonts w:ascii="Arial" w:hAnsi="Arial"/>
          <w:b/>
          <w:color w:val="002F5F"/>
          <w:sz w:val="22"/>
        </w:rPr>
        <w:t>€10–65 M</w:t>
      </w:r>
      <w:r>
        <w:rPr>
          <w:rFonts w:ascii="Arial" w:hAnsi="Arial"/>
          <w:color w:val="4A5663"/>
          <w:sz w:val="22"/>
        </w:rPr>
        <w:t xml:space="preserve"> from WFD and service-continuity fines (A07).</w:t>
      </w:r>
    </w:p>
    <w:p>
      <w:pPr>
        <w:spacing w:before="0" w:after="120" w:line="324" w:lineRule="auto"/>
      </w:pPr>
      <w:r>
        <w:rPr>
          <w:rFonts w:ascii="Arial" w:hAnsi="Arial"/>
          <w:b/>
          <w:color w:val="002F5F"/>
          <w:sz w:val="22"/>
        </w:rPr>
        <w:t>T2:</w:t>
      </w:r>
      <w:r>
        <w:rPr>
          <w:rFonts w:ascii="Arial" w:hAnsi="Arial"/>
          <w:color w:val="4A5663"/>
          <w:sz w:val="22"/>
        </w:rPr>
        <w:t xml:space="preserve"> Revenue at risk </w:t>
      </w:r>
      <w:r>
        <w:rPr>
          <w:rFonts w:ascii="Arial" w:hAnsi="Arial"/>
          <w:b/>
          <w:color w:val="002F5F"/>
          <w:sz w:val="22"/>
        </w:rPr>
        <w:t>€12–80 M</w:t>
      </w:r>
      <w:r>
        <w:rPr>
          <w:rFonts w:ascii="Arial" w:hAnsi="Arial"/>
          <w:color w:val="4A5663"/>
          <w:sz w:val="22"/>
        </w:rPr>
        <w:t xml:space="preserve"> from cyber-incident service interruption and GDPR/NIS2 fines (A08); revenue upside </w:t>
      </w:r>
      <w:r>
        <w:rPr>
          <w:rFonts w:ascii="Arial" w:hAnsi="Arial"/>
          <w:b/>
          <w:color w:val="002F5F"/>
          <w:sz w:val="22"/>
        </w:rPr>
        <w:t>€8–45 M</w:t>
      </w:r>
      <w:r>
        <w:rPr>
          <w:rFonts w:ascii="Arial" w:hAnsi="Arial"/>
          <w:color w:val="4A5663"/>
          <w:sz w:val="22"/>
        </w:rPr>
        <w:t xml:space="preserve"> from tender win-rate uplift on digital differentiation (A09); OPEX impact </w:t>
      </w:r>
      <w:r>
        <w:rPr>
          <w:rFonts w:ascii="Arial" w:hAnsi="Arial"/>
          <w:b/>
          <w:color w:val="002F5F"/>
          <w:sz w:val="22"/>
        </w:rPr>
        <w:t>€4–14 M/yr</w:t>
      </w:r>
      <w:r>
        <w:rPr>
          <w:rFonts w:ascii="Arial" w:hAnsi="Arial"/>
          <w:color w:val="4A5663"/>
          <w:sz w:val="22"/>
        </w:rPr>
        <w:t xml:space="preserve"> on cyber and IT above baseline (A10); CAPEX </w:t>
      </w:r>
      <w:r>
        <w:rPr>
          <w:rFonts w:ascii="Arial" w:hAnsi="Arial"/>
          <w:b/>
          <w:color w:val="002F5F"/>
          <w:sz w:val="22"/>
        </w:rPr>
        <w:t>€45–130 M cumulative</w:t>
      </w:r>
      <w:r>
        <w:rPr>
          <w:rFonts w:ascii="Arial" w:hAnsi="Arial"/>
          <w:color w:val="4A5663"/>
          <w:sz w:val="22"/>
        </w:rPr>
        <w:t xml:space="preserve"> on digital-twin rollout and OT/IT segmentation (A11); contingent liabilities </w:t>
      </w:r>
      <w:r>
        <w:rPr>
          <w:rFonts w:ascii="Arial" w:hAnsi="Arial"/>
          <w:b/>
          <w:color w:val="002F5F"/>
          <w:sz w:val="22"/>
        </w:rPr>
        <w:t>€5–56 M</w:t>
      </w:r>
      <w:r>
        <w:rPr>
          <w:rFonts w:ascii="Arial" w:hAnsi="Arial"/>
          <w:color w:val="4A5663"/>
          <w:sz w:val="22"/>
        </w:rPr>
        <w:t xml:space="preserve"> from NIS2 and GDPR maximum fines (A12).</w:t>
      </w:r>
    </w:p>
    <w:p>
      <w:pPr>
        <w:spacing w:before="0" w:after="120" w:line="324" w:lineRule="auto"/>
      </w:pPr>
      <w:r>
        <w:rPr>
          <w:rFonts w:ascii="Arial" w:hAnsi="Arial"/>
          <w:b/>
          <w:color w:val="002F5F"/>
          <w:sz w:val="22"/>
        </w:rPr>
        <w:t>T3:</w:t>
      </w:r>
      <w:r>
        <w:rPr>
          <w:rFonts w:ascii="Arial" w:hAnsi="Arial"/>
          <w:color w:val="4A5663"/>
          <w:sz w:val="22"/>
        </w:rPr>
        <w:t xml:space="preserve"> Revenue at risk </w:t>
      </w:r>
      <w:r>
        <w:rPr>
          <w:rFonts w:ascii="Arial" w:hAnsi="Arial"/>
          <w:b/>
          <w:color w:val="002F5F"/>
          <w:sz w:val="22"/>
        </w:rPr>
        <w:t>€8–50 M</w:t>
      </w:r>
      <w:r>
        <w:rPr>
          <w:rFonts w:ascii="Arial" w:hAnsi="Arial"/>
          <w:color w:val="4A5663"/>
          <w:sz w:val="22"/>
        </w:rPr>
        <w:t xml:space="preserve"> from ESG-laggard cost-of-capital spread and financing-window loss (A13); revenue upside </w:t>
      </w:r>
      <w:r>
        <w:rPr>
          <w:rFonts w:ascii="Arial" w:hAnsi="Arial"/>
          <w:b/>
          <w:color w:val="002F5F"/>
          <w:sz w:val="22"/>
        </w:rPr>
        <w:t>€6–28 M</w:t>
      </w:r>
      <w:r>
        <w:rPr>
          <w:rFonts w:ascii="Arial" w:hAnsi="Arial"/>
          <w:color w:val="4A5663"/>
          <w:sz w:val="22"/>
        </w:rPr>
        <w:t xml:space="preserve"> from green-bond coupon savings (A14); cost-of-capital saving </w:t>
      </w:r>
      <w:r>
        <w:rPr>
          <w:rFonts w:ascii="Arial" w:hAnsi="Arial"/>
          <w:b/>
          <w:color w:val="002F5F"/>
          <w:sz w:val="22"/>
        </w:rPr>
        <w:t>€4–24 M/yr</w:t>
      </w:r>
      <w:r>
        <w:rPr>
          <w:rFonts w:ascii="Arial" w:hAnsi="Arial"/>
          <w:color w:val="4A5663"/>
          <w:sz w:val="22"/>
        </w:rPr>
        <w:t xml:space="preserve"> over the refinancing cycle (A15); CAPEX </w:t>
      </w:r>
      <w:r>
        <w:rPr>
          <w:rFonts w:ascii="Arial" w:hAnsi="Arial"/>
          <w:b/>
          <w:color w:val="002F5F"/>
          <w:sz w:val="22"/>
        </w:rPr>
        <w:t>€8–35 M cumulative</w:t>
      </w:r>
      <w:r>
        <w:rPr>
          <w:rFonts w:ascii="Arial" w:hAnsi="Arial"/>
          <w:color w:val="4A5663"/>
          <w:sz w:val="22"/>
        </w:rPr>
        <w:t xml:space="preserve"> on compliance systems (A16); contingent liabilities </w:t>
      </w:r>
      <w:r>
        <w:rPr>
          <w:rFonts w:ascii="Arial" w:hAnsi="Arial"/>
          <w:b/>
          <w:color w:val="002F5F"/>
          <w:sz w:val="22"/>
        </w:rPr>
        <w:t>€3–35 M</w:t>
      </w:r>
      <w:r>
        <w:rPr>
          <w:rFonts w:ascii="Arial" w:hAnsi="Arial"/>
          <w:color w:val="4A5663"/>
          <w:sz w:val="22"/>
        </w:rPr>
        <w:t xml:space="preserve"> from CSDDD civil-liability and Omnibus-I interactions (A17).</w:t>
      </w:r>
    </w:p>
    <w:p>
      <w:pPr>
        <w:spacing w:before="0" w:after="120" w:line="324" w:lineRule="auto"/>
      </w:pPr>
      <w:r>
        <w:rPr>
          <w:rFonts w:ascii="Arial" w:hAnsi="Arial"/>
          <w:b/>
          <w:color w:val="002F5F"/>
          <w:sz w:val="22"/>
        </w:rPr>
        <w:t>Five-dimension mapping to the brief.</w:t>
      </w:r>
      <w:r>
        <w:rPr>
          <w:rFonts w:ascii="Arial" w:hAnsi="Arial"/>
          <w:color w:val="4A5663"/>
          <w:sz w:val="22"/>
        </w:rPr>
        <w:t xml:space="preserve"> The Aqualia Datathon brief (§3) requires financial materiality to be assessed against *revenues, costs, assets, liabilities, or overall enterprise value*. Each topic's principal R&amp;O channels tag explicitly to these five dimensions:</w:t>
      </w:r>
    </w:p>
    <w:tbl>
      <w:tblPr>
        <w:tblStyle w:val="LightGrid-Accent1"/>
        <w:tblW w:type="auto" w:w="0"/>
        <w:jc w:val="lef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Revenues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Costs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Assets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Liabilities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Enterprise value</w:t>
            </w:r>
          </w:p>
        </w:tc>
      </w:tr>
      <w:tr>
        <w:tc>
          <w:tcPr>
            <w:tcW w:type="dxa" w:w="1560"/>
            <w:tcMar>
              <w:top w:w="80" w:type="dxa"/>
              <w:bottom w:w="80" w:type="dxa"/>
              <w:left w:w="120" w:type="dxa"/>
              <w:right w:w="120" w:type="dxa"/>
            </w:tcMar>
          </w:tcPr>
          <w:p>
            <w:pPr>
              <w:spacing w:before="0" w:after="0" w:line="300" w:lineRule="auto"/>
            </w:pPr>
            <w:r>
              <w:rPr>
                <w:rFonts w:ascii="Arial" w:hAnsi="Arial"/>
                <w:b/>
                <w:color w:val="002F5F"/>
                <w:sz w:val="20"/>
              </w:rPr>
              <w:t>T1</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 revenue at risk €25–110 M; reuse-market upside €15–75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OPEX €8–32 M/yr (UWWTD, chemicals, emerging pollutants)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€220–520 M CAPEX creates and protects asset base; stranded-asset risk on water-stressed infrastructure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Contingent €10–65 M (WFD, CSDDD civil liability, service-continuity fines)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Concession-renewal multiple discount under sustained water stress</w:t>
            </w:r>
          </w:p>
        </w:tc>
      </w:tr>
      <w:tr>
        <w:tc>
          <w:tcPr>
            <w:tcW w:type="dxa" w:w="1560"/>
            <w:tcMar>
              <w:top w:w="80" w:type="dxa"/>
              <w:bottom w:w="80" w:type="dxa"/>
              <w:left w:w="120" w:type="dxa"/>
              <w:right w:w="120" w:type="dxa"/>
            </w:tcMar>
          </w:tcPr>
          <w:p>
            <w:pPr>
              <w:spacing w:before="0" w:after="0" w:line="300" w:lineRule="auto"/>
            </w:pPr>
            <w:r>
              <w:rPr>
                <w:rFonts w:ascii="Arial" w:hAnsi="Arial"/>
                <w:b/>
                <w:color w:val="002F5F"/>
                <w:sz w:val="20"/>
              </w:rPr>
              <w:t>T2</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Tender-win uplift €8–45 M on digital differentiation; cyber-incident service-interruption revenue risk</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Cyber + digital OPEX €4–14 M/yr; incident-response cost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€45–130 M CAPEX — digital-twin platform and OT/IT segmentation asset base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GDPR / NIS2 fines €5–56 M; contract SLA penalties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Technology-differentiation multiple uplift vs peers</w:t>
            </w:r>
          </w:p>
        </w:tc>
      </w:tr>
      <w:tr>
        <w:tc>
          <w:tcPr>
            <w:tcW w:type="dxa" w:w="1560"/>
            <w:tcMar>
              <w:top w:w="80" w:type="dxa"/>
              <w:bottom w:w="80" w:type="dxa"/>
              <w:left w:w="120" w:type="dxa"/>
              <w:right w:w="120" w:type="dxa"/>
            </w:tcMar>
          </w:tcPr>
          <w:p>
            <w:pPr>
              <w:spacing w:before="0" w:after="0" w:line="300" w:lineRule="auto"/>
            </w:pPr>
            <w:r>
              <w:rPr>
                <w:rFonts w:ascii="Arial" w:hAnsi="Arial"/>
                <w:b/>
                <w:color w:val="002F5F"/>
                <w:sz w:val="20"/>
              </w:rPr>
              <w:t>T3</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Cost-of-capital saving ~€8 M/yr nominal (€31 M PV, 10 y)</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Green-bond liability priced ≤ vanilla comparable; contingent CSDDD €3–35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ESG-rating-driven enterprise value re-rating</w:t>
            </w:r>
          </w:p>
        </w:tc>
      </w:tr>
    </w:tbl>
    <w:p>
      <w:pPr>
        <w:spacing w:before="0" w:after="120" w:line="324" w:lineRule="auto"/>
      </w:pPr>
    </w:p>
    <w:p>
      <w:pPr>
        <w:spacing w:before="0" w:after="120" w:line="324" w:lineRule="auto"/>
      </w:pPr>
      <w:r>
        <w:rPr>
          <w:rFonts w:ascii="Arial" w:hAnsi="Arial"/>
          <w:color w:val="4A5663"/>
          <w:sz w:val="22"/>
        </w:rPr>
        <w:t>This satisfies the brief's explicit five-dimension requirement and makes the P&amp;L and balance-sheet incidence of each topic auditable by Aqualia's CFO office at channel level.</w:t>
      </w:r>
    </w:p>
    <w:p>
      <w:pPr>
        <w:spacing w:before="0" w:after="120" w:line="324" w:lineRule="auto"/>
      </w:pPr>
      <w:r>
        <w:rPr>
          <w:rFonts w:ascii="Arial" w:hAnsi="Arial"/>
          <w:b/>
          <w:color w:val="002F5F"/>
          <w:sz w:val="22"/>
        </w:rPr>
        <w:t>The €18 M/yr headline — full derivation.</w:t>
      </w:r>
      <w:r>
        <w:rPr>
          <w:rFonts w:ascii="Arial" w:hAnsi="Arial"/>
          <w:color w:val="4A5663"/>
          <w:sz w:val="22"/>
        </w:rPr>
        <w:t xml:space="preserve"> Aggregating *net recurring* annual financial materiality (revenue at risk minus revenue upside minus cost-of-capital saving; CAPEX excluded because it is investment, not recurring materiality; full workings in </w:t>
      </w:r>
      <w:r>
        <w:rPr>
          <w:rFonts w:ascii="Consolas" w:hAnsi="Consolas"/>
          <w:color w:val="4A5663"/>
          <w:sz w:val="20"/>
        </w:rPr>
        <w:t>financials.md §6</w:t>
      </w:r>
      <w:r>
        <w:rPr>
          <w:rFonts w:ascii="Arial" w:hAnsi="Arial"/>
          <w:color w:val="4A5663"/>
          <w:sz w:val="22"/>
        </w:rPr>
        <w:t>):</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Net recurring (€ M/yr, base)</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Composition</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T1</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−15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−55 revenue at risk + 40 reuse upside</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T2</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−8</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−30 revenue at risk + 22 tender-uplift</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T3</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−22 compliance drag + 15 rating premium + 12 cost-of-capital saving</w:t>
            </w:r>
          </w:p>
        </w:tc>
      </w:tr>
      <w:tr>
        <w:tc>
          <w:tcPr>
            <w:tcW w:type="dxa" w:w="3120"/>
            <w:tcMar>
              <w:top w:w="80" w:type="dxa"/>
              <w:bottom w:w="80" w:type="dxa"/>
              <w:left w:w="120" w:type="dxa"/>
              <w:right w:w="120" w:type="dxa"/>
            </w:tcMar>
          </w:tcPr>
          <w:p>
            <w:pPr>
              <w:spacing w:before="0" w:after="0" w:line="300" w:lineRule="auto"/>
            </w:pPr>
            <w:r>
              <w:rPr>
                <w:rFonts w:ascii="Arial" w:hAnsi="Arial"/>
                <w:b/>
                <w:color w:val="002F5F"/>
                <w:sz w:val="20"/>
              </w:rPr>
              <w:t>Total</w:t>
            </w:r>
          </w:p>
        </w:tc>
        <w:tc>
          <w:tcPr>
            <w:tcW w:type="dxa" w:w="3120"/>
            <w:tcMar>
              <w:top w:w="80" w:type="dxa"/>
              <w:bottom w:w="80" w:type="dxa"/>
              <w:left w:w="120" w:type="dxa"/>
              <w:right w:w="120" w:type="dxa"/>
            </w:tcMar>
          </w:tcPr>
          <w:p>
            <w:pPr>
              <w:spacing w:before="0" w:after="0" w:line="300" w:lineRule="auto"/>
            </w:pPr>
            <w:r>
              <w:rPr>
                <w:rFonts w:ascii="Arial" w:hAnsi="Arial"/>
                <w:b/>
                <w:color w:val="002F5F"/>
                <w:sz w:val="20"/>
              </w:rPr>
              <w:t>−18 M/yr</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Net drag Aqualia's current framework under-weights</w:t>
            </w:r>
          </w:p>
        </w:tc>
      </w:tr>
    </w:tbl>
    <w:p>
      <w:pPr>
        <w:spacing w:before="0" w:after="120" w:line="324" w:lineRule="auto"/>
      </w:pPr>
    </w:p>
    <w:p>
      <w:pPr>
        <w:spacing w:before="0" w:after="120" w:line="324" w:lineRule="auto"/>
      </w:pPr>
      <w:r>
        <w:rPr>
          <w:rFonts w:ascii="Arial" w:hAnsi="Arial"/>
          <w:color w:val="4A5663"/>
          <w:sz w:val="22"/>
        </w:rPr>
        <w:t>This €18 M/yr is recurring, not one-off, and excludes the €440 M cumulative 2027–2030 CAPEX implication. Under ±20% revenue-anchor sensitivity (A01), the headline scales to −€14 M/yr (low anchor) or −€22 M/yr (high anchor); sign and conclusion are stable in both directions.</w:t>
      </w:r>
    </w:p>
    <w:p>
      <w:pPr>
        <w:spacing w:before="240" w:after="80" w:line="288" w:lineRule="auto"/>
      </w:pPr>
      <w:r>
        <w:rPr>
          <w:rFonts w:ascii="Arial" w:hAnsi="Arial"/>
          <w:b/>
          <w:color w:val="002F5F"/>
          <w:sz w:val="24"/>
        </w:rPr>
        <w:t>6.2 Matrix-position financial scores</w:t>
      </w:r>
    </w:p>
    <w:p>
      <w:pPr>
        <w:spacing w:before="0" w:after="120" w:line="324" w:lineRule="auto"/>
      </w:pPr>
      <w:r>
        <w:rPr>
          <w:rFonts w:ascii="Arial" w:hAnsi="Arial"/>
          <w:color w:val="4A5663"/>
          <w:sz w:val="22"/>
        </w:rPr>
        <w:t xml:space="preserve">Monte Carlo propagation of the triangular ranges through the scoring rubric yields financial severity scores of </w:t>
      </w:r>
      <w:r>
        <w:rPr>
          <w:rFonts w:ascii="Arial" w:hAnsi="Arial"/>
          <w:b/>
          <w:color w:val="002F5F"/>
          <w:sz w:val="22"/>
        </w:rPr>
        <w:t>3.07</w:t>
      </w:r>
      <w:r>
        <w:rPr>
          <w:rFonts w:ascii="Arial" w:hAnsi="Arial"/>
          <w:color w:val="4A5663"/>
          <w:sz w:val="22"/>
        </w:rPr>
        <w:t xml:space="preserve"> (T1), </w:t>
      </w:r>
      <w:r>
        <w:rPr>
          <w:rFonts w:ascii="Arial" w:hAnsi="Arial"/>
          <w:b/>
          <w:color w:val="002F5F"/>
          <w:sz w:val="22"/>
        </w:rPr>
        <w:t>2.75</w:t>
      </w:r>
      <w:r>
        <w:rPr>
          <w:rFonts w:ascii="Arial" w:hAnsi="Arial"/>
          <w:color w:val="4A5663"/>
          <w:sz w:val="22"/>
        </w:rPr>
        <w:t xml:space="preserve"> (T2), and </w:t>
      </w:r>
      <w:r>
        <w:rPr>
          <w:rFonts w:ascii="Arial" w:hAnsi="Arial"/>
          <w:b/>
          <w:color w:val="002F5F"/>
          <w:sz w:val="22"/>
        </w:rPr>
        <w:t>2.42</w:t>
      </w:r>
      <w:r>
        <w:rPr>
          <w:rFonts w:ascii="Arial" w:hAnsi="Arial"/>
          <w:color w:val="4A5663"/>
          <w:sz w:val="22"/>
        </w:rPr>
        <w:t xml:space="preserve"> (T3) — the x-coordinates of the matrix centroids in Exhibit 12.</w:t>
      </w:r>
    </w:p>
    <w:p>
      <w:pPr>
        <w:spacing w:before="240" w:after="80" w:line="288" w:lineRule="auto"/>
      </w:pPr>
      <w:r>
        <w:rPr>
          <w:rFonts w:ascii="Arial" w:hAnsi="Arial"/>
          <w:b/>
          <w:color w:val="002F5F"/>
          <w:sz w:val="24"/>
        </w:rPr>
        <w:t>6.3 Aqueduct water-stress overlay (Exhibit 9)</w:t>
      </w:r>
    </w:p>
    <w:p>
      <w:pPr>
        <w:spacing w:before="0" w:after="120" w:line="324" w:lineRule="auto"/>
      </w:pPr>
      <w:r>
        <w:rPr>
          <w:rFonts w:ascii="Arial" w:hAnsi="Arial"/>
          <w:color w:val="4A5663"/>
          <w:sz w:val="22"/>
        </w:rPr>
        <w:t>The T1 financial case depends critically on the geographic exposure of Aqualia's concession base to water stress. Using WRI Aqueduct 4.0 baseline water-stress categories overlaid on Aqualia's declared service geography (</w:t>
      </w:r>
      <w:r>
        <w:rPr>
          <w:rFonts w:ascii="Consolas" w:hAnsi="Consolas"/>
          <w:color w:val="4A5663"/>
          <w:sz w:val="20"/>
        </w:rPr>
        <w:t>water_stress.md</w:t>
      </w:r>
      <w:r>
        <w:rPr>
          <w:rFonts w:ascii="Arial" w:hAnsi="Arial"/>
          <w:color w:val="4A5663"/>
          <w:sz w:val="22"/>
        </w:rPr>
        <w:t xml:space="preserve"> §2), we estimate that </w:t>
      </w:r>
      <w:r>
        <w:rPr>
          <w:rFonts w:ascii="Arial" w:hAnsi="Arial"/>
          <w:b/>
          <w:color w:val="002F5F"/>
          <w:sz w:val="22"/>
        </w:rPr>
        <w:t>45% of Aqualia's revenue base operates in basins classified High or Extremely High water stress</w:t>
      </w:r>
      <w:r>
        <w:rPr>
          <w:rFonts w:ascii="Arial" w:hAnsi="Arial"/>
          <w:color w:val="4A5663"/>
          <w:sz w:val="22"/>
        </w:rPr>
        <w:t xml:space="preserve"> today (Segura, Guadalquivir, Po, Sicily, Algarve, Languedoc). Under a BAU-2030 climate scenario (SSP3/RCP 7.0), that share </w:t>
      </w:r>
      <w:r>
        <w:rPr>
          <w:rFonts w:ascii="Arial" w:hAnsi="Arial"/>
          <w:b/>
          <w:color w:val="002F5F"/>
          <w:sz w:val="22"/>
        </w:rPr>
        <w:t>nearly doubles to 79%</w:t>
      </w:r>
      <w:r>
        <w:rPr>
          <w:rFonts w:ascii="Arial" w:hAnsi="Arial"/>
          <w:color w:val="4A5663"/>
          <w:sz w:val="22"/>
        </w:rPr>
        <w:t>. This is the principal driver of assumption A03 and the main sensitivity lever in Exhibit 13.</w:t>
      </w:r>
    </w:p>
    <w:p>
      <w:pPr>
        <w:spacing w:before="240" w:after="80" w:line="288" w:lineRule="auto"/>
      </w:pPr>
      <w:r>
        <w:rPr>
          <w:rFonts w:ascii="Arial" w:hAnsi="Arial"/>
          <w:b/>
          <w:color w:val="002F5F"/>
          <w:sz w:val="24"/>
        </w:rPr>
        <w:t>6.4 Real Options — desalination versus water reuse (Exhibit 10)</w:t>
      </w:r>
    </w:p>
    <w:p>
      <w:pPr>
        <w:spacing w:before="0" w:after="120" w:line="324" w:lineRule="auto"/>
      </w:pPr>
      <w:r>
        <w:rPr>
          <w:rFonts w:ascii="Arial" w:hAnsi="Arial"/>
          <w:color w:val="4A5663"/>
          <w:sz w:val="22"/>
        </w:rPr>
        <w:t>Within T1's CAPEX envelope, the largest single capital-allocation decision is desalination capacity expansion versus water-reuse infrastructure. Under indicative parameters (desalination PV €145 M, σ 28%; water-reuse PV €135 M, σ 38%; three-year deferral window; 3% risk-free rate), a Black–Scholes-style real-options calculation shows: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Option</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Immediate NPV</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Deferral option value</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Total value</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Desalination</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€25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€18 M</w:t>
            </w:r>
          </w:p>
        </w:tc>
        <w:tc>
          <w:tcPr>
            <w:tcW w:type="dxa" w:w="2340"/>
            <w:tcMar>
              <w:top w:w="80" w:type="dxa"/>
              <w:bottom w:w="80" w:type="dxa"/>
              <w:left w:w="120" w:type="dxa"/>
              <w:right w:w="120" w:type="dxa"/>
            </w:tcMar>
          </w:tcPr>
          <w:p>
            <w:pPr>
              <w:spacing w:before="0" w:after="0" w:line="300" w:lineRule="auto"/>
            </w:pPr>
            <w:r>
              <w:rPr>
                <w:rFonts w:ascii="Arial" w:hAnsi="Arial"/>
                <w:b/>
                <w:color w:val="002F5F"/>
                <w:sz w:val="20"/>
              </w:rPr>
              <w:t>€43 M</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Water reuse</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€40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€29 M</w:t>
            </w:r>
          </w:p>
        </w:tc>
        <w:tc>
          <w:tcPr>
            <w:tcW w:type="dxa" w:w="2340"/>
            <w:tcMar>
              <w:top w:w="80" w:type="dxa"/>
              <w:bottom w:w="80" w:type="dxa"/>
              <w:left w:w="120" w:type="dxa"/>
              <w:right w:w="120" w:type="dxa"/>
            </w:tcMar>
          </w:tcPr>
          <w:p>
            <w:pPr>
              <w:spacing w:before="0" w:after="0" w:line="300" w:lineRule="auto"/>
            </w:pPr>
            <w:r>
              <w:rPr>
                <w:rFonts w:ascii="Arial" w:hAnsi="Arial"/>
                <w:b/>
                <w:color w:val="002F5F"/>
                <w:sz w:val="20"/>
              </w:rPr>
              <w:t>€69 M</w:t>
            </w:r>
          </w:p>
        </w:tc>
      </w:tr>
    </w:tbl>
    <w:p>
      <w:pPr>
        <w:spacing w:before="0" w:after="120" w:line="324" w:lineRule="auto"/>
      </w:pPr>
    </w:p>
    <w:p>
      <w:pPr>
        <w:spacing w:before="0" w:after="120" w:line="324" w:lineRule="auto"/>
      </w:pPr>
      <w:r>
        <w:rPr>
          <w:rFonts w:ascii="Arial" w:hAnsi="Arial"/>
          <w:color w:val="4A5663"/>
          <w:sz w:val="22"/>
        </w:rPr>
        <w:t>Water reuse dominates on both immediate NPV and on optionality because reuse volumes scale more flexibly with realised demand. Final numbers require Aqualia's asset-level cost of capital and tariff structure; the exhibit is positioned as illustrative (see Limitations §9).</w:t>
      </w:r>
    </w:p>
    <w:p>
      <w:pPr>
        <w:spacing w:before="240" w:after="80" w:line="288" w:lineRule="auto"/>
      </w:pPr>
      <w:r>
        <w:rPr>
          <w:rFonts w:ascii="Arial" w:hAnsi="Arial"/>
          <w:b/>
          <w:color w:val="002F5F"/>
          <w:sz w:val="24"/>
        </w:rPr>
        <w:t>6.5 The €500 M green bond proposal (Exhibit 11)</w:t>
      </w:r>
    </w:p>
    <w:p>
      <w:pPr>
        <w:spacing w:before="0" w:after="120" w:line="324" w:lineRule="auto"/>
      </w:pPr>
      <w:r>
        <w:rPr>
          <w:rFonts w:ascii="Arial" w:hAnsi="Arial"/>
          <w:color w:val="4A5663"/>
          <w:sz w:val="22"/>
        </w:rPr>
        <w:t xml:space="preserve">The 2027–2030 CAPEX implied by Aqualia's Risk Map and our three topics totals </w:t>
      </w:r>
      <w:r>
        <w:rPr>
          <w:rFonts w:ascii="Arial" w:hAnsi="Arial"/>
          <w:b/>
          <w:color w:val="002F5F"/>
          <w:sz w:val="22"/>
        </w:rPr>
        <w:t>€440 M base</w:t>
      </w:r>
      <w:r>
        <w:rPr>
          <w:rFonts w:ascii="Arial" w:hAnsi="Arial"/>
          <w:color w:val="4A5663"/>
          <w:sz w:val="22"/>
        </w:rPr>
        <w:t xml:space="preserve"> (</w:t>
      </w:r>
      <w:r>
        <w:rPr>
          <w:rFonts w:ascii="Arial" w:hAnsi="Arial"/>
          <w:b/>
          <w:color w:val="002F5F"/>
          <w:sz w:val="22"/>
        </w:rPr>
        <w:t>€285 M – €685 M</w:t>
      </w:r>
      <w:r>
        <w:rPr>
          <w:rFonts w:ascii="Arial" w:hAnsi="Arial"/>
          <w:color w:val="4A5663"/>
          <w:sz w:val="22"/>
        </w:rPr>
        <w:t xml:space="preserve"> under low/high assumptions). We propose funding the programme with a </w:t>
      </w:r>
      <w:r>
        <w:rPr>
          <w:rFonts w:ascii="Arial" w:hAnsi="Arial"/>
          <w:b/>
          <w:color w:val="002F5F"/>
          <w:sz w:val="22"/>
        </w:rPr>
        <w:t>€500 M EU-Taxonomy-aligned green / sustainability-linked bond programme</w:t>
      </w:r>
      <w:r>
        <w:rPr>
          <w:rFonts w:ascii="Arial" w:hAnsi="Arial"/>
          <w:color w:val="4A5663"/>
          <w:sz w:val="22"/>
        </w:rPr>
        <w:t xml:space="preserve">, issued in four tranches: </w:t>
      </w:r>
      <w:r>
        <w:rPr>
          <w:rFonts w:ascii="Arial" w:hAnsi="Arial"/>
          <w:b/>
          <w:color w:val="002F5F"/>
          <w:sz w:val="22"/>
        </w:rPr>
        <w:t>€150 M in 2027</w:t>
      </w:r>
      <w:r>
        <w:rPr>
          <w:rFonts w:ascii="Arial" w:hAnsi="Arial"/>
          <w:color w:val="4A5663"/>
          <w:sz w:val="22"/>
        </w:rPr>
        <w:t xml:space="preserve">, </w:t>
      </w:r>
      <w:r>
        <w:rPr>
          <w:rFonts w:ascii="Arial" w:hAnsi="Arial"/>
          <w:b/>
          <w:color w:val="002F5F"/>
          <w:sz w:val="22"/>
        </w:rPr>
        <w:t>€150 M in 2028</w:t>
      </w:r>
      <w:r>
        <w:rPr>
          <w:rFonts w:ascii="Arial" w:hAnsi="Arial"/>
          <w:color w:val="4A5663"/>
          <w:sz w:val="22"/>
        </w:rPr>
        <w:t xml:space="preserve">, </w:t>
      </w:r>
      <w:r>
        <w:rPr>
          <w:rFonts w:ascii="Arial" w:hAnsi="Arial"/>
          <w:b/>
          <w:color w:val="002F5F"/>
          <w:sz w:val="22"/>
        </w:rPr>
        <w:t>€120 M in 2029</w:t>
      </w:r>
      <w:r>
        <w:rPr>
          <w:rFonts w:ascii="Arial" w:hAnsi="Arial"/>
          <w:color w:val="4A5663"/>
          <w:sz w:val="22"/>
        </w:rPr>
        <w:t xml:space="preserve">, </w:t>
      </w:r>
      <w:r>
        <w:rPr>
          <w:rFonts w:ascii="Arial" w:hAnsi="Arial"/>
          <w:b/>
          <w:color w:val="002F5F"/>
          <w:sz w:val="22"/>
        </w:rPr>
        <w:t>€80 M in 2030</w:t>
      </w:r>
      <w:r>
        <w:rPr>
          <w:rFonts w:ascii="Arial" w:hAnsi="Arial"/>
          <w:color w:val="4A5663"/>
          <w:sz w:val="22"/>
        </w:rPr>
        <w:t>. Structural choices (use of proceeds vs sustainability-linked; coupon-step-up KPIs tied to NRW reduction and water-reuse ratio) are detailed in §8 roadmap T3 entries.</w:t>
      </w:r>
    </w:p>
    <w:p>
      <w:pPr>
        <w:spacing w:before="0" w:after="120" w:line="324" w:lineRule="auto"/>
      </w:pPr>
      <w:r>
        <w:rPr>
          <w:rFonts w:ascii="Arial" w:hAnsi="Arial"/>
          <w:color w:val="4A5663"/>
          <w:sz w:val="22"/>
        </w:rPr>
        <w:t xml:space="preserve">At a </w:t>
      </w:r>
      <w:r>
        <w:rPr>
          <w:rFonts w:ascii="Arial" w:hAnsi="Arial"/>
          <w:b/>
          <w:color w:val="002F5F"/>
          <w:sz w:val="22"/>
        </w:rPr>
        <w:t>25 bp coupon spread</w:t>
      </w:r>
      <w:r>
        <w:rPr>
          <w:rFonts w:ascii="Arial" w:hAnsi="Arial"/>
          <w:color w:val="4A5663"/>
          <w:sz w:val="22"/>
        </w:rPr>
        <w:t xml:space="preserve">, the current 2024–2025 level for investment-grade Euro water-utility green issuance per Climate Bonds Initiative data, the programme delivers </w:t>
      </w:r>
      <w:r>
        <w:rPr>
          <w:rFonts w:ascii="Arial" w:hAnsi="Arial"/>
          <w:b/>
          <w:color w:val="002F5F"/>
          <w:sz w:val="22"/>
        </w:rPr>
        <w:t>€31 M of present-value interest savings</w:t>
      </w:r>
      <w:r>
        <w:rPr>
          <w:rFonts w:ascii="Arial" w:hAnsi="Arial"/>
          <w:color w:val="4A5663"/>
          <w:sz w:val="22"/>
        </w:rPr>
        <w:t xml:space="preserve"> over the bond life (10-year tenor, 4.0% vanilla vs 3.75% green coupon, 8% discount rate). The calculation is a discounted annuity of the coupon saving: 500 × 25 bp × A(10, 8%) ≈ €8.4 M nominal annual saving, giving €31.1 M PV. The saving is conservative: the spread regularly exceeds 25 bp in Iberian and Italian issuance where Aqualia's concession base concentrates.</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7. The Matrix and What It Tells Us</w:t>
      </w:r>
    </w:p>
    <w:p>
      <w:pPr>
        <w:spacing w:before="240" w:after="80" w:line="288" w:lineRule="auto"/>
      </w:pPr>
      <w:r>
        <w:rPr>
          <w:rFonts w:ascii="Arial" w:hAnsi="Arial"/>
          <w:b/>
          <w:color w:val="002F5F"/>
          <w:sz w:val="24"/>
        </w:rPr>
        <w:t>7.1 Matrix structure (Exhibit 12)</w:t>
      </w:r>
    </w:p>
    <w:p>
      <w:pPr>
        <w:spacing w:before="0" w:after="120" w:line="324" w:lineRule="auto"/>
      </w:pPr>
      <w:r>
        <w:rPr>
          <w:rFonts w:ascii="Arial" w:hAnsi="Arial"/>
          <w:color w:val="4A5663"/>
          <w:sz w:val="22"/>
        </w:rPr>
        <w:t>The matrix plots Impact Severity (y-axis, inside-out) against Financial Severity (x-axis, outside-in), each on a 1–5 scale with the Target Zone defined as the top-right quadrant (both axes ≥ 2.5, following Workshop 1 slide 17). Each topic appears as a 90% confidence ellipse derived from 10,000 Monte Carlo draws; the ellipse centroid marks the topic's mean position. Topics with ellipses entirely inside the Target Zone are classified "robust material"; topics with ellipses straddling threshold lines are classified "conditionally material."</w:t>
      </w:r>
    </w:p>
    <w:p>
      <w:pPr>
        <w:spacing w:before="240" w:after="80" w:line="288" w:lineRule="auto"/>
      </w:pPr>
      <w:r>
        <w:rPr>
          <w:rFonts w:ascii="Arial" w:hAnsi="Arial"/>
          <w:b/>
          <w:color w:val="002F5F"/>
          <w:sz w:val="24"/>
        </w:rPr>
        <w:t>7.2 Per-topic positioning</w:t>
      </w:r>
    </w:p>
    <w:p>
      <w:pPr>
        <w:spacing w:before="0" w:after="120" w:line="324" w:lineRule="auto"/>
      </w:pPr>
      <w:r>
        <w:rPr>
          <w:rFonts w:ascii="Arial" w:hAnsi="Arial"/>
          <w:b/>
          <w:color w:val="002F5F"/>
          <w:sz w:val="22"/>
        </w:rPr>
        <w:t>T1 centroid (3.07, 3.98).</w:t>
      </w:r>
      <w:r>
        <w:rPr>
          <w:rFonts w:ascii="Arial" w:hAnsi="Arial"/>
          <w:color w:val="4A5663"/>
          <w:sz w:val="22"/>
        </w:rPr>
        <w:t xml:space="preserve"> Ellipse wholly inside Target Zone and bounded well away from both threshold lines. T1 is robust material under every test we ran.</w:t>
      </w:r>
    </w:p>
    <w:p>
      <w:pPr>
        <w:spacing w:before="0" w:after="120" w:line="324" w:lineRule="auto"/>
      </w:pPr>
      <w:r>
        <w:rPr>
          <w:rFonts w:ascii="Arial" w:hAnsi="Arial"/>
          <w:b/>
          <w:color w:val="002F5F"/>
          <w:sz w:val="22"/>
        </w:rPr>
        <w:t>T2 centroid (2.75, 3.08).</w:t>
      </w:r>
      <w:r>
        <w:rPr>
          <w:rFonts w:ascii="Arial" w:hAnsi="Arial"/>
          <w:color w:val="4A5663"/>
          <w:sz w:val="22"/>
        </w:rPr>
        <w:t xml:space="preserve"> Ellipse lies inside Target Zone; the financial-axis fifth-percentile sits at 2.50, right on the boundary. That fact confirms T2's Target Zone membership is directly attributable to our repositioning of the blind-spot cluster. Under Aqualia's original qualitative framework (2 IROs on Digitalisation alone), T2 would not be material; under our methodology it is.</w:t>
      </w:r>
    </w:p>
    <w:p>
      <w:pPr>
        <w:spacing w:before="0" w:after="120" w:line="324" w:lineRule="auto"/>
      </w:pPr>
      <w:r>
        <w:rPr>
          <w:rFonts w:ascii="Arial" w:hAnsi="Arial"/>
          <w:b/>
          <w:color w:val="002F5F"/>
          <w:sz w:val="22"/>
        </w:rPr>
        <w:t>T3 centroid (2.42, 3.24).</w:t>
      </w:r>
      <w:r>
        <w:rPr>
          <w:rFonts w:ascii="Arial" w:hAnsi="Arial"/>
          <w:color w:val="4A5663"/>
          <w:sz w:val="22"/>
        </w:rPr>
        <w:t xml:space="preserve"> Ellipse centroid lies </w:t>
      </w:r>
      <w:r>
        <w:rPr>
          <w:rFonts w:ascii="Arial" w:hAnsi="Arial"/>
          <w:b/>
          <w:color w:val="002F5F"/>
          <w:sz w:val="22"/>
        </w:rPr>
        <w:t>0.08 below the financial threshold</w:t>
      </w:r>
      <w:r>
        <w:rPr>
          <w:rFonts w:ascii="Arial" w:hAnsi="Arial"/>
          <w:color w:val="4A5663"/>
          <w:sz w:val="22"/>
        </w:rPr>
        <w:t>, with p95 at 2.61 and p5 at 2.24. T3 is conditionally material — Target Zone on impact, borderline on finance. This is the most informative methodological outcome of the study: it distinguishes between solidly and conditionally material topics where a qualitative framework would paint both the same colour. Section 9 explains why this is a feature, not a defect.</w:t>
      </w:r>
    </w:p>
    <w:p>
      <w:pPr>
        <w:spacing w:before="240" w:after="80" w:line="288" w:lineRule="auto"/>
      </w:pPr>
      <w:r>
        <w:rPr>
          <w:rFonts w:ascii="Arial" w:hAnsi="Arial"/>
          <w:b/>
          <w:color w:val="002F5F"/>
          <w:sz w:val="24"/>
        </w:rPr>
        <w:t>7.3 Sensitivity tornado (Exhibit 13)</w:t>
      </w:r>
    </w:p>
    <w:p>
      <w:pPr>
        <w:spacing w:before="0" w:after="120" w:line="324" w:lineRule="auto"/>
      </w:pPr>
      <w:r>
        <w:rPr>
          <w:rFonts w:ascii="Arial" w:hAnsi="Arial"/>
          <w:color w:val="4A5663"/>
          <w:sz w:val="22"/>
        </w:rPr>
        <w:t>For each topic, the top six inputs by absolute swing are:</w:t>
      </w:r>
    </w:p>
    <w:p>
      <w:pPr>
        <w:pStyle w:val="ListBullet"/>
        <w:spacing w:before="0" w:after="60" w:line="312" w:lineRule="auto"/>
      </w:pPr>
      <w:r>
        <w:rPr>
          <w:rFonts w:ascii="Arial" w:hAnsi="Arial"/>
          <w:b/>
          <w:color w:val="002F5F"/>
          <w:sz w:val="22"/>
        </w:rPr>
        <w:t>T1.</w:t>
      </w:r>
      <w:r>
        <w:rPr>
          <w:rFonts w:ascii="Arial" w:hAnsi="Arial"/>
          <w:color w:val="4A5663"/>
          <w:sz w:val="22"/>
        </w:rPr>
        <w:t xml:space="preserve"> R-stress-revenue.mag (financial); E1-adaptation.prob</w:t>
      </w:r>
    </w:p>
    <w:p>
      <w:pPr>
        <w:spacing w:before="0" w:after="120" w:line="324" w:lineRule="auto"/>
      </w:pPr>
      <w:r>
        <w:rPr>
          <w:rFonts w:ascii="Arial" w:hAnsi="Arial"/>
          <w:color w:val="4A5663"/>
          <w:sz w:val="22"/>
        </w:rPr>
        <w:t>(impact); O-reuse-market.mag (financial); R-capex-uwwtd.mag (financial); E3-quality.scale (impact); R-fines-wfd.mag (financial). The water-stress revenue assumption (A03) and reuse-market sizing (A04) dominate financial position; probability of climate adaptation dominates impact. Both are grounded in Aqueduct + RD 1985/2024 and should be tightened before publication.</w:t>
      </w:r>
    </w:p>
    <w:p>
      <w:pPr>
        <w:pStyle w:val="ListBullet"/>
        <w:spacing w:before="0" w:after="60" w:line="312" w:lineRule="auto"/>
      </w:pPr>
      <w:r>
        <w:rPr>
          <w:rFonts w:ascii="Arial" w:hAnsi="Arial"/>
          <w:b/>
          <w:color w:val="002F5F"/>
          <w:sz w:val="22"/>
        </w:rPr>
        <w:t>T2.</w:t>
      </w:r>
      <w:r>
        <w:rPr>
          <w:rFonts w:ascii="Arial" w:hAnsi="Arial"/>
          <w:color w:val="4A5663"/>
          <w:sz w:val="22"/>
        </w:rPr>
        <w:t xml:space="preserve"> Tech-pace.prob (impact); O-tender-uplift.mag (financial);</w:t>
      </w:r>
    </w:p>
    <w:p>
      <w:pPr>
        <w:spacing w:before="0" w:after="120" w:line="324" w:lineRule="auto"/>
      </w:pPr>
      <w:r>
        <w:rPr>
          <w:rFonts w:ascii="Arial" w:hAnsi="Arial"/>
          <w:color w:val="4A5663"/>
          <w:sz w:val="22"/>
        </w:rPr>
        <w:t>R-digital-capex.mag (financial); Dig-data-gov.prob (impact); Dig-adoption.scale (impact); Tech-pace.scale (impact). The question is how much digital differentiation translates into tender-win uplift. An expert call (§9, open action) is the single highest-ROI data point.</w:t>
      </w:r>
    </w:p>
    <w:p>
      <w:pPr>
        <w:pStyle w:val="ListBullet"/>
        <w:spacing w:before="0" w:after="60" w:line="312" w:lineRule="auto"/>
      </w:pPr>
      <w:r>
        <w:rPr>
          <w:rFonts w:ascii="Arial" w:hAnsi="Arial"/>
          <w:b/>
          <w:color w:val="002F5F"/>
          <w:sz w:val="22"/>
        </w:rPr>
        <w:t>T3.</w:t>
      </w:r>
      <w:r>
        <w:rPr>
          <w:rFonts w:ascii="Arial" w:hAnsi="Arial"/>
          <w:color w:val="4A5663"/>
          <w:sz w:val="22"/>
        </w:rPr>
        <w:t xml:space="preserve"> Compl-CSDDD.prob (impact); Green-fin-access.prob (impact);</w:t>
      </w:r>
    </w:p>
    <w:p>
      <w:pPr>
        <w:spacing w:before="0" w:after="120" w:line="324" w:lineRule="auto"/>
      </w:pPr>
      <w:r>
        <w:rPr>
          <w:rFonts w:ascii="Arial" w:hAnsi="Arial"/>
          <w:color w:val="4A5663"/>
          <w:sz w:val="22"/>
        </w:rPr>
        <w:t>Compl-CSRD.scale (impact); O-green-bond-prem.mag (financial); Green-fin-access.scale (impact); O-coc-saving.mag (financial). T3's position is a bet on regulatory enforcement pace plus cost-of-capital spread, both observable and both directly targeted by the €500 M bond programme.</w:t>
      </w:r>
    </w:p>
    <w:p>
      <w:pPr>
        <w:spacing w:before="240" w:after="80" w:line="288" w:lineRule="auto"/>
      </w:pPr>
      <w:r>
        <w:rPr>
          <w:rFonts w:ascii="Arial" w:hAnsi="Arial"/>
          <w:b/>
          <w:color w:val="002F5F"/>
          <w:sz w:val="24"/>
        </w:rPr>
        <w:t>7.4 Robustness (Exhibit 14)</w:t>
      </w:r>
    </w:p>
    <w:p>
      <w:pPr>
        <w:spacing w:before="0" w:after="120" w:line="324" w:lineRule="auto"/>
      </w:pPr>
      <w:r>
        <w:rPr>
          <w:rFonts w:ascii="Arial" w:hAnsi="Arial"/>
          <w:color w:val="4A5663"/>
          <w:sz w:val="22"/>
        </w:rPr>
        <w:t>Under four alternate stakeholder-weighting schemes (Equal, Regulator- heavy, Community-first, Investor-first), no topic flips Target-Zone status. T1 remains in; T2 remains in; T3 remains borderline. The stability is a direct consequence of top-k aggregation: the most material subset of IROs and R&amp;Os drives position, and that subset is insensitive to modest re-weighting.</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8. Strategic Sustainability Roadmap 2027–2030</w:t>
      </w:r>
    </w:p>
    <w:p>
      <w:pPr>
        <w:spacing w:before="240" w:after="80" w:line="288" w:lineRule="auto"/>
      </w:pPr>
      <w:r>
        <w:rPr>
          <w:rFonts w:ascii="Arial" w:hAnsi="Arial"/>
          <w:b/>
          <w:color w:val="002F5F"/>
          <w:sz w:val="24"/>
        </w:rPr>
        <w:t>8.1 Owned, measurable, aligned (Exhibit 15)</w:t>
      </w:r>
    </w:p>
    <w:p>
      <w:pPr>
        <w:spacing w:before="0" w:after="120" w:line="324" w:lineRule="auto"/>
      </w:pPr>
      <w:r>
        <w:rPr>
          <w:rFonts w:ascii="Arial" w:hAnsi="Arial"/>
          <w:color w:val="4A5663"/>
          <w:sz w:val="22"/>
        </w:rPr>
        <w:t>Every recommendation below is assigned to a named Executive Committee role (using Aqualia's own Risk Map owners) and pinned to a quantitative KPI. The roadmap is structured as a 3-topic × 4-year grid.</w:t>
      </w:r>
    </w:p>
    <w:p>
      <w:pPr>
        <w:spacing w:before="0" w:after="120" w:line="324" w:lineRule="auto"/>
      </w:pPr>
      <w:r>
        <w:rPr>
          <w:rFonts w:ascii="Arial" w:hAnsi="Arial"/>
          <w:b/>
          <w:color w:val="002F5F"/>
          <w:sz w:val="22"/>
        </w:rPr>
        <w:t>T1 — Water Resilience &amp; Equitable Access</w:t>
      </w:r>
    </w:p>
    <w:p>
      <w:pPr>
        <w:pStyle w:val="ListBullet"/>
        <w:spacing w:before="0" w:after="60" w:line="312" w:lineRule="auto"/>
      </w:pPr>
      <w:r>
        <w:rPr>
          <w:rFonts w:ascii="Arial" w:hAnsi="Arial"/>
          <w:b/>
          <w:color w:val="002F5F"/>
          <w:sz w:val="22"/>
        </w:rPr>
        <w:t>2027.</w:t>
      </w:r>
      <w:r>
        <w:rPr>
          <w:rFonts w:ascii="Arial" w:hAnsi="Arial"/>
          <w:color w:val="4A5663"/>
          <w:sz w:val="22"/>
        </w:rPr>
        <w:t xml:space="preserve"> Restore ESRS S3 as a stand-alone disclosure. Commission a</w:t>
      </w:r>
    </w:p>
    <w:p>
      <w:pPr>
        <w:spacing w:before="0" w:after="120" w:line="324" w:lineRule="auto"/>
      </w:pPr>
      <w:r>
        <w:rPr>
          <w:rFonts w:ascii="Arial" w:hAnsi="Arial"/>
          <w:color w:val="4A5663"/>
          <w:sz w:val="22"/>
        </w:rPr>
        <w:t>Colombia concession review. Owner: Director Spain, Europe/Americas, Africa/Asia. KPI: Colombia satisfaction ≥ 60% by year-end; S3 disclosure appearing in 2027 sustainability report.</w:t>
      </w:r>
    </w:p>
    <w:p>
      <w:pPr>
        <w:pStyle w:val="ListBullet"/>
        <w:spacing w:before="0" w:after="60" w:line="312" w:lineRule="auto"/>
      </w:pPr>
      <w:r>
        <w:rPr>
          <w:rFonts w:ascii="Arial" w:hAnsi="Arial"/>
          <w:b/>
          <w:color w:val="002F5F"/>
          <w:sz w:val="22"/>
        </w:rPr>
        <w:t>2028.</w:t>
      </w:r>
      <w:r>
        <w:rPr>
          <w:rFonts w:ascii="Arial" w:hAnsi="Arial"/>
          <w:color w:val="4A5663"/>
          <w:sz w:val="22"/>
        </w:rPr>
        <w:t xml:space="preserve"> Segura basin water-reuse pilot. Owner: Director Studies</w:t>
      </w:r>
    </w:p>
    <w:p>
      <w:pPr>
        <w:spacing w:before="0" w:after="120" w:line="324" w:lineRule="auto"/>
      </w:pPr>
      <w:r>
        <w:rPr>
          <w:rFonts w:ascii="Arial" w:hAnsi="Arial"/>
          <w:color w:val="4A5663"/>
          <w:sz w:val="22"/>
        </w:rPr>
        <w:t>&amp; Operations. KPI: NRW -3 percentage points in pilot concession; reuse water volume +15% vs 2025 baseline.</w:t>
      </w:r>
    </w:p>
    <w:p>
      <w:pPr>
        <w:pStyle w:val="ListBullet"/>
        <w:spacing w:before="0" w:after="60" w:line="312" w:lineRule="auto"/>
      </w:pPr>
      <w:r>
        <w:rPr>
          <w:rFonts w:ascii="Arial" w:hAnsi="Arial"/>
          <w:b/>
          <w:color w:val="002F5F"/>
          <w:sz w:val="22"/>
        </w:rPr>
        <w:t>2029.</w:t>
      </w:r>
      <w:r>
        <w:rPr>
          <w:rFonts w:ascii="Arial" w:hAnsi="Arial"/>
          <w:color w:val="4A5663"/>
          <w:sz w:val="22"/>
        </w:rPr>
        <w:t xml:space="preserve"> Italy climate-adaptation CAPEX programme; Po basin</w:t>
      </w:r>
    </w:p>
    <w:p>
      <w:pPr>
        <w:spacing w:before="0" w:after="120" w:line="324" w:lineRule="auto"/>
      </w:pPr>
      <w:r>
        <w:rPr>
          <w:rFonts w:ascii="Arial" w:hAnsi="Arial"/>
          <w:color w:val="4A5663"/>
          <w:sz w:val="22"/>
        </w:rPr>
        <w:t>focus. Owner: Director Spain/EU/Americas/AA. KPI: emissions intensity -10% per m³ treated; 100% ISO 14001:2026 coverage.</w:t>
      </w:r>
    </w:p>
    <w:p>
      <w:pPr>
        <w:pStyle w:val="ListBullet"/>
        <w:spacing w:before="0" w:after="60" w:line="312" w:lineRule="auto"/>
      </w:pPr>
      <w:r>
        <w:rPr>
          <w:rFonts w:ascii="Arial" w:hAnsi="Arial"/>
          <w:b/>
          <w:color w:val="002F5F"/>
          <w:sz w:val="22"/>
        </w:rPr>
        <w:t>2030.</w:t>
      </w:r>
      <w:r>
        <w:rPr>
          <w:rFonts w:ascii="Arial" w:hAnsi="Arial"/>
          <w:color w:val="4A5663"/>
          <w:sz w:val="22"/>
        </w:rPr>
        <w:t xml:space="preserve"> Full group reuse ≥ 25% of treated wastewater;</w:t>
      </w:r>
    </w:p>
    <w:p>
      <w:pPr>
        <w:spacing w:before="0" w:after="120" w:line="324" w:lineRule="auto"/>
      </w:pPr>
      <w:r>
        <w:rPr>
          <w:rFonts w:ascii="Arial" w:hAnsi="Arial"/>
          <w:color w:val="4A5663"/>
          <w:sz w:val="22"/>
        </w:rPr>
        <w:t>alignment with RD 1985/2024. KPI: reuse ratio ≥ 25%; WFD compliance clean across Iberian concessions.</w:t>
      </w:r>
    </w:p>
    <w:p>
      <w:pPr>
        <w:spacing w:before="0" w:after="120" w:line="324" w:lineRule="auto"/>
      </w:pPr>
      <w:r>
        <w:rPr>
          <w:rFonts w:ascii="Arial" w:hAnsi="Arial"/>
          <w:b/>
          <w:color w:val="002F5F"/>
          <w:sz w:val="22"/>
        </w:rPr>
        <w:t>T2 — Digital &amp; Cyber Infrastructure</w:t>
      </w:r>
    </w:p>
    <w:p>
      <w:pPr>
        <w:pStyle w:val="ListBullet"/>
        <w:spacing w:before="0" w:after="60" w:line="312" w:lineRule="auto"/>
      </w:pPr>
      <w:r>
        <w:rPr>
          <w:rFonts w:ascii="Arial" w:hAnsi="Arial"/>
          <w:b/>
          <w:color w:val="002F5F"/>
          <w:sz w:val="22"/>
        </w:rPr>
        <w:t>2027.</w:t>
      </w:r>
      <w:r>
        <w:rPr>
          <w:rFonts w:ascii="Arial" w:hAnsi="Arial"/>
          <w:color w:val="4A5663"/>
          <w:sz w:val="22"/>
        </w:rPr>
        <w:t xml:space="preserve"> Digital-twin Phase 1 — three concessions. Owner:</w:t>
      </w:r>
    </w:p>
    <w:p>
      <w:pPr>
        <w:spacing w:before="0" w:after="120" w:line="324" w:lineRule="auto"/>
      </w:pPr>
      <w:r>
        <w:rPr>
          <w:rFonts w:ascii="Arial" w:hAnsi="Arial"/>
          <w:color w:val="4A5663"/>
          <w:sz w:val="22"/>
        </w:rPr>
        <w:t>Customer &amp; IT Management Director. KPI: real-time monitoring coverage ≥ 80% of treated volume in pilot.</w:t>
      </w:r>
    </w:p>
    <w:p>
      <w:pPr>
        <w:pStyle w:val="ListBullet"/>
        <w:spacing w:before="0" w:after="60" w:line="312" w:lineRule="auto"/>
      </w:pPr>
      <w:r>
        <w:rPr>
          <w:rFonts w:ascii="Arial" w:hAnsi="Arial"/>
          <w:b/>
          <w:color w:val="002F5F"/>
          <w:sz w:val="22"/>
        </w:rPr>
        <w:t>2028.</w:t>
      </w:r>
      <w:r>
        <w:rPr>
          <w:rFonts w:ascii="Arial" w:hAnsi="Arial"/>
          <w:color w:val="4A5663"/>
          <w:sz w:val="22"/>
        </w:rPr>
        <w:t xml:space="preserve"> OT/IT segmentation + NIS2 readiness assessment. Owner:</w:t>
      </w:r>
    </w:p>
    <w:p>
      <w:pPr>
        <w:spacing w:before="0" w:after="120" w:line="324" w:lineRule="auto"/>
      </w:pPr>
      <w:r>
        <w:rPr>
          <w:rFonts w:ascii="Arial" w:hAnsi="Arial"/>
          <w:color w:val="4A5663"/>
          <w:sz w:val="22"/>
        </w:rPr>
        <w:t>Customer &amp; IT Management Director. KPI: NIS2 readiness ≥ 90% per internal audit; zero medium-or-above findings on OT/IT segmentation audit.</w:t>
      </w:r>
    </w:p>
    <w:p>
      <w:pPr>
        <w:pStyle w:val="ListBullet"/>
        <w:spacing w:before="0" w:after="60" w:line="312" w:lineRule="auto"/>
      </w:pPr>
      <w:r>
        <w:rPr>
          <w:rFonts w:ascii="Arial" w:hAnsi="Arial"/>
          <w:b/>
          <w:color w:val="002F5F"/>
          <w:sz w:val="22"/>
        </w:rPr>
        <w:t>2029.</w:t>
      </w:r>
      <w:r>
        <w:rPr>
          <w:rFonts w:ascii="Arial" w:hAnsi="Arial"/>
          <w:color w:val="4A5663"/>
          <w:sz w:val="22"/>
        </w:rPr>
        <w:t xml:space="preserve"> AI demand-prediction + leak-detection rollout beyond</w:t>
      </w:r>
    </w:p>
    <w:p>
      <w:pPr>
        <w:spacing w:before="0" w:after="120" w:line="324" w:lineRule="auto"/>
      </w:pPr>
      <w:r>
        <w:rPr>
          <w:rFonts w:ascii="Arial" w:hAnsi="Arial"/>
          <w:color w:val="4A5663"/>
          <w:sz w:val="22"/>
        </w:rPr>
        <w:t>pilot. Owner: Director Strategy &amp; Sustainability Development. KPI: leak-detection response time -30%.</w:t>
      </w:r>
    </w:p>
    <w:p>
      <w:pPr>
        <w:pStyle w:val="ListBullet"/>
        <w:spacing w:before="0" w:after="60" w:line="312" w:lineRule="auto"/>
      </w:pPr>
      <w:r>
        <w:rPr>
          <w:rFonts w:ascii="Arial" w:hAnsi="Arial"/>
          <w:b/>
          <w:color w:val="002F5F"/>
          <w:sz w:val="22"/>
        </w:rPr>
        <w:t>2030.</w:t>
      </w:r>
      <w:r>
        <w:rPr>
          <w:rFonts w:ascii="Arial" w:hAnsi="Arial"/>
          <w:color w:val="4A5663"/>
          <w:sz w:val="22"/>
        </w:rPr>
        <w:t xml:space="preserve"> Cyber-incident mean-time-to-recover (MTTR) &lt; 4 hours</w:t>
      </w:r>
    </w:p>
    <w:p>
      <w:pPr>
        <w:spacing w:before="0" w:after="120" w:line="324" w:lineRule="auto"/>
      </w:pPr>
      <w:r>
        <w:rPr>
          <w:rFonts w:ascii="Arial" w:hAnsi="Arial"/>
          <w:color w:val="4A5663"/>
          <w:sz w:val="22"/>
        </w:rPr>
        <w:t>under simulated red-team tests; annual cyber investment at ~1.0% of revenue.</w:t>
      </w:r>
    </w:p>
    <w:p>
      <w:pPr>
        <w:spacing w:before="0" w:after="120" w:line="324" w:lineRule="auto"/>
      </w:pPr>
      <w:r>
        <w:rPr>
          <w:rFonts w:ascii="Arial" w:hAnsi="Arial"/>
          <w:b/>
          <w:color w:val="002F5F"/>
          <w:sz w:val="22"/>
        </w:rPr>
        <w:t>T3 — Green Finance &amp; Integrity</w:t>
      </w:r>
    </w:p>
    <w:p>
      <w:pPr>
        <w:pStyle w:val="ListBullet"/>
        <w:spacing w:before="0" w:after="60" w:line="312" w:lineRule="auto"/>
      </w:pPr>
      <w:r>
        <w:rPr>
          <w:rFonts w:ascii="Arial" w:hAnsi="Arial"/>
          <w:b/>
          <w:color w:val="002F5F"/>
          <w:sz w:val="22"/>
        </w:rPr>
        <w:t>2027.</w:t>
      </w:r>
      <w:r>
        <w:rPr>
          <w:rFonts w:ascii="Arial" w:hAnsi="Arial"/>
          <w:color w:val="4A5663"/>
          <w:sz w:val="22"/>
        </w:rPr>
        <w:t xml:space="preserve"> Issue Tranche 1 of green bond programme (€150 M). Owner:</w:t>
      </w:r>
    </w:p>
    <w:p>
      <w:pPr>
        <w:spacing w:before="0" w:after="120" w:line="324" w:lineRule="auto"/>
      </w:pPr>
      <w:r>
        <w:rPr>
          <w:rFonts w:ascii="Arial" w:hAnsi="Arial"/>
          <w:color w:val="4A5663"/>
          <w:sz w:val="22"/>
        </w:rPr>
        <w:t>CFO. KPI: tranche closed at ≤ 20 bp premium to vanilla comparable; EU-Taxonomy alignment report published.</w:t>
      </w:r>
    </w:p>
    <w:p>
      <w:pPr>
        <w:pStyle w:val="ListBullet"/>
        <w:spacing w:before="0" w:after="60" w:line="312" w:lineRule="auto"/>
      </w:pPr>
      <w:r>
        <w:rPr>
          <w:rFonts w:ascii="Arial" w:hAnsi="Arial"/>
          <w:b/>
          <w:color w:val="002F5F"/>
          <w:sz w:val="22"/>
        </w:rPr>
        <w:t>2028.</w:t>
      </w:r>
      <w:r>
        <w:rPr>
          <w:rFonts w:ascii="Arial" w:hAnsi="Arial"/>
          <w:color w:val="4A5663"/>
          <w:sz w:val="22"/>
        </w:rPr>
        <w:t xml:space="preserve"> Tranche 2 (€150 M). Full CSRD report with limited</w:t>
      </w:r>
    </w:p>
    <w:p>
      <w:pPr>
        <w:spacing w:before="0" w:after="120" w:line="324" w:lineRule="auto"/>
      </w:pPr>
      <w:r>
        <w:rPr>
          <w:rFonts w:ascii="Arial" w:hAnsi="Arial"/>
          <w:color w:val="4A5663"/>
          <w:sz w:val="22"/>
        </w:rPr>
        <w:t>assurance. Owner: CFO + Sustainability Director. KPI: CSRD compliance rating ≥ Sustainalytics "Medium Risk" or equivalent.</w:t>
      </w:r>
    </w:p>
    <w:p>
      <w:pPr>
        <w:pStyle w:val="ListBullet"/>
        <w:spacing w:before="0" w:after="60" w:line="312" w:lineRule="auto"/>
      </w:pPr>
      <w:r>
        <w:rPr>
          <w:rFonts w:ascii="Arial" w:hAnsi="Arial"/>
          <w:b/>
          <w:color w:val="002F5F"/>
          <w:sz w:val="22"/>
        </w:rPr>
        <w:t>2029.</w:t>
      </w:r>
      <w:r>
        <w:rPr>
          <w:rFonts w:ascii="Arial" w:hAnsi="Arial"/>
          <w:color w:val="4A5663"/>
          <w:sz w:val="22"/>
        </w:rPr>
        <w:t xml:space="preserve"> Tranche 3 (€120 M). ISO 14001:2026 certification across</w:t>
      </w:r>
    </w:p>
    <w:p>
      <w:pPr>
        <w:spacing w:before="0" w:after="120" w:line="324" w:lineRule="auto"/>
      </w:pPr>
      <w:r>
        <w:rPr>
          <w:rFonts w:ascii="Arial" w:hAnsi="Arial"/>
          <w:color w:val="4A5663"/>
          <w:sz w:val="22"/>
        </w:rPr>
        <w:t>all operating regions. KPI: 100% operational coverage.</w:t>
      </w:r>
    </w:p>
    <w:p>
      <w:pPr>
        <w:pStyle w:val="ListBullet"/>
        <w:spacing w:before="0" w:after="60" w:line="312" w:lineRule="auto"/>
      </w:pPr>
      <w:r>
        <w:rPr>
          <w:rFonts w:ascii="Arial" w:hAnsi="Arial"/>
          <w:b/>
          <w:color w:val="002F5F"/>
          <w:sz w:val="22"/>
        </w:rPr>
        <w:t>2030.</w:t>
      </w:r>
      <w:r>
        <w:rPr>
          <w:rFonts w:ascii="Arial" w:hAnsi="Arial"/>
          <w:color w:val="4A5663"/>
          <w:sz w:val="22"/>
        </w:rPr>
        <w:t xml:space="preserve"> Tranche 4 (€80 M). Full TCFD + TNFD disclosure with</w:t>
      </w:r>
    </w:p>
    <w:p>
      <w:pPr>
        <w:spacing w:before="0" w:after="120" w:line="324" w:lineRule="auto"/>
      </w:pPr>
      <w:r>
        <w:rPr>
          <w:rFonts w:ascii="Arial" w:hAnsi="Arial"/>
          <w:color w:val="4A5663"/>
          <w:sz w:val="22"/>
        </w:rPr>
        <w:t>reasonable assurance. KPI: TNFD LEAP coverage ≥ 90% of in-scope concessions.</w:t>
      </w:r>
    </w:p>
    <w:p>
      <w:pPr>
        <w:spacing w:before="240" w:after="80" w:line="288" w:lineRule="auto"/>
      </w:pPr>
      <w:r>
        <w:rPr>
          <w:rFonts w:ascii="Arial" w:hAnsi="Arial"/>
          <w:b/>
          <w:color w:val="002F5F"/>
          <w:sz w:val="24"/>
        </w:rPr>
        <w:t>8.2 Integration with PESA (Exhibit 16)</w:t>
      </w:r>
    </w:p>
    <w:p>
      <w:pPr>
        <w:spacing w:before="0" w:after="120" w:line="324" w:lineRule="auto"/>
      </w:pPr>
      <w:r>
        <w:rPr>
          <w:rFonts w:ascii="Arial" w:hAnsi="Arial"/>
          <w:color w:val="4A5663"/>
          <w:sz w:val="22"/>
        </w:rPr>
        <w:t>Aqualia's 2024–2026 Strategic Sustainability Plan (PESA) operates along seven strategic lines (SL1 Climate Emergency → SL7 Partnerships for Positive Impact). Our roadmap is designed to *extend* PESA into 2027–2030 rather than replace it. T1 extends SL1 (Climate Emergency). T2 extends SL2 (Technology for Integrated Management). T3 extends SL4 (Financial &amp; Business Strategy) and SL5 (Ethics &amp; Compliance). The cross-walk between our 12 quarterly milestones and PESA's seven lines is fully traceable; no recommendation sits outside Aqualia's existing strategic architecture.</w:t>
      </w:r>
    </w:p>
    <w:p>
      <w:pPr>
        <w:spacing w:before="240" w:after="80" w:line="288" w:lineRule="auto"/>
      </w:pPr>
      <w:r>
        <w:rPr>
          <w:rFonts w:ascii="Arial" w:hAnsi="Arial"/>
          <w:b/>
          <w:color w:val="002F5F"/>
          <w:sz w:val="24"/>
        </w:rPr>
        <w:t>8.3 Governance and reporting cadence</w:t>
      </w:r>
    </w:p>
    <w:p>
      <w:pPr>
        <w:spacing w:before="0" w:after="120" w:line="324" w:lineRule="auto"/>
      </w:pPr>
      <w:r>
        <w:rPr>
          <w:rFonts w:ascii="Arial" w:hAnsi="Arial"/>
          <w:color w:val="4A5663"/>
          <w:sz w:val="22"/>
        </w:rPr>
        <w:t xml:space="preserve">We recommend Aqualia's Sustainability Committee adopt a </w:t>
      </w:r>
      <w:r>
        <w:rPr>
          <w:rFonts w:ascii="Arial" w:hAnsi="Arial"/>
          <w:b/>
          <w:color w:val="002F5F"/>
          <w:sz w:val="22"/>
        </w:rPr>
        <w:t>semi-annual matrix refresh</w:t>
      </w:r>
      <w:r>
        <w:rPr>
          <w:rFonts w:ascii="Arial" w:hAnsi="Arial"/>
          <w:color w:val="4A5663"/>
          <w:sz w:val="22"/>
        </w:rPr>
        <w:t xml:space="preserve"> using the reproducible pipeline in </w:t>
      </w:r>
      <w:r>
        <w:rPr>
          <w:rFonts w:ascii="Consolas" w:hAnsi="Consolas"/>
          <w:color w:val="4A5663"/>
          <w:sz w:val="20"/>
        </w:rPr>
        <w:t>matrix_mc.py</w:t>
      </w:r>
      <w:r>
        <w:rPr>
          <w:rFonts w:ascii="Arial" w:hAnsi="Arial"/>
          <w:color w:val="4A5663"/>
          <w:sz w:val="22"/>
        </w:rPr>
        <w:t>. Each refresh produces updated confidence ellipses under the latest input assumptions; material shifts in ellipse position across two consecutive refreshes should trigger Executive Committee review. This institutionalises the methodology rather than treating it as a one-off deliverable.</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9. Limitations, Reverse Stress Test, and Ethical Framing</w:t>
      </w:r>
    </w:p>
    <w:p>
      <w:pPr>
        <w:spacing w:before="240" w:after="80" w:line="288" w:lineRule="auto"/>
      </w:pPr>
      <w:r>
        <w:rPr>
          <w:rFonts w:ascii="Arial" w:hAnsi="Arial"/>
          <w:b/>
          <w:color w:val="002F5F"/>
          <w:sz w:val="24"/>
        </w:rPr>
        <w:t>9.1 What this methodology cannot do</w:t>
      </w:r>
    </w:p>
    <w:p>
      <w:pPr>
        <w:spacing w:before="0" w:after="120" w:line="324" w:lineRule="auto"/>
      </w:pPr>
      <w:r>
        <w:rPr>
          <w:rFonts w:ascii="Arial" w:hAnsi="Arial"/>
          <w:color w:val="4A5663"/>
          <w:sz w:val="22"/>
        </w:rPr>
        <w:t>Six honest limitations, each with a remediation path.</w:t>
      </w:r>
    </w:p>
    <w:p>
      <w:pPr>
        <w:pStyle w:val="ListNumber"/>
        <w:spacing w:before="0" w:after="60" w:line="312" w:lineRule="auto"/>
      </w:pPr>
      <w:r>
        <w:rPr>
          <w:rFonts w:ascii="Arial" w:hAnsi="Arial"/>
          <w:b/>
          <w:color w:val="002F5F"/>
          <w:sz w:val="22"/>
        </w:rPr>
        <w:t>No external stakeholder consultation in this cycle.</w:t>
      </w:r>
      <w:r>
        <w:rPr>
          <w:rFonts w:ascii="Arial" w:hAnsi="Arial"/>
          <w:color w:val="4A5663"/>
          <w:sz w:val="22"/>
        </w:rPr>
        <w:t xml:space="preserve"> Mirrors</w:t>
      </w:r>
    </w:p>
    <w:p>
      <w:pPr>
        <w:spacing w:before="0" w:after="120" w:line="324" w:lineRule="auto"/>
      </w:pPr>
      <w:r>
        <w:rPr>
          <w:rFonts w:ascii="Arial" w:hAnsi="Arial"/>
          <w:color w:val="4A5663"/>
          <w:sz w:val="22"/>
        </w:rPr>
        <w:t>Aqualia's own 2025 cycle choice but inherits its consequence. Remediation: the Mitchell–Agle–Wood salience model is a *substitute* for consultation, not a *replacement*. Production- grade version should conduct at least one round of external interviews per stakeholder group over the next CSRD cycle.</w:t>
      </w:r>
    </w:p>
    <w:p>
      <w:pPr>
        <w:pStyle w:val="ListNumber"/>
        <w:spacing w:before="0" w:after="60" w:line="312" w:lineRule="auto"/>
      </w:pPr>
      <w:r>
        <w:rPr>
          <w:rFonts w:ascii="Arial" w:hAnsi="Arial"/>
          <w:b/>
          <w:color w:val="002F5F"/>
          <w:sz w:val="22"/>
        </w:rPr>
        <w:t>No asset-level financial disclosures.</w:t>
      </w:r>
      <w:r>
        <w:rPr>
          <w:rFonts w:ascii="Arial" w:hAnsi="Arial"/>
          <w:color w:val="4A5663"/>
          <w:sz w:val="22"/>
        </w:rPr>
        <w:t xml:space="preserve"> Our €-ranges triangulate</w:t>
      </w:r>
    </w:p>
    <w:p>
      <w:pPr>
        <w:spacing w:before="0" w:after="120" w:line="324" w:lineRule="auto"/>
      </w:pPr>
      <w:r>
        <w:rPr>
          <w:rFonts w:ascii="Arial" w:hAnsi="Arial"/>
          <w:color w:val="4A5663"/>
          <w:sz w:val="22"/>
        </w:rPr>
        <w:t>public segment data, peer benchmarks, and regulatory cost factors. Remediation: the Aqualia CFO's office can narrow the A01, A06, A11, A15 ranges with internal data; ranges are explicitly reported to invite this.</w:t>
      </w:r>
    </w:p>
    <w:p>
      <w:pPr>
        <w:pStyle w:val="ListNumber"/>
        <w:spacing w:before="0" w:after="60" w:line="312" w:lineRule="auto"/>
      </w:pPr>
      <w:r>
        <w:rPr>
          <w:rFonts w:ascii="Arial" w:hAnsi="Arial"/>
          <w:b/>
          <w:color w:val="002F5F"/>
          <w:sz w:val="22"/>
        </w:rPr>
        <w:t>Real Options exhibit is illustrative.</w:t>
      </w:r>
      <w:r>
        <w:rPr>
          <w:rFonts w:ascii="Arial" w:hAnsi="Arial"/>
          <w:color w:val="4A5663"/>
          <w:sz w:val="22"/>
        </w:rPr>
        <w:t xml:space="preserve"> Indicative parameters</w:t>
      </w:r>
    </w:p>
    <w:p>
      <w:pPr>
        <w:spacing w:before="0" w:after="120" w:line="324" w:lineRule="auto"/>
      </w:pPr>
      <w:r>
        <w:rPr>
          <w:rFonts w:ascii="Arial" w:hAnsi="Arial"/>
          <w:color w:val="4A5663"/>
          <w:sz w:val="22"/>
        </w:rPr>
        <w:t>stand in for asset-specific cost of capital, tariff structure, and concession-term conditions. Remediation: re-run the calculation with Aqualia's actual WACC and concession schedule; the methodology itself is production-grade.</w:t>
      </w:r>
    </w:p>
    <w:p>
      <w:pPr>
        <w:pStyle w:val="ListNumber"/>
        <w:spacing w:before="0" w:after="60" w:line="312" w:lineRule="auto"/>
      </w:pPr>
      <w:r>
        <w:rPr>
          <w:rFonts w:ascii="Arial" w:hAnsi="Arial"/>
          <w:b/>
          <w:color w:val="002F5F"/>
          <w:sz w:val="22"/>
        </w:rPr>
        <w:t>ESRS heatmap uses TF-IDF, not dense embeddings.</w:t>
      </w:r>
      <w:r>
        <w:rPr>
          <w:rFonts w:ascii="Arial" w:hAnsi="Arial"/>
          <w:color w:val="4A5663"/>
          <w:sz w:val="22"/>
        </w:rPr>
        <w:t xml:space="preserve"> Multilingual</w:t>
      </w:r>
    </w:p>
    <w:p>
      <w:pPr>
        <w:spacing w:before="0" w:after="120" w:line="324" w:lineRule="auto"/>
      </w:pPr>
      <w:r>
        <w:rPr>
          <w:rFonts w:ascii="Arial" w:hAnsi="Arial"/>
          <w:color w:val="4A5663"/>
          <w:sz w:val="22"/>
        </w:rPr>
        <w:t xml:space="preserve">semantic nuance is partially lost. Remediation: one-line swap to </w:t>
      </w:r>
      <w:r>
        <w:rPr>
          <w:rFonts w:ascii="Consolas" w:hAnsi="Consolas"/>
          <w:color w:val="4A5663"/>
          <w:sz w:val="20"/>
        </w:rPr>
        <w:t>sentence-transformers/paraphrase-multilingual-mpnet-base-v2</w:t>
      </w:r>
      <w:r>
        <w:rPr>
          <w:rFonts w:ascii="Arial" w:hAnsi="Arial"/>
          <w:color w:val="4A5663"/>
          <w:sz w:val="22"/>
        </w:rPr>
        <w:t xml:space="preserve"> recalibrates thresholds but preserves findings.</w:t>
      </w:r>
    </w:p>
    <w:p>
      <w:pPr>
        <w:pStyle w:val="ListNumber"/>
        <w:spacing w:before="0" w:after="60" w:line="312" w:lineRule="auto"/>
      </w:pPr>
      <w:r>
        <w:rPr>
          <w:rFonts w:ascii="Arial" w:hAnsi="Arial"/>
          <w:b/>
          <w:color w:val="002F5F"/>
          <w:sz w:val="22"/>
        </w:rPr>
        <w:t>Aqueduct overlay uses public Aqueduct 4.0 baseline data</w:t>
      </w:r>
      <w:r>
        <w:rPr>
          <w:rFonts w:ascii="Arial" w:hAnsi="Arial"/>
          <w:color w:val="4A5663"/>
          <w:sz w:val="22"/>
        </w:rPr>
        <w:t>, not a</w:t>
      </w:r>
    </w:p>
    <w:p>
      <w:pPr>
        <w:spacing w:before="0" w:after="120" w:line="324" w:lineRule="auto"/>
      </w:pPr>
      <w:r>
        <w:rPr>
          <w:rFonts w:ascii="Arial" w:hAnsi="Arial"/>
          <w:color w:val="4A5663"/>
          <w:sz w:val="22"/>
        </w:rPr>
        <w:t>commissioned hydrological model for Aqualia's concession polygons. Remediation: use EEA Europe's State of Water 2024 to refine at the river-basin level; acquire Aqualia service-polygon GIS data to do pixel-level intersections.</w:t>
      </w:r>
    </w:p>
    <w:p>
      <w:pPr>
        <w:pStyle w:val="ListNumber"/>
        <w:spacing w:before="0" w:after="60" w:line="312" w:lineRule="auto"/>
      </w:pPr>
      <w:r>
        <w:rPr>
          <w:rFonts w:ascii="Arial" w:hAnsi="Arial"/>
          <w:b/>
          <w:color w:val="002F5F"/>
          <w:sz w:val="22"/>
        </w:rPr>
        <w:t>Monte Carlo perturbation = ±0.7 on the 1–5 scale</w:t>
      </w:r>
      <w:r>
        <w:rPr>
          <w:rFonts w:ascii="Arial" w:hAnsi="Arial"/>
          <w:color w:val="4A5663"/>
          <w:sz w:val="22"/>
        </w:rPr>
        <w:t xml:space="preserve"> is a</w:t>
      </w:r>
    </w:p>
    <w:p>
      <w:pPr>
        <w:spacing w:before="0" w:after="120" w:line="324" w:lineRule="auto"/>
      </w:pPr>
      <w:r>
        <w:rPr>
          <w:rFonts w:ascii="Arial" w:hAnsi="Arial"/>
          <w:color w:val="4A5663"/>
          <w:sz w:val="22"/>
        </w:rPr>
        <w:t>methodological judgement call. Remediation: sensitivity to this parameter is reported at PERTURB = 1.0 in the appendix, and topic rankings are stable.</w:t>
      </w:r>
    </w:p>
    <w:p>
      <w:pPr>
        <w:spacing w:before="240" w:after="80" w:line="288" w:lineRule="auto"/>
      </w:pPr>
      <w:r>
        <w:rPr>
          <w:rFonts w:ascii="Arial" w:hAnsi="Arial"/>
          <w:b/>
          <w:color w:val="002F5F"/>
          <w:sz w:val="24"/>
        </w:rPr>
        <w:t>9.2 Reverse stress test (Exhibit 17)</w:t>
      </w:r>
    </w:p>
    <w:p>
      <w:pPr>
        <w:spacing w:before="0" w:after="120" w:line="324" w:lineRule="auto"/>
      </w:pPr>
      <w:r>
        <w:rPr>
          <w:rFonts w:ascii="Arial" w:hAnsi="Arial"/>
          <w:color w:val="4A5663"/>
          <w:sz w:val="22"/>
        </w:rPr>
        <w:t>For each topic, we ask: *what would inputs have to do for this topic to exit the Target Zone?*</w:t>
      </w:r>
    </w:p>
    <w:p>
      <w:pPr>
        <w:pStyle w:val="ListBullet"/>
        <w:spacing w:before="0" w:after="60" w:line="312" w:lineRule="auto"/>
      </w:pPr>
      <w:r>
        <w:rPr>
          <w:rFonts w:ascii="Arial" w:hAnsi="Arial"/>
          <w:b/>
          <w:color w:val="002F5F"/>
          <w:sz w:val="22"/>
        </w:rPr>
        <w:t>T1.</w:t>
      </w:r>
      <w:r>
        <w:rPr>
          <w:rFonts w:ascii="Arial" w:hAnsi="Arial"/>
          <w:color w:val="4A5663"/>
          <w:sz w:val="22"/>
        </w:rPr>
        <w:t xml:space="preserve"> Would need simultaneous downward revision of A03 (water-</w:t>
      </w:r>
    </w:p>
    <w:p>
      <w:pPr>
        <w:spacing w:before="0" w:after="120" w:line="324" w:lineRule="auto"/>
      </w:pPr>
      <w:r>
        <w:rPr>
          <w:rFonts w:ascii="Arial" w:hAnsi="Arial"/>
          <w:color w:val="4A5663"/>
          <w:sz w:val="22"/>
        </w:rPr>
        <w:t>stress revenue exposure to &lt;40%), A04 (reuse market &lt;€15 M base), and E1-adaptation.prob to 2 (Possible). The conjunction is highly implausible given WEF and EU Water Resilience Strategy consensus — T1 exits only in a scenario where climate science and EU policy both reverse.</w:t>
      </w:r>
    </w:p>
    <w:p>
      <w:pPr>
        <w:pStyle w:val="ListBullet"/>
        <w:spacing w:before="0" w:after="60" w:line="312" w:lineRule="auto"/>
      </w:pPr>
      <w:r>
        <w:rPr>
          <w:rFonts w:ascii="Arial" w:hAnsi="Arial"/>
          <w:b/>
          <w:color w:val="002F5F"/>
          <w:sz w:val="22"/>
        </w:rPr>
        <w:t>T2.</w:t>
      </w:r>
      <w:r>
        <w:rPr>
          <w:rFonts w:ascii="Arial" w:hAnsi="Arial"/>
          <w:color w:val="4A5663"/>
          <w:sz w:val="22"/>
        </w:rPr>
        <w:t xml:space="preserve"> Would need O-tender-uplift.mag to drop to 1 (Immaterial)</w:t>
      </w:r>
    </w:p>
    <w:p>
      <w:pPr>
        <w:spacing w:before="0" w:after="120" w:line="324" w:lineRule="auto"/>
      </w:pPr>
      <w:r>
        <w:rPr>
          <w:rFonts w:ascii="Arial" w:hAnsi="Arial"/>
          <w:color w:val="4A5663"/>
          <w:sz w:val="22"/>
        </w:rPr>
        <w:t>AND R-cyber-incident.prob to drop to 1 (Remote). Both contradict empirical data (rising utility cyber-incident frequency; digital tender-differentiation documented in peer disclosures).</w:t>
      </w:r>
    </w:p>
    <w:p>
      <w:pPr>
        <w:pStyle w:val="ListBullet"/>
        <w:spacing w:before="0" w:after="60" w:line="312" w:lineRule="auto"/>
      </w:pPr>
      <w:r>
        <w:rPr>
          <w:rFonts w:ascii="Arial" w:hAnsi="Arial"/>
          <w:b/>
          <w:color w:val="002F5F"/>
          <w:sz w:val="22"/>
        </w:rPr>
        <w:t>T3.</w:t>
      </w:r>
      <w:r>
        <w:rPr>
          <w:rFonts w:ascii="Arial" w:hAnsi="Arial"/>
          <w:color w:val="4A5663"/>
          <w:sz w:val="22"/>
        </w:rPr>
        <w:t xml:space="preserve"> Is the sensitive topic and already sits borderline.</w:t>
      </w:r>
    </w:p>
    <w:p>
      <w:pPr>
        <w:spacing w:before="0" w:after="120" w:line="324" w:lineRule="auto"/>
      </w:pPr>
      <w:r>
        <w:rPr>
          <w:rFonts w:ascii="Arial" w:hAnsi="Arial"/>
          <w:color w:val="4A5663"/>
          <w:sz w:val="22"/>
        </w:rPr>
        <w:t>Conditions that *push T3 into the Target Zone* (rather than out): Omnibus-I rollback milder than expected; CoC spread widening beyond 25 bp; Aqualia issuance timing concentrated in higher-spread periods (Italian or Colombian issuance windows).</w:t>
      </w:r>
    </w:p>
    <w:p>
      <w:pPr>
        <w:spacing w:before="240" w:after="80" w:line="288" w:lineRule="auto"/>
      </w:pPr>
      <w:r>
        <w:rPr>
          <w:rFonts w:ascii="Arial" w:hAnsi="Arial"/>
          <w:b/>
          <w:color w:val="002F5F"/>
          <w:sz w:val="24"/>
        </w:rPr>
        <w:t>9.3 Ethical framing</w:t>
      </w:r>
    </w:p>
    <w:p>
      <w:pPr>
        <w:spacing w:before="0" w:after="120" w:line="324" w:lineRule="auto"/>
      </w:pPr>
      <w:r>
        <w:rPr>
          <w:rFonts w:ascii="Arial" w:hAnsi="Arial"/>
          <w:color w:val="4A5663"/>
          <w:sz w:val="22"/>
        </w:rPr>
        <w:t>We attribute all IRO counts, scoring formulas, and the 16 material topics to Aqualia's 2025 comprehensive Double Materiality Review (</w:t>
      </w:r>
      <w:r>
        <w:rPr>
          <w:rFonts w:ascii="Consolas" w:hAnsi="Consolas"/>
          <w:color w:val="4A5663"/>
          <w:sz w:val="20"/>
        </w:rPr>
        <w:t>v2_VF_Aqualia Informe final Revision Doble Materialidad 2025_ENG.pdf</w:t>
      </w:r>
      <w:r>
        <w:rPr>
          <w:rFonts w:ascii="Arial" w:hAnsi="Arial"/>
          <w:color w:val="4A5663"/>
          <w:sz w:val="22"/>
        </w:rPr>
        <w:t xml:space="preserve">, </w:t>
      </w:r>
      <w:r>
        <w:rPr>
          <w:rFonts w:ascii="Consolas" w:hAnsi="Consolas"/>
          <w:color w:val="4A5663"/>
          <w:sz w:val="20"/>
        </w:rPr>
        <w:t>Methodology Double Materiality Assessment Review.pdf</w:t>
      </w:r>
      <w:r>
        <w:rPr>
          <w:rFonts w:ascii="Arial" w:hAnsi="Arial"/>
          <w:color w:val="4A5663"/>
          <w:sz w:val="22"/>
        </w:rPr>
        <w:t>). Our contribution is a methodological extension, not a replacement. All benchmark material is drawn from publicly disclosed peer reports; no confidential or proprietary information is used. Where we identify blind spots, the framing is corrective rather than adversarial. The purpose is to strengthen Aqualia's framework, which is already among the most mature in the Spanish water sector.</w:t>
      </w:r>
    </w:p>
    <w:p>
      <w:pPr>
        <w:spacing w:before="120" w:after="200" w:line="324" w:lineRule="auto"/>
        <w:pBdr>
          <w:bottom w:val="single" w:sz="6" w:color="002f5f"/>
        </w:pBdr>
      </w:pPr>
    </w:p>
    <w:p>
      <w:pPr>
        <w:spacing w:before="360" w:after="160" w:line="288" w:lineRule="auto"/>
        <w:pBdr>
          <w:bottom w:val="single" w:sz="6" w:color="5DB9D9"/>
        </w:pBdr>
      </w:pPr>
      <w:r>
        <w:rPr>
          <w:rFonts w:ascii="Arial" w:hAnsi="Arial"/>
          <w:b/>
          <w:color w:val="002F5F"/>
          <w:sz w:val="32"/>
        </w:rPr>
        <w:t>Appendices</w:t>
      </w:r>
    </w:p>
    <w:p>
      <w:pPr>
        <w:spacing w:before="240" w:after="80" w:line="288" w:lineRule="auto"/>
      </w:pPr>
      <w:r>
        <w:rPr>
          <w:rFonts w:ascii="Arial" w:hAnsi="Arial"/>
          <w:b/>
          <w:color w:val="002F5F"/>
          <w:sz w:val="24"/>
        </w:rPr>
        <w:t>Appendix A — Scoring threshold sheet</w:t>
      </w:r>
    </w:p>
    <w:p>
      <w:pPr>
        <w:spacing w:before="0" w:after="120" w:line="324" w:lineRule="auto"/>
      </w:pPr>
      <w:r>
        <w:rPr>
          <w:rFonts w:ascii="Arial" w:hAnsi="Arial"/>
          <w:color w:val="4A5663"/>
          <w:sz w:val="22"/>
        </w:rPr>
        <w:t xml:space="preserve">Full version of </w:t>
      </w:r>
      <w:r>
        <w:rPr>
          <w:rFonts w:ascii="Consolas" w:hAnsi="Consolas"/>
          <w:color w:val="4A5663"/>
          <w:sz w:val="20"/>
        </w:rPr>
        <w:t>03_analysis/scoring_rubric.md</w:t>
      </w:r>
      <w:r>
        <w:rPr>
          <w:rFonts w:ascii="Arial" w:hAnsi="Arial"/>
          <w:color w:val="4A5663"/>
          <w:sz w:val="22"/>
        </w:rPr>
        <w:t xml:space="preserve"> §2–§3 reproduced. Each sub-criterion (Scale, Scope, Remediability, Probability, Magnitude) with 1–5 thresholds, water-sector calibrations, and cited sources (ESRS 1 §43–51; EFRAG IG-1 §53–69; SASB Water Utilities metric set; WRI Aqueduct population bands; MSCI 2024 Water Utilities sub- weights).</w:t>
      </w:r>
    </w:p>
    <w:p>
      <w:pPr>
        <w:spacing w:before="240" w:after="80" w:line="288" w:lineRule="auto"/>
      </w:pPr>
      <w:r>
        <w:rPr>
          <w:rFonts w:ascii="Arial" w:hAnsi="Arial"/>
          <w:b/>
          <w:color w:val="002F5F"/>
          <w:sz w:val="24"/>
        </w:rPr>
        <w:t>Appendix B — Assumption log (A01–A17)</w:t>
      </w:r>
    </w:p>
    <w:p>
      <w:pPr>
        <w:spacing w:before="0" w:after="120" w:line="324" w:lineRule="auto"/>
      </w:pPr>
      <w:r>
        <w:rPr>
          <w:rFonts w:ascii="Arial" w:hAnsi="Arial"/>
          <w:color w:val="4A5663"/>
          <w:sz w:val="22"/>
        </w:rPr>
        <w:t>Every numeric assumption used in the financial section, with source, range, and the section of the report where it appears. Numbered for audit cross-reference.</w:t>
      </w:r>
    </w:p>
    <w:p>
      <w:pPr>
        <w:spacing w:before="240" w:after="80" w:line="288" w:lineRule="auto"/>
      </w:pPr>
      <w:r>
        <w:rPr>
          <w:rFonts w:ascii="Arial" w:hAnsi="Arial"/>
          <w:b/>
          <w:color w:val="002F5F"/>
          <w:sz w:val="24"/>
        </w:rPr>
        <w:t>Appendix C — ESRS datapoint coverage (Exhibit — full heatmap)</w:t>
      </w:r>
    </w:p>
    <w:p>
      <w:pPr>
        <w:spacing w:before="0" w:after="120" w:line="324" w:lineRule="auto"/>
      </w:pPr>
      <w:r>
        <w:rPr>
          <w:rFonts w:ascii="Arial" w:hAnsi="Arial"/>
          <w:color w:val="4A5663"/>
          <w:sz w:val="22"/>
        </w:rPr>
        <w:t xml:space="preserve">Output from </w:t>
      </w:r>
      <w:r>
        <w:rPr>
          <w:rFonts w:ascii="Consolas" w:hAnsi="Consolas"/>
          <w:color w:val="4A5663"/>
          <w:sz w:val="20"/>
        </w:rPr>
        <w:t>03_analysis/coverage_matrix.csv</w:t>
      </w:r>
      <w:r>
        <w:rPr>
          <w:rFonts w:ascii="Arial" w:hAnsi="Arial"/>
          <w:color w:val="4A5663"/>
          <w:sz w:val="22"/>
        </w:rPr>
        <w:t>. One row per ESRS datapoint with coverage band, cosine-similarity score, and the top-matching Aqualia report chunk (with source file and page number) for audit.</w:t>
      </w:r>
    </w:p>
    <w:p>
      <w:pPr>
        <w:spacing w:before="240" w:after="80" w:line="288" w:lineRule="auto"/>
      </w:pPr>
      <w:r>
        <w:rPr>
          <w:rFonts w:ascii="Arial" w:hAnsi="Arial"/>
          <w:b/>
          <w:color w:val="002F5F"/>
          <w:sz w:val="24"/>
        </w:rPr>
        <w:t>Appendix D — Monte Carlo technical note</w:t>
      </w:r>
    </w:p>
    <w:p>
      <w:pPr>
        <w:spacing w:before="0" w:after="120" w:line="324" w:lineRule="auto"/>
      </w:pPr>
      <w:r>
        <w:rPr>
          <w:rFonts w:ascii="Arial" w:hAnsi="Arial"/>
          <w:color w:val="4A5663"/>
          <w:sz w:val="22"/>
        </w:rPr>
        <w:t>Triangular distribution specification; Dirichlet prior on stakeholder weights; top-k aggregation derivation; 2D χ² ellipse construction; seed control (42) for reproducibility.</w:t>
      </w:r>
    </w:p>
    <w:p>
      <w:pPr>
        <w:spacing w:before="240" w:after="80" w:line="288" w:lineRule="auto"/>
      </w:pPr>
      <w:r>
        <w:rPr>
          <w:rFonts w:ascii="Arial" w:hAnsi="Arial"/>
          <w:b/>
          <w:color w:val="002F5F"/>
          <w:sz w:val="24"/>
        </w:rPr>
        <w:t>Appendix E — Peer material-topic cross-walk</w:t>
      </w:r>
    </w:p>
    <w:p>
      <w:pPr>
        <w:spacing w:before="0" w:after="120" w:line="324" w:lineRule="auto"/>
      </w:pPr>
      <w:r>
        <w:rPr>
          <w:rFonts w:ascii="Arial" w:hAnsi="Arial"/>
          <w:color w:val="4A5663"/>
          <w:sz w:val="22"/>
        </w:rPr>
        <w:t>Full 14-column version of the peer-benchmark matrix (Veolia, Suez, Saur, Facsa, Global Omnium, Severn Trent), with qualitative coverage marks and short justification per cell. Exhibit 3.</w:t>
      </w:r>
    </w:p>
    <w:p>
      <w:pPr>
        <w:spacing w:before="240" w:after="80" w:line="288" w:lineRule="auto"/>
      </w:pPr>
      <w:r>
        <w:rPr>
          <w:rFonts w:ascii="Arial" w:hAnsi="Arial"/>
          <w:b/>
          <w:color w:val="002F5F"/>
          <w:sz w:val="24"/>
        </w:rPr>
        <w:t>Appendix F — Expert input</w:t>
      </w:r>
    </w:p>
    <w:p>
      <w:pPr>
        <w:spacing w:before="0" w:after="120" w:line="324" w:lineRule="auto"/>
      </w:pPr>
      <w:r>
        <w:rPr>
          <w:rFonts w:ascii="Arial" w:hAnsi="Arial"/>
          <w:color w:val="4A5663"/>
          <w:sz w:val="22"/>
        </w:rPr>
        <w:t>To be populated after the LinkedIn outreach in §P2.1 of the Final Readiness punch list. Format: one-paragraph attribution, one direct quote, one follow-up question trail.</w:t>
      </w:r>
    </w:p>
    <w:p>
      <w:pPr>
        <w:spacing w:before="240" w:after="80" w:line="288" w:lineRule="auto"/>
      </w:pPr>
      <w:r>
        <w:rPr>
          <w:rFonts w:ascii="Arial" w:hAnsi="Arial"/>
          <w:b/>
          <w:color w:val="002F5F"/>
          <w:sz w:val="24"/>
        </w:rPr>
        <w:t>Appendix G — References / Bibliography</w:t>
      </w:r>
    </w:p>
    <w:p>
      <w:pPr>
        <w:spacing w:before="0" w:after="120" w:line="324" w:lineRule="auto"/>
      </w:pPr>
      <w:r>
        <w:rPr>
          <w:rFonts w:ascii="Arial" w:hAnsi="Arial"/>
          <w:color w:val="4A5663"/>
          <w:sz w:val="22"/>
        </w:rPr>
        <w:t xml:space="preserve">47 entries grouped by source type: EU/European regulation (13); Spanish regulation (3); standards &amp; frameworks (7); rating-agency methodologies (3); data sources (7); academic references (3); industry/peer disclosures (11). Full list at </w:t>
      </w:r>
      <w:r>
        <w:rPr>
          <w:rFonts w:ascii="Consolas" w:hAnsi="Consolas"/>
          <w:color w:val="4A5663"/>
          <w:sz w:val="20"/>
        </w:rPr>
        <w:t>05_report/references.md</w:t>
      </w:r>
      <w:r>
        <w:rPr>
          <w:rFonts w:ascii="Arial" w:hAnsi="Arial"/>
          <w:color w:val="4A5663"/>
          <w:sz w:val="22"/>
        </w:rPr>
        <w:t>.</w:t>
      </w:r>
    </w:p>
    <w:p>
      <w:pPr>
        <w:spacing w:before="240" w:after="80" w:line="288" w:lineRule="auto"/>
      </w:pPr>
      <w:r>
        <w:rPr>
          <w:rFonts w:ascii="Arial" w:hAnsi="Arial"/>
          <w:b/>
          <w:color w:val="002F5F"/>
          <w:sz w:val="24"/>
        </w:rPr>
        <w:t>Appendix H — Data and code</w:t>
      </w:r>
    </w:p>
    <w:p>
      <w:pPr>
        <w:spacing w:before="0" w:after="120" w:line="324" w:lineRule="auto"/>
      </w:pPr>
      <w:r>
        <w:rPr>
          <w:rFonts w:ascii="Arial" w:hAnsi="Arial"/>
          <w:color w:val="4A5663"/>
          <w:sz w:val="22"/>
        </w:rPr>
        <w:t xml:space="preserve">Reproducibility trail. All analysis artefacts are in the repo at </w:t>
      </w:r>
      <w:r>
        <w:rPr>
          <w:rFonts w:ascii="Consolas" w:hAnsi="Consolas"/>
          <w:color w:val="4A5663"/>
          <w:sz w:val="20"/>
        </w:rPr>
        <w:t>03_analysis/</w:t>
      </w:r>
      <w:r>
        <w:rPr>
          <w:rFonts w:ascii="Arial" w:hAnsi="Arial"/>
          <w:color w:val="4A5663"/>
          <w:sz w:val="22"/>
        </w:rPr>
        <w:t xml:space="preserve"> (scoring rubric, stakeholder salience, financials, Monte Carlo, gap heatmap) and </w:t>
      </w:r>
      <w:r>
        <w:rPr>
          <w:rFonts w:ascii="Consolas" w:hAnsi="Consolas"/>
          <w:color w:val="4A5663"/>
          <w:sz w:val="20"/>
        </w:rPr>
        <w:t>04_matrix/</w:t>
      </w:r>
      <w:r>
        <w:rPr>
          <w:rFonts w:ascii="Arial" w:hAnsi="Arial"/>
          <w:color w:val="4A5663"/>
          <w:sz w:val="22"/>
        </w:rPr>
        <w:t xml:space="preserve"> (rendered figures). Python pipeline files: </w:t>
      </w:r>
      <w:r>
        <w:rPr>
          <w:rFonts w:ascii="Consolas" w:hAnsi="Consolas"/>
          <w:color w:val="4A5663"/>
          <w:sz w:val="20"/>
        </w:rPr>
        <w:t>matrix_mc.py</w:t>
      </w:r>
      <w:r>
        <w:rPr>
          <w:rFonts w:ascii="Arial" w:hAnsi="Arial"/>
          <w:color w:val="4A5663"/>
          <w:sz w:val="22"/>
        </w:rPr>
        <w:t xml:space="preserve">, </w:t>
      </w:r>
      <w:r>
        <w:rPr>
          <w:rFonts w:ascii="Consolas" w:hAnsi="Consolas"/>
          <w:color w:val="4A5663"/>
          <w:sz w:val="20"/>
        </w:rPr>
        <w:t>matrix_inputs.py</w:t>
      </w:r>
      <w:r>
        <w:rPr>
          <w:rFonts w:ascii="Arial" w:hAnsi="Arial"/>
          <w:color w:val="4A5663"/>
          <w:sz w:val="22"/>
        </w:rPr>
        <w:t xml:space="preserve">, </w:t>
      </w:r>
      <w:r>
        <w:rPr>
          <w:rFonts w:ascii="Consolas" w:hAnsi="Consolas"/>
          <w:color w:val="4A5663"/>
          <w:sz w:val="20"/>
        </w:rPr>
        <w:t>esrs_gap_heatmap.py</w:t>
      </w:r>
      <w:r>
        <w:rPr>
          <w:rFonts w:ascii="Arial" w:hAnsi="Arial"/>
          <w:color w:val="4A5663"/>
          <w:sz w:val="22"/>
        </w:rPr>
        <w:t xml:space="preserve">, </w:t>
      </w:r>
      <w:r>
        <w:rPr>
          <w:rFonts w:ascii="Consolas" w:hAnsi="Consolas"/>
          <w:color w:val="4A5663"/>
          <w:sz w:val="20"/>
        </w:rPr>
        <w:t>esrs_datapoints.csv</w:t>
      </w:r>
      <w:r>
        <w:rPr>
          <w:rFonts w:ascii="Arial" w:hAnsi="Arial"/>
          <w:color w:val="4A5663"/>
          <w:sz w:val="22"/>
        </w:rPr>
        <w:t xml:space="preserve">. Interactive dashboard: </w:t>
      </w:r>
      <w:r>
        <w:rPr>
          <w:rFonts w:ascii="Consolas" w:hAnsi="Consolas"/>
          <w:color w:val="4A5663"/>
          <w:sz w:val="20"/>
        </w:rPr>
        <w:t>07_streamlit/app.py</w:t>
      </w:r>
      <w:r>
        <w:rPr>
          <w:rFonts w:ascii="Arial" w:hAnsi="Arial"/>
          <w:color w:val="4A5663"/>
          <w:sz w:val="22"/>
        </w:rPr>
        <w:t xml:space="preserve">. Visual system: </w:t>
      </w:r>
      <w:r>
        <w:rPr>
          <w:rFonts w:ascii="Consolas" w:hAnsi="Consolas"/>
          <w:color w:val="4A5663"/>
          <w:sz w:val="20"/>
        </w:rPr>
        <w:t>08_visual_system/</w:t>
      </w:r>
      <w:r>
        <w:rPr>
          <w:rFonts w:ascii="Arial" w:hAnsi="Arial"/>
          <w:color w:val="4A5663"/>
          <w:sz w:val="22"/>
        </w:rPr>
        <w:t>. Every exhibit in this report ties to a file in the repo.</w:t>
      </w:r>
    </w:p>
    <w:p>
      <w:pPr>
        <w:spacing w:before="120" w:after="200" w:line="324" w:lineRule="auto"/>
        <w:pBdr>
          <w:bottom w:val="single" w:sz="6" w:color="002f5f"/>
        </w:pBdr>
      </w:pPr>
    </w:p>
    <w:p>
      <w:pPr>
        <w:spacing w:before="0" w:after="120" w:line="324" w:lineRule="auto"/>
      </w:pPr>
      <w:r>
        <w:rPr>
          <w:rFonts w:ascii="Arial" w:hAnsi="Arial"/>
          <w:color w:val="4A5663"/>
          <w:sz w:val="22"/>
        </w:rPr>
        <w:t>*Report compiled by Los Gatos de Datos for the IE Sustainability Datathon March 2026, Double Materiality &amp; ESG Strategy track, Aqualia brief.*</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rFonts w:ascii="Arial" w:hAnsi="Arial"/>
        <w:color w:val="4A5663"/>
        <w:sz w:val="16"/>
      </w:rPr>
      <w:t>Water as Strategy  ·  Aqualia Double Materiality  ·  Los Gatos de Datos</w:t>
    </w:r>
    <w:r>
      <w:rPr>
        <w:rFonts w:ascii="Arial" w:hAnsi="Arial"/>
        <w:sz w:val="16"/>
      </w:rPr>
      <w:tab/>
    </w:r>
    <w:r>
      <w:rPr>
        <w:rFonts w:ascii="Arial" w:hAnsi="Arial"/>
        <w:b/>
        <w:color w:val="002F5F"/>
        <w:sz w:val="16"/>
      </w:rPr>
      <w:fldChar w:fldCharType="begin"/>
      <w:instrText xml:space="preserve"> PAGE </w:instrText>
      <w:fldChar w:fldCharType="end"/>
    </w:r>
    <w:r>
      <w:rPr>
        <w:rFonts w:ascii="Arial" w:hAnsi="Arial"/>
        <w:color w:val="4A5663"/>
        <w:sz w:val="16"/>
      </w:rPr>
      <w:t xml:space="preserve"> / </w:t>
    </w:r>
    <w:r>
      <w:rPr>
        <w:rFonts w:ascii="Arial" w:hAnsi="Arial"/>
        <w:b/>
        <w:color w:val="002F5F"/>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566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