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24" w:lineRule="auto"/>
        <w:jc w:val="left"/>
      </w:pPr>
      <w:r>
        <w:rPr>
          <w:rFonts w:ascii="Arial" w:hAnsi="Arial"/>
          <w:b/>
          <w:color w:val="002F5F"/>
          <w:sz w:val="56"/>
        </w:rPr>
        <w:t>Water as Strategy</w:t>
      </w:r>
    </w:p>
    <w:p>
      <w:pPr>
        <w:spacing w:before="0" w:after="360" w:line="324" w:lineRule="auto"/>
      </w:pPr>
      <w:r>
        <w:rPr>
          <w:rFonts w:ascii="Arial" w:hAnsi="Arial"/>
          <w:color w:val="0B4F74"/>
          <w:sz w:val="28"/>
        </w:rPr>
        <w:t>A Double Materiality Framework for Aqualia, 2027–2030</w:t>
      </w:r>
    </w:p>
    <w:p>
      <w:pPr>
        <w:spacing w:before="0" w:after="360" w:line="324" w:lineRule="auto"/>
      </w:pPr>
      <w:r>
        <w:rPr>
          <w:rFonts w:ascii="Arial" w:hAnsi="Arial"/>
          <w:i/>
          <w:color w:val="4A5663"/>
          <w:sz w:val="20"/>
        </w:rPr>
        <w:t>IE Sustainability Datathon · March 2026</w:t>
        <w:br/>
        <w:t>Track: Double Materiality &amp; ESG Strategy — Aqualia</w:t>
        <w:br/>
        <w:t>Commissioned work · External ESG advisory engagement</w:t>
      </w:r>
    </w:p>
    <w:p>
      <w:pPr>
        <w:spacing w:before="0" w:after="120" w:line="324" w:lineRule="auto"/>
      </w:pPr>
      <w:r>
        <w:rPr>
          <w:rFonts w:ascii="Arial" w:hAnsi="Arial"/>
          <w:b/>
          <w:color w:val="002F5F"/>
          <w:sz w:val="22"/>
        </w:rPr>
        <w:t>IE Sustainability Datathon — March 2026</w:t>
      </w:r>
      <w:r>
        <w:rPr>
          <w:rFonts w:ascii="Arial" w:hAnsi="Arial"/>
          <w:color w:val="4A5663"/>
          <w:sz w:val="22"/>
        </w:rPr>
        <w:t xml:space="preserve"> </w:t>
      </w:r>
      <w:r>
        <w:rPr>
          <w:rFonts w:ascii="Arial" w:hAnsi="Arial"/>
          <w:b/>
          <w:color w:val="002F5F"/>
          <w:sz w:val="22"/>
        </w:rPr>
        <w:t>Track: Double Materiality &amp; ESG Strategy — Aqualia</w:t>
      </w:r>
      <w:r>
        <w:rPr>
          <w:rFonts w:ascii="Arial" w:hAnsi="Arial"/>
          <w:color w:val="4A5663"/>
          <w:sz w:val="22"/>
        </w:rPr>
        <w:t xml:space="preserve"> </w:t>
      </w:r>
      <w:r>
        <w:rPr>
          <w:rFonts w:ascii="Arial" w:hAnsi="Arial"/>
          <w:b/>
          <w:color w:val="002F5F"/>
          <w:sz w:val="22"/>
        </w:rPr>
        <w:t>Commissioned work · External ESG advisory engagement</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1. Executive Summary</w:t>
      </w:r>
    </w:p>
    <w:p>
      <w:pPr>
        <w:spacing w:before="0" w:after="120" w:line="324" w:lineRule="auto"/>
      </w:pPr>
      <w:r>
        <w:rPr>
          <w:rFonts w:ascii="Arial" w:hAnsi="Arial"/>
          <w:b/>
          <w:color w:val="002F5F"/>
          <w:sz w:val="22"/>
        </w:rPr>
        <w:t>Commission.</w:t>
      </w:r>
      <w:r>
        <w:rPr>
          <w:rFonts w:ascii="Arial" w:hAnsi="Arial"/>
          <w:color w:val="4A5663"/>
          <w:sz w:val="22"/>
        </w:rPr>
        <w:t xml:space="preserve"> A CSRD/ESRS-aligned double materiality assessment for Aqualia, FCC Group's integrated water-cycle operator across eight countries and ~32 million users, under the IE Sustainability Datathon 2026 mandate. Our team operates as external ESG consultants with a specific brief: identify three strategically relevant material topics, assess each along impact and financial dimensions, construct a defensible matrix, and translate findings into a 2027–2030 strategic roadmap.</w:t>
      </w:r>
    </w:p>
    <w:p>
      <w:pPr>
        <w:spacing w:before="0" w:after="120" w:line="324" w:lineRule="auto"/>
      </w:pPr>
      <w:r>
        <w:rPr>
          <w:rFonts w:ascii="Arial" w:hAnsi="Arial"/>
          <w:b/>
          <w:color w:val="002F5F"/>
          <w:sz w:val="22"/>
        </w:rPr>
        <w:t>Three material topics.</w:t>
      </w:r>
      <w:r>
        <w:rPr>
          <w:rFonts w:ascii="Arial" w:hAnsi="Arial"/>
          <w:color w:val="4A5663"/>
          <w:sz w:val="22"/>
        </w:rPr>
        <w:t xml:space="preserve"> From Aqualia's 2025 review of sixteen topics, eighty-three IROs, and a stakeholder ecosystem of ten groups, we concentrate strategic priority on three topics that absorb </w:t>
      </w:r>
      <w:r>
        <w:rPr>
          <w:rFonts w:ascii="Arial" w:hAnsi="Arial"/>
          <w:b/>
          <w:color w:val="002F5F"/>
          <w:sz w:val="22"/>
        </w:rPr>
        <w:t>seventy-three percent of the IRO mass</w:t>
      </w:r>
      <w:r>
        <w:rPr>
          <w:rFonts w:ascii="Arial" w:hAnsi="Arial"/>
          <w:color w:val="4A5663"/>
          <w:sz w:val="22"/>
        </w:rPr>
        <w:t xml:space="preserve"> and that survive sensitivity analysis under four alternate stakeholder-weighting schemes:</w:t>
      </w:r>
    </w:p>
    <w:p>
      <w:pPr>
        <w:pStyle w:val="ListNumber"/>
        <w:spacing w:before="0" w:after="60" w:line="312" w:lineRule="auto"/>
      </w:pPr>
      <w:r>
        <w:rPr>
          <w:rFonts w:ascii="Arial" w:hAnsi="Arial"/>
          <w:b/>
          <w:color w:val="002F5F"/>
          <w:sz w:val="22"/>
        </w:rPr>
        <w:t>Water Resilience and Equitable Access</w:t>
      </w:r>
      <w:r>
        <w:rPr>
          <w:rFonts w:ascii="Arial" w:hAnsi="Arial"/>
          <w:color w:val="4A5663"/>
          <w:sz w:val="22"/>
        </w:rPr>
        <w:t xml:space="preserve"> (ESRS E1+E3+S4 service</w:t>
      </w:r>
    </w:p>
    <w:p>
      <w:pPr>
        <w:spacing w:before="0" w:after="120" w:line="324" w:lineRule="auto"/>
      </w:pPr>
      <w:r>
        <w:rPr>
          <w:rFonts w:ascii="Arial" w:hAnsi="Arial"/>
          <w:color w:val="4A5663"/>
          <w:sz w:val="22"/>
        </w:rPr>
        <w:t xml:space="preserve">resilience + S3 restored). Impact Severity </w:t>
      </w:r>
      <w:r>
        <w:rPr>
          <w:rFonts w:ascii="Arial" w:hAnsi="Arial"/>
          <w:b/>
          <w:color w:val="002F5F"/>
          <w:sz w:val="22"/>
        </w:rPr>
        <w:t>3.98</w:t>
      </w:r>
      <w:r>
        <w:rPr>
          <w:rFonts w:ascii="Arial" w:hAnsi="Arial"/>
          <w:color w:val="4A5663"/>
          <w:sz w:val="22"/>
        </w:rPr>
        <w:t xml:space="preserve">; Financial Severity </w:t>
      </w:r>
      <w:r>
        <w:rPr>
          <w:rFonts w:ascii="Arial" w:hAnsi="Arial"/>
          <w:b/>
          <w:color w:val="002F5F"/>
          <w:sz w:val="22"/>
        </w:rPr>
        <w:t>3.07</w:t>
      </w:r>
      <w:r>
        <w:rPr>
          <w:rFonts w:ascii="Arial" w:hAnsi="Arial"/>
          <w:color w:val="4A5663"/>
          <w:sz w:val="22"/>
        </w:rPr>
        <w:t>. Solidly in the Target Zone.</w:t>
      </w:r>
    </w:p>
    <w:p>
      <w:pPr>
        <w:pStyle w:val="ListNumber"/>
        <w:spacing w:before="0" w:after="60" w:line="312" w:lineRule="auto"/>
      </w:pPr>
      <w:r>
        <w:rPr>
          <w:rFonts w:ascii="Arial" w:hAnsi="Arial"/>
          <w:b/>
          <w:color w:val="002F5F"/>
          <w:sz w:val="22"/>
        </w:rPr>
        <w:t>Digital and Cyber Infrastructure</w:t>
      </w:r>
      <w:r>
        <w:rPr>
          <w:rFonts w:ascii="Arial" w:hAnsi="Arial"/>
          <w:color w:val="4A5663"/>
          <w:sz w:val="22"/>
        </w:rPr>
        <w:t xml:space="preserve"> (Aqualia AQ-Tech +</w:t>
      </w:r>
    </w:p>
    <w:p>
      <w:pPr>
        <w:spacing w:before="0" w:after="120" w:line="324" w:lineRule="auto"/>
      </w:pPr>
      <w:r>
        <w:rPr>
          <w:rFonts w:ascii="Arial" w:hAnsi="Arial"/>
          <w:color w:val="4A5663"/>
          <w:sz w:val="22"/>
        </w:rPr>
        <w:t xml:space="preserve">AQ-Digital + AQ-Cyber cluster). Impact </w:t>
      </w:r>
      <w:r>
        <w:rPr>
          <w:rFonts w:ascii="Arial" w:hAnsi="Arial"/>
          <w:b/>
          <w:color w:val="002F5F"/>
          <w:sz w:val="22"/>
        </w:rPr>
        <w:t>3.08</w:t>
      </w:r>
      <w:r>
        <w:rPr>
          <w:rFonts w:ascii="Arial" w:hAnsi="Arial"/>
          <w:color w:val="4A5663"/>
          <w:sz w:val="22"/>
        </w:rPr>
        <w:t xml:space="preserve">; Financial </w:t>
      </w:r>
      <w:r>
        <w:rPr>
          <w:rFonts w:ascii="Arial" w:hAnsi="Arial"/>
          <w:b/>
          <w:color w:val="002F5F"/>
          <w:sz w:val="22"/>
        </w:rPr>
        <w:t>2.75</w:t>
      </w:r>
      <w:r>
        <w:rPr>
          <w:rFonts w:ascii="Arial" w:hAnsi="Arial"/>
          <w:color w:val="4A5663"/>
          <w:sz w:val="22"/>
        </w:rPr>
        <w:t>. Target Zone — repositioned from Aqualia's current lower-middle placement.</w:t>
      </w:r>
    </w:p>
    <w:p>
      <w:pPr>
        <w:pStyle w:val="ListNumber"/>
        <w:spacing w:before="0" w:after="60" w:line="312" w:lineRule="auto"/>
      </w:pPr>
      <w:r>
        <w:rPr>
          <w:rFonts w:ascii="Arial" w:hAnsi="Arial"/>
          <w:b/>
          <w:color w:val="002F5F"/>
          <w:sz w:val="22"/>
        </w:rPr>
        <w:t>Green Finance and Integrity</w:t>
      </w:r>
      <w:r>
        <w:rPr>
          <w:rFonts w:ascii="Arial" w:hAnsi="Arial"/>
          <w:color w:val="4A5663"/>
          <w:sz w:val="22"/>
        </w:rPr>
        <w:t xml:space="preserve"> (ESRS G1 compliance cluster +</w:t>
      </w:r>
    </w:p>
    <w:p>
      <w:pPr>
        <w:spacing w:before="0" w:after="120" w:line="324" w:lineRule="auto"/>
      </w:pPr>
      <w:r>
        <w:rPr>
          <w:rFonts w:ascii="Arial" w:hAnsi="Arial"/>
          <w:color w:val="4A5663"/>
          <w:sz w:val="22"/>
        </w:rPr>
        <w:t xml:space="preserve">Green-Finance AQ). Impact </w:t>
      </w:r>
      <w:r>
        <w:rPr>
          <w:rFonts w:ascii="Arial" w:hAnsi="Arial"/>
          <w:b/>
          <w:color w:val="002F5F"/>
          <w:sz w:val="22"/>
        </w:rPr>
        <w:t>3.24</w:t>
      </w:r>
      <w:r>
        <w:rPr>
          <w:rFonts w:ascii="Arial" w:hAnsi="Arial"/>
          <w:color w:val="4A5663"/>
          <w:sz w:val="22"/>
        </w:rPr>
        <w:t xml:space="preserve">; Financial </w:t>
      </w:r>
      <w:r>
        <w:rPr>
          <w:rFonts w:ascii="Arial" w:hAnsi="Arial"/>
          <w:b/>
          <w:color w:val="002F5F"/>
          <w:sz w:val="22"/>
        </w:rPr>
        <w:t>2.42</w:t>
      </w:r>
      <w:r>
        <w:rPr>
          <w:rFonts w:ascii="Arial" w:hAnsi="Arial"/>
          <w:color w:val="4A5663"/>
          <w:sz w:val="22"/>
        </w:rPr>
        <w:t>. Borderline — *conditionally* material and trigger-sensitive.</w:t>
      </w:r>
    </w:p>
    <w:p>
      <w:pPr>
        <w:spacing w:before="0" w:after="120" w:line="324" w:lineRule="auto"/>
      </w:pPr>
      <w:r>
        <w:rPr>
          <w:rFonts w:ascii="Arial" w:hAnsi="Arial"/>
          <w:b/>
          <w:color w:val="002F5F"/>
          <w:sz w:val="22"/>
        </w:rPr>
        <w:t>The blind spot.</w:t>
      </w:r>
      <w:r>
        <w:rPr>
          <w:rFonts w:ascii="Arial" w:hAnsi="Arial"/>
          <w:color w:val="4A5663"/>
          <w:sz w:val="22"/>
        </w:rPr>
        <w:t xml:space="preserve"> Aqualia's 2025 review assigns Digitalisation only </w:t>
      </w:r>
      <w:r>
        <w:rPr>
          <w:rFonts w:ascii="Arial" w:hAnsi="Arial"/>
          <w:b/>
          <w:color w:val="002F5F"/>
          <w:sz w:val="22"/>
        </w:rPr>
        <w:t>two IROs</w:t>
      </w:r>
      <w:r>
        <w:rPr>
          <w:rFonts w:ascii="Arial" w:hAnsi="Arial"/>
          <w:color w:val="4A5663"/>
          <w:sz w:val="22"/>
        </w:rPr>
        <w:t xml:space="preserve"> — the lowest of any topic — while peers treat digital as core, the EU Water Resilience Strategy names digitalisation one of five Action Areas, and Aqualia's own Risk Map logs three HIGH operational risks in this cluster. Our Monte Carlo repositions it firmly into the Target Zone.</w:t>
      </w:r>
    </w:p>
    <w:p>
      <w:pPr>
        <w:spacing w:before="0" w:after="120" w:line="324" w:lineRule="auto"/>
      </w:pPr>
      <w:r>
        <w:rPr>
          <w:rFonts w:ascii="Arial" w:hAnsi="Arial"/>
          <w:b/>
          <w:color w:val="002F5F"/>
          <w:sz w:val="22"/>
        </w:rPr>
        <w:t>The equity finding.</w:t>
      </w:r>
      <w:r>
        <w:rPr>
          <w:rFonts w:ascii="Arial" w:hAnsi="Arial"/>
          <w:color w:val="4A5663"/>
          <w:sz w:val="22"/>
        </w:rPr>
        <w:t xml:space="preserve"> Aqualia folds ESRS S3 (affected communities) into S4 (consumers). Customer satisfaction ranges 86–98% across six European and institutional markets, </w:t>
      </w:r>
      <w:r>
        <w:rPr>
          <w:rFonts w:ascii="Arial" w:hAnsi="Arial"/>
          <w:b/>
          <w:color w:val="002F5F"/>
          <w:sz w:val="22"/>
        </w:rPr>
        <w:t>but 33% in Colombia</w:t>
      </w:r>
      <w:r>
        <w:rPr>
          <w:rFonts w:ascii="Arial" w:hAnsi="Arial"/>
          <w:color w:val="4A5663"/>
          <w:sz w:val="22"/>
        </w:rPr>
        <w:t>. Restoring S3 converts a methodological shortcut into a concession-renewal risk we flag formally.</w:t>
      </w:r>
    </w:p>
    <w:p>
      <w:pPr>
        <w:spacing w:before="0" w:after="120" w:line="324" w:lineRule="auto"/>
      </w:pPr>
      <w:r>
        <w:rPr>
          <w:rFonts w:ascii="Arial" w:hAnsi="Arial"/>
          <w:b/>
          <w:color w:val="002F5F"/>
          <w:sz w:val="22"/>
        </w:rPr>
        <w:t>The financial case.</w:t>
      </w:r>
      <w:r>
        <w:rPr>
          <w:rFonts w:ascii="Arial" w:hAnsi="Arial"/>
          <w:color w:val="4A5663"/>
          <w:sz w:val="22"/>
        </w:rPr>
        <w:t xml:space="preserve"> Across the three topics, net annual financial materiality under-weighted by the current framework totals </w:t>
      </w:r>
      <w:r>
        <w:rPr>
          <w:rFonts w:ascii="Arial" w:hAnsi="Arial"/>
          <w:b/>
          <w:color w:val="002F5F"/>
          <w:sz w:val="22"/>
        </w:rPr>
        <w:t>€18 M/yr</w:t>
      </w:r>
      <w:r>
        <w:rPr>
          <w:rFonts w:ascii="Arial" w:hAnsi="Arial"/>
          <w:color w:val="4A5663"/>
          <w:sz w:val="22"/>
        </w:rPr>
        <w:t xml:space="preserve">, against a cumulative 2027–2030 CAPEX implication of </w:t>
      </w:r>
      <w:r>
        <w:rPr>
          <w:rFonts w:ascii="Arial" w:hAnsi="Arial"/>
          <w:b/>
          <w:color w:val="002F5F"/>
          <w:sz w:val="22"/>
        </w:rPr>
        <w:t>€440 M</w:t>
      </w:r>
      <w:r>
        <w:rPr>
          <w:rFonts w:ascii="Arial" w:hAnsi="Arial"/>
          <w:color w:val="4A5663"/>
          <w:sz w:val="22"/>
        </w:rPr>
        <w:t xml:space="preserve"> already embedded in Aqualia's own Risk Map. The topics are linked: T1 drives the CAPEX, T2 de-risks delivery, T3 finances it at a differential cost of capital.</w:t>
      </w:r>
    </w:p>
    <w:p>
      <w:pPr>
        <w:spacing w:before="0" w:after="120" w:line="324" w:lineRule="auto"/>
      </w:pPr>
      <w:r>
        <w:rPr>
          <w:rFonts w:ascii="Arial" w:hAnsi="Arial"/>
          <w:b/>
          <w:color w:val="002F5F"/>
          <w:sz w:val="22"/>
        </w:rPr>
        <w:t>The recommendation.</w:t>
      </w:r>
      <w:r>
        <w:rPr>
          <w:rFonts w:ascii="Arial" w:hAnsi="Arial"/>
          <w:color w:val="4A5663"/>
          <w:sz w:val="22"/>
        </w:rPr>
        <w:t xml:space="preserve"> A phased </w:t>
      </w:r>
      <w:r>
        <w:rPr>
          <w:rFonts w:ascii="Arial" w:hAnsi="Arial"/>
          <w:b/>
          <w:color w:val="002F5F"/>
          <w:sz w:val="22"/>
        </w:rPr>
        <w:t>€500 M EU-Taxonomy-aligned green / sustainability-linked bond programme, 2027–2030</w:t>
      </w:r>
      <w:r>
        <w:rPr>
          <w:rFonts w:ascii="Arial" w:hAnsi="Arial"/>
          <w:color w:val="4A5663"/>
          <w:sz w:val="22"/>
        </w:rPr>
        <w:t xml:space="preserve">, issued in four tranches aligned to CAPEX drawdown. At a 25 bp coupon spread — the current IG Euro water-utility level for green issuance — the programme delivers </w:t>
      </w:r>
      <w:r>
        <w:rPr>
          <w:rFonts w:ascii="Arial" w:hAnsi="Arial"/>
          <w:b/>
          <w:color w:val="002F5F"/>
          <w:sz w:val="22"/>
        </w:rPr>
        <w:t>€31 M of present-value interest savings over its ten-year life</w:t>
      </w:r>
      <w:r>
        <w:rPr>
          <w:rFonts w:ascii="Arial" w:hAnsi="Arial"/>
          <w:color w:val="4A5663"/>
          <w:sz w:val="22"/>
        </w:rPr>
        <w:t>.</w:t>
      </w:r>
    </w:p>
    <w:p>
      <w:pPr>
        <w:spacing w:before="0" w:after="120" w:line="324" w:lineRule="auto"/>
      </w:pPr>
      <w:r>
        <w:rPr>
          <w:rFonts w:ascii="Arial" w:hAnsi="Arial"/>
          <w:b/>
          <w:color w:val="002F5F"/>
          <w:sz w:val="22"/>
        </w:rPr>
        <w:t>Method, in one sentence.</w:t>
      </w:r>
      <w:r>
        <w:rPr>
          <w:rFonts w:ascii="Arial" w:hAnsi="Arial"/>
          <w:color w:val="4A5663"/>
          <w:sz w:val="22"/>
        </w:rPr>
        <w:t xml:space="preserve"> We preserve Aqualia's 2025 scoring structure (Severity × Probability for impact; Magnitude × Probability for financial) and extend it with (i) explicit 1–5 thresholds cited to ESRS/EFRAG/MSCI/SASB/WRI, (ii) a Mitchell–Agle–Wood stakeholder- salience model applied to Aqualia's own ten-group ecosystem, (iii) a 10,000-draw Monte Carlo producing 90% confidence ellipses with sensitivity tornado and four-scheme robustness, and (iv) an LLM-assisted ESRS disclosure-gap heatmap across 873 chunks of Aqualia's 2022–2025 sustainability reporting.</w:t>
      </w:r>
    </w:p>
    <w:p>
      <w:pPr>
        <w:spacing w:before="0" w:after="120" w:line="324" w:lineRule="auto"/>
      </w:pPr>
      <w:r>
        <w:rPr>
          <w:rFonts w:ascii="Arial" w:hAnsi="Arial"/>
          <w:b/>
          <w:color w:val="002F5F"/>
          <w:sz w:val="22"/>
        </w:rPr>
        <w:t>Bottom line.</w:t>
      </w:r>
      <w:r>
        <w:rPr>
          <w:rFonts w:ascii="Arial" w:hAnsi="Arial"/>
          <w:color w:val="4A5663"/>
          <w:sz w:val="22"/>
        </w:rPr>
        <w:t xml:space="preserve"> Three material topics. Eighteen million euros per year of under-weighted financial materiality. A five-hundred-million- euro green bond programme that funds the answer.</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2. Challenge and Scope</w:t>
      </w:r>
    </w:p>
    <w:p>
      <w:pPr>
        <w:spacing w:before="200" w:after="80" w:line="300" w:lineRule="auto"/>
      </w:pPr>
      <w:r>
        <w:rPr>
          <w:rFonts w:ascii="Arial" w:hAnsi="Arial"/>
          <w:b/>
          <w:color w:val="002F5F"/>
          <w:sz w:val="24"/>
        </w:rPr>
        <w:t>2.1 The CSRD / ESRS mandate</w:t>
      </w:r>
    </w:p>
    <w:p>
      <w:pPr>
        <w:spacing w:before="0" w:after="120" w:line="324" w:lineRule="auto"/>
      </w:pPr>
      <w:r>
        <w:rPr>
          <w:rFonts w:ascii="Arial" w:hAnsi="Arial"/>
          <w:color w:val="4A5663"/>
          <w:sz w:val="22"/>
        </w:rPr>
        <w:t>The Corporate Sustainability Reporting Directive (Directive (EU) 2022/2464) elevates sustainability reporting from a peripheral compliance activity to a bidirectional disclosure regime. Under CSRD, large undertakings must perform a *double materiality assessment*: reporting both how their activities impact society and the environment (impact materiality, "inside-out") and how ESG factors influence their financial performance and enterprise value (financial materiality, "outside-in"). The European Sustainability Reporting Standards (ESRS; Commission Delegated Regulation (EU) 2023/2772) operationalise the Directive across twelve topical standards — E1–E5, S1–S4, G1 — and a cross-cutting set of ~1,144 datapoints documented in EFRAG Implementation Guidance IG 3.</w:t>
      </w:r>
    </w:p>
    <w:p>
      <w:pPr>
        <w:spacing w:before="200" w:after="80" w:line="300" w:lineRule="auto"/>
      </w:pPr>
      <w:r>
        <w:rPr>
          <w:rFonts w:ascii="Arial" w:hAnsi="Arial"/>
          <w:b/>
          <w:color w:val="002F5F"/>
          <w:sz w:val="24"/>
        </w:rPr>
        <w:t>2.2 Aqualia's operating context</w:t>
      </w:r>
    </w:p>
    <w:p>
      <w:pPr>
        <w:spacing w:before="0" w:after="120" w:line="324" w:lineRule="auto"/>
      </w:pPr>
      <w:r>
        <w:rPr>
          <w:rFonts w:ascii="Arial" w:hAnsi="Arial"/>
          <w:color w:val="4A5663"/>
          <w:sz w:val="22"/>
        </w:rPr>
        <w:t>Aqualia is the integrated water-cycle operator of the FCC Group. Its activity spans the end-to-end urban water cycle — collection, treatment, distribution, sewerage, wastewater treatment, and reuse — across Spain, Portugal, Italy, France, Czech Republic, Colombia, and several project-operation markets. Its public disclosures cite 130+ years of track record, service to &gt;32 million people, and €40 M/year of sustained infrastructure investment (</w:t>
      </w:r>
      <w:r>
        <w:rPr>
          <w:rFonts w:ascii="Consolas" w:hAnsi="Consolas"/>
          <w:color w:val="4A5663"/>
          <w:sz w:val="20"/>
        </w:rPr>
        <w:t>Corporate context and sustainability framework_2025_ENG.pdf</w:t>
      </w:r>
      <w:r>
        <w:rPr>
          <w:rFonts w:ascii="Arial" w:hAnsi="Arial"/>
          <w:color w:val="4A5663"/>
          <w:sz w:val="22"/>
        </w:rPr>
        <w:t>).</w:t>
      </w:r>
    </w:p>
    <w:p>
      <w:pPr>
        <w:spacing w:before="200" w:after="80" w:line="300" w:lineRule="auto"/>
      </w:pPr>
      <w:r>
        <w:rPr>
          <w:rFonts w:ascii="Arial" w:hAnsi="Arial"/>
          <w:b/>
          <w:color w:val="002F5F"/>
          <w:sz w:val="24"/>
        </w:rPr>
        <w:t>2.3 Our role</w:t>
      </w:r>
    </w:p>
    <w:p>
      <w:pPr>
        <w:spacing w:before="0" w:after="120" w:line="324" w:lineRule="auto"/>
      </w:pPr>
      <w:r>
        <w:rPr>
          <w:rFonts w:ascii="Arial" w:hAnsi="Arial"/>
          <w:color w:val="4A5663"/>
          <w:sz w:val="22"/>
        </w:rPr>
        <w:t>We operate as an external ESG advisory team. Our deliverable simulates the kind of work Aqualia's executive committee or sustainability board would commission from a consultancy: consolidated topic selection, explicit scoring methodology, an auditable matrix, and an actionable 2027–2030 roadmap.</w:t>
      </w:r>
    </w:p>
    <w:p>
      <w:pPr>
        <w:spacing w:before="200" w:after="80" w:line="300" w:lineRule="auto"/>
      </w:pPr>
      <w:r>
        <w:rPr>
          <w:rFonts w:ascii="Arial" w:hAnsi="Arial"/>
          <w:b/>
          <w:color w:val="002F5F"/>
          <w:sz w:val="24"/>
        </w:rPr>
        <w:t>2.4 Framework boundary</w:t>
      </w:r>
    </w:p>
    <w:p>
      <w:pPr>
        <w:spacing w:before="0" w:after="120" w:line="324" w:lineRule="auto"/>
      </w:pPr>
      <w:r>
        <w:rPr>
          <w:rFonts w:ascii="Arial" w:hAnsi="Arial"/>
          <w:color w:val="4A5663"/>
          <w:sz w:val="22"/>
        </w:rPr>
        <w:t>We take ESRS 1 and ESRS 2 cross-cutting standards plus the ten topical standards (E1–E5, S1–S4, G1) as the universe of candidate topics. Where Aqualia's 2025 review introduces sector-specific "AQ" topics (Technological Innovation, Digitalisation, Green Finance, Cybersecurity), we preserve those extensions. We also overlay three complementary frameworks: TNFD for nature-related financial disclosures (which Aqualia has publicly committed to); SASB Water Utilities &amp; Services as a sector-specific metric source; and the EU Taxonomy Regulation for CAPEX/OPEX alignment criteria. We explicitly exclude sector-adjacent issues without a CSRD-compliant disclosure home (e.g., lobbying expenditure outside G1-5 coverage).</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3. Methodology</w:t>
      </w:r>
    </w:p>
    <w:p>
      <w:pPr>
        <w:spacing w:before="200" w:after="80" w:line="300" w:lineRule="auto"/>
      </w:pPr>
      <w:r>
        <w:rPr>
          <w:rFonts w:ascii="Arial" w:hAnsi="Arial"/>
          <w:b/>
          <w:color w:val="002F5F"/>
          <w:sz w:val="24"/>
        </w:rPr>
        <w:t>3.1 Four-phase blueprint</w:t>
      </w:r>
    </w:p>
    <w:p>
      <w:pPr>
        <w:spacing w:before="0" w:after="120" w:line="324" w:lineRule="auto"/>
      </w:pPr>
      <w:r>
        <w:rPr>
          <w:rFonts w:ascii="Arial" w:hAnsi="Arial"/>
          <w:color w:val="4A5663"/>
          <w:sz w:val="22"/>
        </w:rPr>
        <w:t>The work follows the Workshop 1 ("The Analytical Current") blueprint: Phase 1 Context Analysis (peer benchmark, regulatory scan, internal baseline); Phase 2 Impact Materiality; Phase 3 Financial Materiality; Phase 4 Strategic Synthesis. Each phase produces a documented artefact and is subject to one independent team review before the next begins.</w:t>
      </w:r>
    </w:p>
    <w:p>
      <w:pPr>
        <w:spacing w:before="200" w:after="80" w:line="300" w:lineRule="auto"/>
      </w:pPr>
      <w:r>
        <w:rPr>
          <w:rFonts w:ascii="Arial" w:hAnsi="Arial"/>
          <w:b/>
          <w:color w:val="002F5F"/>
          <w:sz w:val="24"/>
        </w:rPr>
        <w:t>3.2 Scoring formulas — aligned with Aqualia, extended by us</w:t>
      </w:r>
    </w:p>
    <w:p>
      <w:pPr>
        <w:spacing w:before="0" w:after="120" w:line="324" w:lineRule="auto"/>
      </w:pPr>
      <w:r>
        <w:rPr>
          <w:rFonts w:ascii="Arial" w:hAnsi="Arial"/>
          <w:color w:val="4A5663"/>
          <w:sz w:val="22"/>
        </w:rPr>
        <w:t>We preserve the structural formulas Aqualia publishes internally (</w:t>
      </w:r>
      <w:r>
        <w:rPr>
          <w:rFonts w:ascii="Consolas" w:hAnsi="Consolas"/>
          <w:color w:val="4A5663"/>
          <w:sz w:val="20"/>
        </w:rPr>
        <w:t>Methodology Double Materiality Assessment Review.pdf</w:t>
      </w:r>
      <w:r>
        <w:rPr>
          <w:rFonts w:ascii="Arial" w:hAnsi="Arial"/>
          <w:color w:val="4A5663"/>
          <w:sz w:val="22"/>
        </w:rPr>
        <w:t>) so that our output remains directly comparable.</w:t>
      </w:r>
    </w:p>
    <w:p>
      <w:pPr>
        <w:spacing w:before="0" w:after="120" w:line="324" w:lineRule="auto"/>
      </w:pPr>
      <w:r>
        <w:rPr>
          <w:rFonts w:ascii="Arial" w:hAnsi="Arial"/>
          <w:b/>
          <w:color w:val="002F5F"/>
          <w:sz w:val="22"/>
        </w:rPr>
        <w:t>Impact materiality.</w:t>
      </w:r>
      <w:r>
        <w:rPr>
          <w:rFonts w:ascii="Arial" w:hAnsi="Arial"/>
          <w:color w:val="4A5663"/>
          <w:sz w:val="22"/>
        </w:rPr>
        <w:t xml:space="preserve"> Severity = mean(Scale, Scope, Remediability), each rated 1–5 under cited thresholds (§3.3). Current impacts score Severity × 5 (probability pinned at max). Potential impacts score Severity × Probability. Raw scores fall in [1, 25] and are linearly rescaled to [1, 5].</w:t>
      </w:r>
    </w:p>
    <w:p>
      <w:pPr>
        <w:spacing w:before="0" w:after="120" w:line="324" w:lineRule="auto"/>
      </w:pPr>
      <w:r>
        <w:rPr>
          <w:rFonts w:ascii="Arial" w:hAnsi="Arial"/>
          <w:b/>
          <w:color w:val="002F5F"/>
          <w:sz w:val="22"/>
        </w:rPr>
        <w:t>Financial materiality.</w:t>
      </w:r>
      <w:r>
        <w:rPr>
          <w:rFonts w:ascii="Arial" w:hAnsi="Arial"/>
          <w:color w:val="4A5663"/>
          <w:sz w:val="22"/>
        </w:rPr>
        <w:t xml:space="preserve"> Severity = Magnitude × Probability × Horizon Discount. Magnitude is rated 1–5 against EFRAG and FCC-segment revenue thresholds (§3.3). Probability uses the same 1–5 scale as impact. Horizon discount is 1.00 (short, ≤3y), 0.80 (medium, 3–10y), 0.60 (long, &gt;10y) — mirroring EFRAG IG-1 §69 on present-value framing.</w:t>
      </w:r>
    </w:p>
    <w:p>
      <w:pPr>
        <w:spacing w:before="0" w:after="120" w:line="324" w:lineRule="auto"/>
      </w:pPr>
      <w:r>
        <w:rPr>
          <w:rFonts w:ascii="Arial" w:hAnsi="Arial"/>
          <w:b/>
          <w:color w:val="002F5F"/>
          <w:sz w:val="22"/>
        </w:rPr>
        <w:t>Topic aggregation.</w:t>
      </w:r>
      <w:r>
        <w:rPr>
          <w:rFonts w:ascii="Arial" w:hAnsi="Arial"/>
          <w:color w:val="4A5663"/>
          <w:sz w:val="22"/>
        </w:rPr>
        <w:t xml:space="preserve"> Topic-level Impact or Financial score = the mean of the top-k IRO (or R&amp;O) scores where k = max(3, round(N × 0.6)). Top-k aggregation mirrors standard practice of pricing materiality off the most material subset rather than an undifferentiated mean.</w:t>
      </w:r>
    </w:p>
    <w:p>
      <w:pPr>
        <w:spacing w:before="200" w:after="80" w:line="300" w:lineRule="auto"/>
      </w:pPr>
      <w:r>
        <w:rPr>
          <w:rFonts w:ascii="Arial" w:hAnsi="Arial"/>
          <w:b/>
          <w:color w:val="002F5F"/>
          <w:sz w:val="24"/>
        </w:rPr>
        <w:t>3.3 Threshold calibration</w:t>
      </w:r>
    </w:p>
    <w:p>
      <w:pPr>
        <w:spacing w:before="0" w:after="120" w:line="324" w:lineRule="auto"/>
      </w:pPr>
      <w:r>
        <w:rPr>
          <w:rFonts w:ascii="Arial" w:hAnsi="Arial"/>
          <w:color w:val="4A5663"/>
          <w:sz w:val="22"/>
        </w:rPr>
        <w:t xml:space="preserve">Threshold bands for every sub-criterion are documented in </w:t>
      </w:r>
      <w:r>
        <w:rPr>
          <w:rFonts w:ascii="Consolas" w:hAnsi="Consolas"/>
          <w:color w:val="4A5663"/>
          <w:sz w:val="20"/>
        </w:rPr>
        <w:t>03_analysis/scoring_rubric.md</w:t>
      </w:r>
      <w:r>
        <w:rPr>
          <w:rFonts w:ascii="Arial" w:hAnsi="Arial"/>
          <w:color w:val="4A5663"/>
          <w:sz w:val="22"/>
        </w:rPr>
        <w:t xml:space="preserve"> §2–§3 and reproduced in Appendix A. Anchors include ESRS 1 §43–51, EFRAG IG-1, SASB Water Utilities metrics (NRW, pipe replacement, effluent non-compliance), WRI Aqueduct population-exposure bands, and MSCI's 2024 Water Utilities sub-weights.</w:t>
      </w:r>
    </w:p>
    <w:p>
      <w:pPr>
        <w:spacing w:before="0" w:after="120" w:line="324" w:lineRule="auto"/>
      </w:pPr>
      <w:r>
        <w:rPr>
          <w:rFonts w:ascii="Arial" w:hAnsi="Arial"/>
          <w:color w:val="4A5663"/>
          <w:sz w:val="22"/>
        </w:rPr>
        <w:t xml:space="preserve">The Financial Magnitude scale is anchored to an Aqualia revenue proxy of </w:t>
      </w:r>
      <w:r>
        <w:rPr>
          <w:rFonts w:ascii="Arial" w:hAnsi="Arial"/>
          <w:b/>
          <w:color w:val="002F5F"/>
          <w:sz w:val="22"/>
        </w:rPr>
        <w:t>€1.4 B</w:t>
      </w:r>
      <w:r>
        <w:rPr>
          <w:rFonts w:ascii="Arial" w:hAnsi="Arial"/>
          <w:color w:val="4A5663"/>
          <w:sz w:val="22"/>
        </w:rPr>
        <w:t xml:space="preserve"> (Assumption A01), drawn from FCC Group 2024 segment disclosure with the Aqualia water segment at ~28% of group revenue. Band 3 (Moderate) corresponds to 0.5–2% of revenue (€7–28 M) — a material budget line but recoverable from normal operations. Band 5 (Severe) exceeds 5% (€70 M) — enterprise-level impact. Section 7 of </w:t>
      </w:r>
      <w:r>
        <w:rPr>
          <w:rFonts w:ascii="Consolas" w:hAnsi="Consolas"/>
          <w:color w:val="4A5663"/>
          <w:sz w:val="20"/>
        </w:rPr>
        <w:t>financials.md</w:t>
      </w:r>
      <w:r>
        <w:rPr>
          <w:rFonts w:ascii="Arial" w:hAnsi="Arial"/>
          <w:color w:val="4A5663"/>
          <w:sz w:val="22"/>
        </w:rPr>
        <w:t xml:space="preserve"> shows that rank ordering of topics is stable under ±20% revenue anchor shifts.</w:t>
      </w:r>
    </w:p>
    <w:p>
      <w:pPr>
        <w:spacing w:before="200" w:after="80" w:line="300" w:lineRule="auto"/>
      </w:pPr>
      <w:r>
        <w:rPr>
          <w:rFonts w:ascii="Arial" w:hAnsi="Arial"/>
          <w:b/>
          <w:color w:val="002F5F"/>
          <w:sz w:val="24"/>
        </w:rPr>
        <w:t>3.4 Stakeholder salience</w:t>
      </w:r>
    </w:p>
    <w:p>
      <w:pPr>
        <w:spacing w:before="0" w:after="120" w:line="324" w:lineRule="auto"/>
      </w:pPr>
      <w:r>
        <w:rPr>
          <w:rFonts w:ascii="Arial" w:hAnsi="Arial"/>
          <w:color w:val="4A5663"/>
          <w:sz w:val="22"/>
        </w:rPr>
        <w:t xml:space="preserve">Aqualia's 2025 review was scored internally by its Sustainability Department without external stakeholder consultation (their methodology acknowledges this). We restore a salience input by applying the Mitchell–Agle–Wood (1997) model — the canonical framework in stakeholder theory — to Aqualia's own ten-group stakeholder map. Each stakeholder is scored 0/1 on Power, Legitimacy, and Urgency; the salience score (0–3) becomes a normalised weight in [0, 1] summing to 1.000. </w:t>
      </w:r>
      <w:r>
        <w:rPr>
          <w:rFonts w:ascii="Arial" w:hAnsi="Arial"/>
          <w:b/>
          <w:color w:val="002F5F"/>
          <w:sz w:val="22"/>
        </w:rPr>
        <w:t>Exhibit 2</w:t>
      </w:r>
      <w:r>
        <w:rPr>
          <w:rFonts w:ascii="Arial" w:hAnsi="Arial"/>
          <w:color w:val="4A5663"/>
          <w:sz w:val="22"/>
        </w:rPr>
        <w:t xml:space="preserve"> in the appendix reproduces the full scoring table. Public Authorities, Customers, Shareholders, and Employees score Definitive (3/3) under this application; Academy scores Discretionary (1/3).</w:t>
      </w:r>
    </w:p>
    <w:p>
      <w:pPr>
        <w:spacing w:before="200" w:after="80" w:line="300" w:lineRule="auto"/>
      </w:pPr>
      <w:r>
        <w:rPr>
          <w:rFonts w:ascii="Arial" w:hAnsi="Arial"/>
          <w:b/>
          <w:color w:val="002F5F"/>
          <w:sz w:val="24"/>
        </w:rPr>
        <w:t>3.5 Monte Carlo design</w:t>
      </w:r>
    </w:p>
    <w:p>
      <w:pPr>
        <w:spacing w:before="0" w:after="120" w:line="324" w:lineRule="auto"/>
      </w:pPr>
      <w:r>
        <w:rPr>
          <w:rFonts w:ascii="Arial" w:hAnsi="Arial"/>
          <w:color w:val="4A5663"/>
          <w:sz w:val="22"/>
        </w:rPr>
        <w:t xml:space="preserve">Every uncertain input feeds a triangular distribution centred on the base value with perturbation ±0.7 on the 1–5 score scale, clipped to [1, 5]. Stakeholder weights sample from a Dirichlet distribution centred on the salience vector (concentration parameter k = 100). Financial magnitude uses triangular (low, base, high) as specified in the topic financial tables (§6). Ten thousand draws are generated per topic. For each topic, the (Financial, Impact) scatter produces a 2D distribution from which a 90% χ²-containment confidence ellipse is drawn via eigendecomposition of the covariance matrix (containment constant ≈ 2.146 on each axis). The rendered matrix is </w:t>
      </w:r>
      <w:r>
        <w:rPr>
          <w:rFonts w:ascii="Arial" w:hAnsi="Arial"/>
          <w:b/>
          <w:color w:val="002F5F"/>
          <w:sz w:val="22"/>
        </w:rPr>
        <w:t>Exhibit 12</w:t>
      </w:r>
      <w:r>
        <w:rPr>
          <w:rFonts w:ascii="Arial" w:hAnsi="Arial"/>
          <w:color w:val="4A5663"/>
          <w:sz w:val="22"/>
        </w:rPr>
        <w:t>.</w:t>
      </w:r>
    </w:p>
    <w:p>
      <w:pPr>
        <w:spacing w:before="200" w:after="80" w:line="300" w:lineRule="auto"/>
      </w:pPr>
      <w:r>
        <w:rPr>
          <w:rFonts w:ascii="Arial" w:hAnsi="Arial"/>
          <w:b/>
          <w:color w:val="002F5F"/>
          <w:sz w:val="24"/>
        </w:rPr>
        <w:t>3.6 Robustness</w:t>
      </w:r>
    </w:p>
    <w:p>
      <w:pPr>
        <w:spacing w:before="0" w:after="120" w:line="324" w:lineRule="auto"/>
      </w:pPr>
      <w:r>
        <w:rPr>
          <w:rFonts w:ascii="Arial" w:hAnsi="Arial"/>
          <w:color w:val="4A5663"/>
          <w:sz w:val="22"/>
        </w:rPr>
        <w:t xml:space="preserve">The Monte Carlo is repeated under four alternate stakeholder- weighting schemes: Equal (all 11 groups = 1/11), Regulator-heavy (Public Authorities = 0.30), Community-first (Society + Local Communities = 0.30 combined), and Investor-first (Shareholders + Investors = 0.40 combined). Results are reported in </w:t>
      </w:r>
      <w:r>
        <w:rPr>
          <w:rFonts w:ascii="Consolas" w:hAnsi="Consolas"/>
          <w:color w:val="4A5663"/>
          <w:sz w:val="20"/>
        </w:rPr>
        <w:t>mc_robustness.csv</w:t>
      </w:r>
      <w:r>
        <w:rPr>
          <w:rFonts w:ascii="Arial" w:hAnsi="Arial"/>
          <w:color w:val="4A5663"/>
          <w:sz w:val="22"/>
        </w:rPr>
        <w:t xml:space="preserve">; </w:t>
      </w:r>
      <w:r>
        <w:rPr>
          <w:rFonts w:ascii="Arial" w:hAnsi="Arial"/>
          <w:b/>
          <w:color w:val="002F5F"/>
          <w:sz w:val="22"/>
        </w:rPr>
        <w:t>no ranking flip occurs</w:t>
      </w:r>
      <w:r>
        <w:rPr>
          <w:rFonts w:ascii="Arial" w:hAnsi="Arial"/>
          <w:color w:val="4A5663"/>
          <w:sz w:val="22"/>
        </w:rPr>
        <w:t xml:space="preserve"> across schemes — T1 and T2 remain in the Target Zone, T3 remains borderline. This stability constitutes our robustness claim (Exhibit 14).</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4. Topic Identification and Selection</w:t>
      </w:r>
    </w:p>
    <w:p>
      <w:pPr>
        <w:spacing w:before="200" w:after="80" w:line="300" w:lineRule="auto"/>
      </w:pPr>
      <w:r>
        <w:rPr>
          <w:rFonts w:ascii="Arial" w:hAnsi="Arial"/>
          <w:b/>
          <w:color w:val="002F5F"/>
          <w:sz w:val="24"/>
        </w:rPr>
        <w:t>4.1 From 16 topics to 3</w:t>
      </w:r>
    </w:p>
    <w:p>
      <w:pPr>
        <w:spacing w:before="0" w:after="120" w:line="324" w:lineRule="auto"/>
      </w:pPr>
      <w:r>
        <w:rPr>
          <w:rFonts w:ascii="Arial" w:hAnsi="Arial"/>
          <w:color w:val="4A5663"/>
          <w:sz w:val="22"/>
        </w:rPr>
        <w:t xml:space="preserve">Aqualia's 2025 comprehensive Double Materiality Review identified </w:t>
      </w:r>
      <w:r>
        <w:rPr>
          <w:rFonts w:ascii="Arial" w:hAnsi="Arial"/>
          <w:b/>
          <w:color w:val="002F5F"/>
          <w:sz w:val="22"/>
        </w:rPr>
        <w:t>sixteen material topics</w:t>
      </w:r>
      <w:r>
        <w:rPr>
          <w:rFonts w:ascii="Arial" w:hAnsi="Arial"/>
          <w:color w:val="4A5663"/>
          <w:sz w:val="22"/>
        </w:rPr>
        <w:t xml:space="preserve"> across environmental (6), social (5), and governance (5) domains, collectively carrying </w:t>
      </w:r>
      <w:r>
        <w:rPr>
          <w:rFonts w:ascii="Arial" w:hAnsi="Arial"/>
          <w:b/>
          <w:color w:val="002F5F"/>
          <w:sz w:val="22"/>
        </w:rPr>
        <w:t>83 IROs</w:t>
      </w:r>
      <w:r>
        <w:rPr>
          <w:rFonts w:ascii="Arial" w:hAnsi="Arial"/>
          <w:color w:val="4A5663"/>
          <w:sz w:val="22"/>
        </w:rPr>
        <w:t xml:space="preserve"> (impacts, risks, and opportunities). The topics span four environmental ESRS standards (E1, E3, E4, E5) plus sector-specific AQ-tagged topics (Technological Innovation, Digitalisation), three social standards (S1 workforce, S4 customers; note: S2 and S3 are not elevated to stand-alone topics), and one governance standard (G1) split across five sub-topics.</w:t>
      </w:r>
    </w:p>
    <w:p>
      <w:pPr>
        <w:spacing w:before="0" w:after="120" w:line="324" w:lineRule="auto"/>
      </w:pPr>
      <w:r>
        <w:rPr>
          <w:rFonts w:ascii="Arial" w:hAnsi="Arial"/>
          <w:color w:val="4A5663"/>
          <w:sz w:val="22"/>
        </w:rPr>
        <w:t xml:space="preserve">Our task was to select </w:t>
      </w:r>
      <w:r>
        <w:rPr>
          <w:rFonts w:ascii="Arial" w:hAnsi="Arial"/>
          <w:b/>
          <w:color w:val="002F5F"/>
          <w:sz w:val="22"/>
        </w:rPr>
        <w:t>three</w:t>
      </w:r>
      <w:r>
        <w:rPr>
          <w:rFonts w:ascii="Arial" w:hAnsi="Arial"/>
          <w:color w:val="4A5663"/>
          <w:sz w:val="22"/>
        </w:rPr>
        <w:t xml:space="preserve"> topics that (i) reflect peer and regulator consensus on sector-core issues, (ii) surface Aqualia- specific differentiation (blind spots or advantages), and (iii) act as an organising structure for the 2027–2030 strategy. Selection was performed via an analytical funnel: sector-core overlay (5 topics treated as core by all peers); blind-spot overlay (three areas where Aqualia's framing diverges from peers or regulators); differentiator overlay (three areas where Aqualia is demonstrably ahead of peers).</w:t>
      </w:r>
    </w:p>
    <w:p>
      <w:pPr>
        <w:spacing w:before="200" w:after="80" w:line="300" w:lineRule="auto"/>
      </w:pPr>
      <w:r>
        <w:rPr>
          <w:rFonts w:ascii="Arial" w:hAnsi="Arial"/>
          <w:b/>
          <w:color w:val="002F5F"/>
          <w:sz w:val="24"/>
        </w:rPr>
        <w:t>4.2 Peer benchmarking (Exhibit 3)</w:t>
      </w:r>
    </w:p>
    <w:p>
      <w:pPr>
        <w:spacing w:before="0" w:after="120" w:line="324" w:lineRule="auto"/>
      </w:pPr>
      <w:r>
        <w:rPr>
          <w:rFonts w:ascii="Arial" w:hAnsi="Arial"/>
          <w:color w:val="4A5663"/>
          <w:sz w:val="22"/>
        </w:rPr>
        <w:t xml:space="preserve">We constructed a 14-column benchmarking matrix comparing Aqualia's 16 topics to the declared material topics of five peers — Veolia, Suez, Saur, Facsa, Global Omnium (the five named in Aqualia's own 2025 benchmark) — with Severn Trent as a CSRD-adjacent UK comparator. Detail in </w:t>
      </w:r>
      <w:r>
        <w:rPr>
          <w:rFonts w:ascii="Consolas" w:hAnsi="Consolas"/>
          <w:color w:val="4A5663"/>
          <w:sz w:val="20"/>
        </w:rPr>
        <w:t>01_research/peer_benchmark.md</w:t>
      </w:r>
      <w:r>
        <w:rPr>
          <w:rFonts w:ascii="Arial" w:hAnsi="Arial"/>
          <w:color w:val="4A5663"/>
          <w:sz w:val="22"/>
        </w:rPr>
        <w:t>.</w:t>
      </w:r>
    </w:p>
    <w:p>
      <w:pPr>
        <w:spacing w:before="0" w:after="120" w:line="324" w:lineRule="auto"/>
      </w:pPr>
      <w:r>
        <w:rPr>
          <w:rFonts w:ascii="Arial" w:hAnsi="Arial"/>
          <w:b/>
          <w:color w:val="002F5F"/>
          <w:sz w:val="22"/>
        </w:rPr>
        <w:t>Shared sector core (universal across all peers):</w:t>
      </w:r>
      <w:r>
        <w:rPr>
          <w:rFonts w:ascii="Arial" w:hAnsi="Arial"/>
          <w:color w:val="4A5663"/>
          <w:sz w:val="22"/>
        </w:rPr>
        <w:t xml:space="preserve"> climate mitigation and adaptation (E1); water resource sustainability (E3); consumer/ service resilience (S4); business conduct and compliance (G1); own workforce H&amp;S (S1). Any short-list must include at least one of these to avoid the "you missed the obvious" critique.</w:t>
      </w:r>
    </w:p>
    <w:p>
      <w:pPr>
        <w:spacing w:before="0" w:after="120" w:line="324" w:lineRule="auto"/>
      </w:pPr>
      <w:r>
        <w:rPr>
          <w:rFonts w:ascii="Arial" w:hAnsi="Arial"/>
          <w:b/>
          <w:color w:val="002F5F"/>
          <w:sz w:val="22"/>
        </w:rPr>
        <w:t>Three blind spots.</w:t>
      </w:r>
      <w:r>
        <w:rPr>
          <w:rFonts w:ascii="Arial" w:hAnsi="Arial"/>
          <w:color w:val="4A5663"/>
          <w:sz w:val="22"/>
        </w:rPr>
        <w:t xml:space="preserve"> First, </w:t>
      </w:r>
      <w:r>
        <w:rPr>
          <w:rFonts w:ascii="Arial" w:hAnsi="Arial"/>
          <w:b/>
          <w:color w:val="002F5F"/>
          <w:sz w:val="22"/>
        </w:rPr>
        <w:t>digitalisation</w:t>
      </w:r>
      <w:r>
        <w:rPr>
          <w:rFonts w:ascii="Arial" w:hAnsi="Arial"/>
          <w:color w:val="4A5663"/>
          <w:sz w:val="22"/>
        </w:rPr>
        <w:t xml:space="preserve">: Aqualia assigns it two IROs; Veolia (AquaCIS), Suez (Aquadvanced), and Global Omnium (GoAigua) each treat digital platforms as a core strategic pillar; EU Water Resilience Strategy names it Action Area 3 of 5. Second, </w:t>
      </w:r>
      <w:r>
        <w:rPr>
          <w:rFonts w:ascii="Arial" w:hAnsi="Arial"/>
          <w:b/>
          <w:color w:val="002F5F"/>
          <w:sz w:val="22"/>
        </w:rPr>
        <w:t>ESRS S3 affected communities</w:t>
      </w:r>
      <w:r>
        <w:rPr>
          <w:rFonts w:ascii="Arial" w:hAnsi="Arial"/>
          <w:color w:val="4A5663"/>
          <w:sz w:val="22"/>
        </w:rPr>
        <w:t xml:space="preserve">: Aqualia folds community-specific impacts into S4 consumer disclosures; every peer discloses S3 separately; CSRD's ESRS S3 explicitly treats communities as distinct from consumers. Third, </w:t>
      </w:r>
      <w:r>
        <w:rPr>
          <w:rFonts w:ascii="Arial" w:hAnsi="Arial"/>
          <w:b/>
          <w:color w:val="002F5F"/>
          <w:sz w:val="22"/>
        </w:rPr>
        <w:t>E5 circular economy</w:t>
      </w:r>
      <w:r>
        <w:rPr>
          <w:rFonts w:ascii="Arial" w:hAnsi="Arial"/>
          <w:color w:val="4A5663"/>
          <w:sz w:val="22"/>
        </w:rPr>
        <w:t>: Aqualia's E5 topic carries only 3 IROs; Veolia and Suez publish quantitative by-product valorisation pipelines; Directive 2024/3019 and RD 1985/2024 pull E5 to the regulatory foreground.</w:t>
      </w:r>
    </w:p>
    <w:p>
      <w:pPr>
        <w:spacing w:before="0" w:after="120" w:line="324" w:lineRule="auto"/>
      </w:pPr>
      <w:r>
        <w:rPr>
          <w:rFonts w:ascii="Arial" w:hAnsi="Arial"/>
          <w:b/>
          <w:color w:val="002F5F"/>
          <w:sz w:val="22"/>
        </w:rPr>
        <w:t>Three differentiators.</w:t>
      </w:r>
      <w:r>
        <w:rPr>
          <w:rFonts w:ascii="Arial" w:hAnsi="Arial"/>
          <w:color w:val="4A5663"/>
          <w:sz w:val="22"/>
        </w:rPr>
        <w:t xml:space="preserve"> First, green finance as a stand-alone material topic — ahead of peers. Second, explicit integration of the double materiality framework with the Corporate Risk Map, with named Executive Committee owners per risk code (S1, C1–C5, F1–F3, O1–O14). Third, TNFD integration alongside CSRD — an unusual depth among Spanish peers.</w:t>
      </w:r>
    </w:p>
    <w:p>
      <w:pPr>
        <w:spacing w:before="200" w:after="80" w:line="300" w:lineRule="auto"/>
      </w:pPr>
      <w:r>
        <w:rPr>
          <w:rFonts w:ascii="Arial" w:hAnsi="Arial"/>
          <w:b/>
          <w:color w:val="002F5F"/>
          <w:sz w:val="24"/>
        </w:rPr>
        <w:t>4.3 Final short-list (Exhibit 4 — traceability)</w:t>
      </w:r>
    </w:p>
    <w:p>
      <w:pPr>
        <w:spacing w:before="0" w:after="120" w:line="324" w:lineRule="auto"/>
      </w:pPr>
      <w:r>
        <w:rPr>
          <w:rFonts w:ascii="Arial" w:hAnsi="Arial"/>
          <w:color w:val="4A5663"/>
          <w:sz w:val="22"/>
        </w:rPr>
        <w:t>We combine one sector-core pillar with one blind-spot and one differentiator in each topic:</w:t>
      </w:r>
    </w:p>
    <w:p>
      <w:pPr>
        <w:pStyle w:val="ListNumber"/>
        <w:spacing w:before="0" w:after="60" w:line="312" w:lineRule="auto"/>
      </w:pPr>
      <w:r>
        <w:rPr>
          <w:rFonts w:ascii="Arial" w:hAnsi="Arial"/>
          <w:b/>
          <w:color w:val="002F5F"/>
          <w:sz w:val="22"/>
        </w:rPr>
        <w:t>T1 Water Resilience &amp; Equitable Access</w:t>
      </w:r>
      <w:r>
        <w:rPr>
          <w:rFonts w:ascii="Arial" w:hAnsi="Arial"/>
          <w:color w:val="4A5663"/>
          <w:sz w:val="22"/>
        </w:rPr>
        <w:t xml:space="preserve"> (sector-core + S3</w:t>
      </w:r>
    </w:p>
    <w:p>
      <w:pPr>
        <w:spacing w:before="0" w:after="120" w:line="324" w:lineRule="auto"/>
      </w:pPr>
      <w:r>
        <w:rPr>
          <w:rFonts w:ascii="Arial" w:hAnsi="Arial"/>
          <w:color w:val="4A5663"/>
          <w:sz w:val="22"/>
        </w:rPr>
        <w:t xml:space="preserve">restoration). Bundles Aqualia's E1 (9 IROs), E3 (9 IROs), S4 Service Resilience (8 IROs), with S3 restored to surface the Colombia satisfaction finding. Absorbs </w:t>
      </w:r>
      <w:r>
        <w:rPr>
          <w:rFonts w:ascii="Arial" w:hAnsi="Arial"/>
          <w:b/>
          <w:color w:val="002F5F"/>
          <w:sz w:val="22"/>
        </w:rPr>
        <w:t>26+ IROs</w:t>
      </w:r>
      <w:r>
        <w:rPr>
          <w:rFonts w:ascii="Arial" w:hAnsi="Arial"/>
          <w:color w:val="4A5663"/>
          <w:sz w:val="22"/>
        </w:rPr>
        <w:t>.</w:t>
      </w:r>
    </w:p>
    <w:p>
      <w:pPr>
        <w:pStyle w:val="ListNumber"/>
        <w:spacing w:before="0" w:after="60" w:line="312" w:lineRule="auto"/>
      </w:pPr>
      <w:r>
        <w:rPr>
          <w:rFonts w:ascii="Arial" w:hAnsi="Arial"/>
          <w:b/>
          <w:color w:val="002F5F"/>
          <w:sz w:val="22"/>
        </w:rPr>
        <w:t>T2 Digital &amp; Cyber Infrastructure</w:t>
      </w:r>
      <w:r>
        <w:rPr>
          <w:rFonts w:ascii="Arial" w:hAnsi="Arial"/>
          <w:color w:val="4A5663"/>
          <w:sz w:val="22"/>
        </w:rPr>
        <w:t xml:space="preserve"> (blind spot). Bundles</w:t>
      </w:r>
    </w:p>
    <w:p>
      <w:pPr>
        <w:spacing w:before="0" w:after="120" w:line="324" w:lineRule="auto"/>
      </w:pPr>
      <w:r>
        <w:rPr>
          <w:rFonts w:ascii="Arial" w:hAnsi="Arial"/>
          <w:color w:val="4A5663"/>
          <w:sz w:val="22"/>
        </w:rPr>
        <w:t xml:space="preserve">Technological Innovation (5 IROs), Digitalisation (2 IROs), and Cybersecurity (4 IROs). Absorbs </w:t>
      </w:r>
      <w:r>
        <w:rPr>
          <w:rFonts w:ascii="Arial" w:hAnsi="Arial"/>
          <w:b/>
          <w:color w:val="002F5F"/>
          <w:sz w:val="22"/>
        </w:rPr>
        <w:t>11 IROs</w:t>
      </w:r>
      <w:r>
        <w:rPr>
          <w:rFonts w:ascii="Arial" w:hAnsi="Arial"/>
          <w:color w:val="4A5663"/>
          <w:sz w:val="22"/>
        </w:rPr>
        <w:t>. Our Monte Carlo repositions this cluster into the Target Zone.</w:t>
      </w:r>
    </w:p>
    <w:p>
      <w:pPr>
        <w:pStyle w:val="ListNumber"/>
        <w:spacing w:before="0" w:after="60" w:line="312" w:lineRule="auto"/>
      </w:pPr>
      <w:r>
        <w:rPr>
          <w:rFonts w:ascii="Arial" w:hAnsi="Arial"/>
          <w:b/>
          <w:color w:val="002F5F"/>
          <w:sz w:val="22"/>
        </w:rPr>
        <w:t>T3 Green Finance &amp; Integrity</w:t>
      </w:r>
      <w:r>
        <w:rPr>
          <w:rFonts w:ascii="Arial" w:hAnsi="Arial"/>
          <w:color w:val="4A5663"/>
          <w:sz w:val="22"/>
        </w:rPr>
        <w:t xml:space="preserve"> (differentiator amplification).</w:t>
      </w:r>
    </w:p>
    <w:p>
      <w:pPr>
        <w:spacing w:before="0" w:after="120" w:line="324" w:lineRule="auto"/>
      </w:pPr>
      <w:r>
        <w:rPr>
          <w:rFonts w:ascii="Arial" w:hAnsi="Arial"/>
          <w:color w:val="4A5663"/>
          <w:sz w:val="22"/>
        </w:rPr>
        <w:t xml:space="preserve">Bundles the G1 cluster — Compliance Culture (11 IROs), Fight against Corruption (3), Labour Rights &amp; HR in Supply Chain (4) — with Financial Management &amp; Green Finance (6). Absorbs </w:t>
      </w:r>
      <w:r>
        <w:rPr>
          <w:rFonts w:ascii="Arial" w:hAnsi="Arial"/>
          <w:b/>
          <w:color w:val="002F5F"/>
          <w:sz w:val="22"/>
        </w:rPr>
        <w:t>24 IROs</w:t>
      </w:r>
      <w:r>
        <w:rPr>
          <w:rFonts w:ascii="Arial" w:hAnsi="Arial"/>
          <w:color w:val="4A5663"/>
          <w:sz w:val="22"/>
        </w:rPr>
        <w:t>.</w:t>
      </w:r>
    </w:p>
    <w:p>
      <w:pPr>
        <w:spacing w:before="0" w:after="120" w:line="324" w:lineRule="auto"/>
      </w:pPr>
      <w:r>
        <w:rPr>
          <w:rFonts w:ascii="Arial" w:hAnsi="Arial"/>
          <w:b/>
          <w:color w:val="002F5F"/>
          <w:sz w:val="22"/>
        </w:rPr>
        <w:t>Cumulative coverage:</w:t>
      </w:r>
      <w:r>
        <w:rPr>
          <w:rFonts w:ascii="Arial" w:hAnsi="Arial"/>
          <w:color w:val="4A5663"/>
          <w:sz w:val="22"/>
        </w:rPr>
        <w:t xml:space="preserve"> 61 of 83 IROs (</w:t>
      </w:r>
      <w:r>
        <w:rPr>
          <w:rFonts w:ascii="Arial" w:hAnsi="Arial"/>
          <w:b/>
          <w:color w:val="002F5F"/>
          <w:sz w:val="22"/>
        </w:rPr>
        <w:t>73%</w:t>
      </w:r>
      <w:r>
        <w:rPr>
          <w:rFonts w:ascii="Arial" w:hAnsi="Arial"/>
          <w:color w:val="4A5663"/>
          <w:sz w:val="22"/>
        </w:rPr>
        <w:t xml:space="preserve">) in Aqualia's 2025 review are absorbed into our three topics; no high-density topic is orphaned (see </w:t>
      </w:r>
      <w:r>
        <w:rPr>
          <w:rFonts w:ascii="Consolas" w:hAnsi="Consolas"/>
          <w:color w:val="4A5663"/>
          <w:sz w:val="20"/>
        </w:rPr>
        <w:t>short_list_lock.md</w:t>
      </w:r>
      <w:r>
        <w:rPr>
          <w:rFonts w:ascii="Arial" w:hAnsi="Arial"/>
          <w:color w:val="4A5663"/>
          <w:sz w:val="22"/>
        </w:rPr>
        <w:t xml:space="preserve"> §4 for the full rebuttal of the 13 dropped topics, reproduced in Appendix E).</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5. Impact Materiality Assessment</w:t>
      </w:r>
    </w:p>
    <w:p>
      <w:pPr>
        <w:spacing w:before="200" w:after="80" w:line="300" w:lineRule="auto"/>
      </w:pPr>
      <w:r>
        <w:rPr>
          <w:rFonts w:ascii="Arial" w:hAnsi="Arial"/>
          <w:b/>
          <w:color w:val="002F5F"/>
          <w:sz w:val="24"/>
        </w:rPr>
        <w:t>5.1 Value-chain overlay (Exhibit 5)</w:t>
      </w:r>
    </w:p>
    <w:p>
      <w:pPr>
        <w:spacing w:before="0" w:after="120" w:line="324" w:lineRule="auto"/>
      </w:pPr>
      <w:r>
        <w:rPr>
          <w:rFonts w:ascii="Arial" w:hAnsi="Arial"/>
          <w:color w:val="4A5663"/>
          <w:sz w:val="22"/>
        </w:rPr>
        <w:t xml:space="preserve">Impacts are assessed along Aqualia's end-to-end water cycle. </w:t>
      </w:r>
      <w:r>
        <w:rPr>
          <w:rFonts w:ascii="Arial" w:hAnsi="Arial"/>
          <w:b/>
          <w:color w:val="002F5F"/>
          <w:sz w:val="22"/>
        </w:rPr>
        <w:t>Upstream</w:t>
      </w:r>
      <w:r>
        <w:rPr>
          <w:rFonts w:ascii="Arial" w:hAnsi="Arial"/>
          <w:color w:val="4A5663"/>
          <w:sz w:val="22"/>
        </w:rPr>
        <w:t xml:space="preserve"> impacts (supply-chain human rights, equipment extraction footprint, procurement energy) are attributed to T3 and T2. </w:t>
      </w:r>
      <w:r>
        <w:rPr>
          <w:rFonts w:ascii="Arial" w:hAnsi="Arial"/>
          <w:b/>
          <w:color w:val="002F5F"/>
          <w:sz w:val="22"/>
        </w:rPr>
        <w:t>Own-operations</w:t>
      </w:r>
      <w:r>
        <w:rPr>
          <w:rFonts w:ascii="Arial" w:hAnsi="Arial"/>
          <w:color w:val="4A5663"/>
          <w:sz w:val="22"/>
        </w:rPr>
        <w:t xml:space="preserve"> impacts (water abstraction, WWTP emissions, chemical use, workforce safety, digital-service continuity) are dominated by T1 and T2. </w:t>
      </w:r>
      <w:r>
        <w:rPr>
          <w:rFonts w:ascii="Arial" w:hAnsi="Arial"/>
          <w:b/>
          <w:color w:val="002F5F"/>
          <w:sz w:val="22"/>
        </w:rPr>
        <w:t>Downstream</w:t>
      </w:r>
      <w:r>
        <w:rPr>
          <w:rFonts w:ascii="Arial" w:hAnsi="Arial"/>
          <w:color w:val="4A5663"/>
          <w:sz w:val="22"/>
        </w:rPr>
        <w:t xml:space="preserve"> impacts (customer safety, community access to water, biodiversity discharge effects, agricultural reuse) fall primarily within T1 and its restored S3 dimension.</w:t>
      </w:r>
    </w:p>
    <w:p>
      <w:pPr>
        <w:spacing w:before="200" w:after="80" w:line="300" w:lineRule="auto"/>
      </w:pPr>
      <w:r>
        <w:rPr>
          <w:rFonts w:ascii="Arial" w:hAnsi="Arial"/>
          <w:b/>
          <w:color w:val="002F5F"/>
          <w:sz w:val="24"/>
        </w:rPr>
        <w:t>5.2 T1 — Water Resilience &amp; Equitable Access</w:t>
      </w:r>
    </w:p>
    <w:p>
      <w:pPr>
        <w:spacing w:before="0" w:after="120" w:line="324" w:lineRule="auto"/>
      </w:pPr>
      <w:r>
        <w:rPr>
          <w:rFonts w:ascii="Arial" w:hAnsi="Arial"/>
          <w:color w:val="4A5663"/>
          <w:sz w:val="22"/>
        </w:rPr>
        <w:t>Impact materiality for T1 is driven by current, high-severity impacts affecting high-salience stakeholders. Aqualia's own operational risks O1 (deficient supplied-water quality/quantity), O2 (discharge quality impacting ecosystems), O3 (crisis continuity), and O5 (inadequate climate adaptation) are all catalogued HIGH in the Corporate Risk Map. The World Economic Forum's Global Risks 2025–2026 report ranks five of the top ten long-term risks as water-related, and projects global water demand to exceed supply by 40% by 2030.</w:t>
      </w:r>
    </w:p>
    <w:p>
      <w:pPr>
        <w:spacing w:before="0" w:after="120" w:line="324" w:lineRule="auto"/>
      </w:pPr>
      <w:r>
        <w:rPr>
          <w:rFonts w:ascii="Arial" w:hAnsi="Arial"/>
          <w:color w:val="4A5663"/>
          <w:sz w:val="22"/>
        </w:rPr>
        <w:t xml:space="preserve">The restored S3 dimension introduces the Colombia finding: Aqualia's 2024 customer satisfaction survey (n&gt;7,000) reports 88–98% satisfaction across Spain, Czech Republic, France, Portugal, Italy, and institutional/industrial segments, against </w:t>
      </w:r>
      <w:r>
        <w:rPr>
          <w:rFonts w:ascii="Arial" w:hAnsi="Arial"/>
          <w:b/>
          <w:color w:val="002F5F"/>
          <w:sz w:val="22"/>
        </w:rPr>
        <w:t>33% in Colombia</w:t>
      </w:r>
      <w:r>
        <w:rPr>
          <w:rFonts w:ascii="Arial" w:hAnsi="Arial"/>
          <w:color w:val="4A5663"/>
          <w:sz w:val="22"/>
        </w:rPr>
        <w:t xml:space="preserve"> (</w:t>
      </w:r>
      <w:r>
        <w:rPr>
          <w:rFonts w:ascii="Consolas" w:hAnsi="Consolas"/>
          <w:color w:val="4A5663"/>
          <w:sz w:val="20"/>
        </w:rPr>
        <w:t>Corporate context… 2025_ENG.pdf</w:t>
      </w:r>
      <w:r>
        <w:rPr>
          <w:rFonts w:ascii="Arial" w:hAnsi="Arial"/>
          <w:color w:val="4A5663"/>
          <w:sz w:val="22"/>
        </w:rPr>
        <w:t xml:space="preserve">, p. 15). The 55-point spread signals an S3 affected-communities issue that the current S4-only framing obscures. Monte Carlo mean Impact Severity: </w:t>
      </w:r>
      <w:r>
        <w:rPr>
          <w:rFonts w:ascii="Arial" w:hAnsi="Arial"/>
          <w:b/>
          <w:color w:val="002F5F"/>
          <w:sz w:val="22"/>
        </w:rPr>
        <w:t>3.98</w:t>
      </w:r>
      <w:r>
        <w:rPr>
          <w:rFonts w:ascii="Arial" w:hAnsi="Arial"/>
          <w:color w:val="4A5663"/>
          <w:sz w:val="22"/>
        </w:rPr>
        <w:t>, 90% interval [3.87, 4.09].</w:t>
      </w:r>
    </w:p>
    <w:p>
      <w:pPr>
        <w:spacing w:before="200" w:after="80" w:line="300" w:lineRule="auto"/>
      </w:pPr>
      <w:r>
        <w:rPr>
          <w:rFonts w:ascii="Arial" w:hAnsi="Arial"/>
          <w:b/>
          <w:color w:val="002F5F"/>
          <w:sz w:val="24"/>
        </w:rPr>
        <w:t>5.3 T2 — Digital &amp; Cyber Infrastructure</w:t>
      </w:r>
    </w:p>
    <w:p>
      <w:pPr>
        <w:spacing w:before="0" w:after="120" w:line="324" w:lineRule="auto"/>
      </w:pPr>
      <w:r>
        <w:rPr>
          <w:rFonts w:ascii="Arial" w:hAnsi="Arial"/>
          <w:color w:val="4A5663"/>
          <w:sz w:val="22"/>
        </w:rPr>
        <w:t xml:space="preserve">Impact materiality for T2 is driven by three operational risks Aqualia itself rates HIGH — O8 (poor digital deployment), O9 (deficient cyber response plan), and O10 (customer-data management) — despite the topic carrying only two IROs in the 2025 matrix. The stakeholder-salience weighting amplifies: customers (0.120), public authorities (0.120), employees (0.120), and investors (0.080) are all materially affected. Peer comparators demonstrate that digital capability has direct impact materiality on service continuity and data privacy: the Thames Water 2023 cyber-incident disclosure and the Severn Trent 2024 OT/IT exposure update both quantify service-continuity impacts on millions of users. Monte Carlo mean Impact Severity: </w:t>
      </w:r>
      <w:r>
        <w:rPr>
          <w:rFonts w:ascii="Arial" w:hAnsi="Arial"/>
          <w:b/>
          <w:color w:val="002F5F"/>
          <w:sz w:val="22"/>
        </w:rPr>
        <w:t>3.08</w:t>
      </w:r>
      <w:r>
        <w:rPr>
          <w:rFonts w:ascii="Arial" w:hAnsi="Arial"/>
          <w:color w:val="4A5663"/>
          <w:sz w:val="22"/>
        </w:rPr>
        <w:t>, 90% interval [2.93, 3.24].</w:t>
      </w:r>
    </w:p>
    <w:p>
      <w:pPr>
        <w:spacing w:before="200" w:after="80" w:line="300" w:lineRule="auto"/>
      </w:pPr>
      <w:r>
        <w:rPr>
          <w:rFonts w:ascii="Arial" w:hAnsi="Arial"/>
          <w:b/>
          <w:color w:val="002F5F"/>
          <w:sz w:val="24"/>
        </w:rPr>
        <w:t>5.4 T3 — Green Finance &amp; Integrity</w:t>
      </w:r>
    </w:p>
    <w:p>
      <w:pPr>
        <w:spacing w:before="0" w:after="120" w:line="324" w:lineRule="auto"/>
      </w:pPr>
      <w:r>
        <w:rPr>
          <w:rFonts w:ascii="Arial" w:hAnsi="Arial"/>
          <w:color w:val="4A5663"/>
          <w:sz w:val="22"/>
        </w:rPr>
        <w:t xml:space="preserve">Impact materiality for T3 is governance-heavy. The Compliance cluster (11 IROs) covers CSRD reporting obligations, contract compliance with Public Administrations and private principals, Corporate Compliance Management System alignment, and tax compliance — each with a named owner in Aqualia's Risk List. Labour rights and human rights in the supply chain (4 IROs) introduce workforce impacts upstream. Green finance as a stand-alone topic (6 IROs) creates a positive-impact channel via capital-markets signalling to investors and rating agencies. Monte Carlo mean Impact Severity: </w:t>
      </w:r>
      <w:r>
        <w:rPr>
          <w:rFonts w:ascii="Arial" w:hAnsi="Arial"/>
          <w:b/>
          <w:color w:val="002F5F"/>
          <w:sz w:val="22"/>
        </w:rPr>
        <w:t>3.24</w:t>
      </w:r>
      <w:r>
        <w:rPr>
          <w:rFonts w:ascii="Arial" w:hAnsi="Arial"/>
          <w:color w:val="4A5663"/>
          <w:sz w:val="22"/>
        </w:rPr>
        <w:t>, 90% interval [3.08, 3.41].</w:t>
      </w:r>
    </w:p>
    <w:p>
      <w:pPr>
        <w:spacing w:before="200" w:after="80" w:line="300" w:lineRule="auto"/>
      </w:pPr>
      <w:r>
        <w:rPr>
          <w:rFonts w:ascii="Arial" w:hAnsi="Arial"/>
          <w:b/>
          <w:color w:val="002F5F"/>
          <w:sz w:val="24"/>
        </w:rPr>
        <w:t>5.5 The Colombia outlier (Exhibit 7)</w:t>
      </w:r>
    </w:p>
    <w:p>
      <w:pPr>
        <w:spacing w:before="0" w:after="120" w:line="324" w:lineRule="auto"/>
      </w:pPr>
      <w:r>
        <w:rPr>
          <w:rFonts w:ascii="Arial" w:hAnsi="Arial"/>
          <w:color w:val="4A5663"/>
          <w:sz w:val="22"/>
        </w:rPr>
        <w:t>We highlight this as a standalone finding. The spread between Colombia (33%) and the next-lowest market (Portugal, 65%) is 32 points; the spread to Italy (67%) is 34 points; to Spain (88%) is 55 points. Aqualia's 2025 review does not discuss Colombia specifically in the S4 topic; the framing treats satisfaction as a group-level customer- experience measure. Under ESRS S3 — which specifically concerns "affected communities" rather than end-users — a 33% satisfaction market with ongoing supply reliability issues (documented in the 2024 report, pp. 148–155) represents material impact on affected communities. Our recommendation is to re-surface S3 as its own disclosure rather than as a subset of S4 (see §8 roadmap T1-2027).</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6. Financial Materiality Assessment</w:t>
      </w:r>
    </w:p>
    <w:p>
      <w:pPr>
        <w:spacing w:before="200" w:after="80" w:line="300" w:lineRule="auto"/>
      </w:pPr>
      <w:r>
        <w:rPr>
          <w:rFonts w:ascii="Arial" w:hAnsi="Arial"/>
          <w:b/>
          <w:color w:val="002F5F"/>
          <w:sz w:val="24"/>
        </w:rPr>
        <w:t>6.1 Per-topic financial decomposition</w:t>
      </w:r>
    </w:p>
    <w:p>
      <w:pPr>
        <w:spacing w:before="0" w:after="120" w:line="324" w:lineRule="auto"/>
      </w:pPr>
      <w:r>
        <w:rPr>
          <w:rFonts w:ascii="Arial" w:hAnsi="Arial"/>
          <w:color w:val="4A5663"/>
          <w:sz w:val="22"/>
        </w:rPr>
        <w:t xml:space="preserve">Each topic decomposes into five financial channels: revenue at risk, revenue upside, OPEX impact, CAPEX needs, and contingent liabilities. For each channel we estimate a triangular distribution (low / base / high) anchored to Aqualia's public financial scale, peer disclosures, and regulatory cost factors. Full assumption log A01–A17 is in Appendix B; detail at </w:t>
      </w:r>
      <w:r>
        <w:rPr>
          <w:rFonts w:ascii="Consolas" w:hAnsi="Consolas"/>
          <w:color w:val="4A5663"/>
          <w:sz w:val="20"/>
        </w:rPr>
        <w:t>financials.md</w:t>
      </w:r>
      <w:r>
        <w:rPr>
          <w:rFonts w:ascii="Arial" w:hAnsi="Arial"/>
          <w:color w:val="4A5663"/>
          <w:sz w:val="22"/>
        </w:rPr>
        <w:t>.</w:t>
      </w:r>
    </w:p>
    <w:p>
      <w:pPr>
        <w:spacing w:before="0" w:after="120" w:line="324" w:lineRule="auto"/>
      </w:pPr>
      <w:r>
        <w:rPr>
          <w:rFonts w:ascii="Arial" w:hAnsi="Arial"/>
          <w:b/>
          <w:color w:val="002F5F"/>
          <w:sz w:val="22"/>
        </w:rPr>
        <w:t>T1 (€ per year where applicable; € cumulative where CAPEX):</w:t>
      </w:r>
      <w:r>
        <w:rPr>
          <w:rFonts w:ascii="Arial" w:hAnsi="Arial"/>
          <w:color w:val="4A5663"/>
          <w:sz w:val="22"/>
        </w:rPr>
        <w:t xml:space="preserve"> Revenue at risk </w:t>
      </w:r>
      <w:r>
        <w:rPr>
          <w:rFonts w:ascii="Arial" w:hAnsi="Arial"/>
          <w:b/>
          <w:color w:val="002F5F"/>
          <w:sz w:val="22"/>
        </w:rPr>
        <w:t>€25–110 M</w:t>
      </w:r>
      <w:r>
        <w:rPr>
          <w:rFonts w:ascii="Arial" w:hAnsi="Arial"/>
          <w:color w:val="4A5663"/>
          <w:sz w:val="22"/>
        </w:rPr>
        <w:t xml:space="preserve"> from concession loss and tariff pressure in water-stressed basins (A03); revenue upside </w:t>
      </w:r>
      <w:r>
        <w:rPr>
          <w:rFonts w:ascii="Arial" w:hAnsi="Arial"/>
          <w:b/>
          <w:color w:val="002F5F"/>
          <w:sz w:val="22"/>
        </w:rPr>
        <w:t>€15–75 M</w:t>
      </w:r>
      <w:r>
        <w:rPr>
          <w:rFonts w:ascii="Arial" w:hAnsi="Arial"/>
          <w:color w:val="4A5663"/>
          <w:sz w:val="22"/>
        </w:rPr>
        <w:t xml:space="preserve"> from the reuse market under RD 1985/2024 and nature credits (A04); OPEX impact </w:t>
      </w:r>
      <w:r>
        <w:rPr>
          <w:rFonts w:ascii="Arial" w:hAnsi="Arial"/>
          <w:b/>
          <w:color w:val="002F5F"/>
          <w:sz w:val="22"/>
        </w:rPr>
        <w:t>€8–32 M/yr</w:t>
      </w:r>
      <w:r>
        <w:rPr>
          <w:rFonts w:ascii="Arial" w:hAnsi="Arial"/>
          <w:color w:val="4A5663"/>
          <w:sz w:val="22"/>
        </w:rPr>
        <w:t xml:space="preserve"> under UWWTD recast and chemical cost inflation (A05); CAPEX needs </w:t>
      </w:r>
      <w:r>
        <w:rPr>
          <w:rFonts w:ascii="Arial" w:hAnsi="Arial"/>
          <w:b/>
          <w:color w:val="002F5F"/>
          <w:sz w:val="22"/>
        </w:rPr>
        <w:t>€220–520 M cumulative 2027–2030</w:t>
      </w:r>
      <w:r>
        <w:rPr>
          <w:rFonts w:ascii="Arial" w:hAnsi="Arial"/>
          <w:color w:val="4A5663"/>
          <w:sz w:val="22"/>
        </w:rPr>
        <w:t xml:space="preserve"> across desalination, reuse, leak reduction, and WWTP energy-neutrality (A06); contingent liabilities </w:t>
      </w:r>
      <w:r>
        <w:rPr>
          <w:rFonts w:ascii="Arial" w:hAnsi="Arial"/>
          <w:b/>
          <w:color w:val="002F5F"/>
          <w:sz w:val="22"/>
        </w:rPr>
        <w:t>€10–65 M</w:t>
      </w:r>
      <w:r>
        <w:rPr>
          <w:rFonts w:ascii="Arial" w:hAnsi="Arial"/>
          <w:color w:val="4A5663"/>
          <w:sz w:val="22"/>
        </w:rPr>
        <w:t xml:space="preserve"> from WFD and service-continuity fines (A07).</w:t>
      </w:r>
    </w:p>
    <w:p>
      <w:pPr>
        <w:spacing w:before="0" w:after="120" w:line="324" w:lineRule="auto"/>
      </w:pPr>
      <w:r>
        <w:rPr>
          <w:rFonts w:ascii="Arial" w:hAnsi="Arial"/>
          <w:b/>
          <w:color w:val="002F5F"/>
          <w:sz w:val="22"/>
        </w:rPr>
        <w:t>T2:</w:t>
      </w:r>
      <w:r>
        <w:rPr>
          <w:rFonts w:ascii="Arial" w:hAnsi="Arial"/>
          <w:color w:val="4A5663"/>
          <w:sz w:val="22"/>
        </w:rPr>
        <w:t xml:space="preserve"> Revenue at risk </w:t>
      </w:r>
      <w:r>
        <w:rPr>
          <w:rFonts w:ascii="Arial" w:hAnsi="Arial"/>
          <w:b/>
          <w:color w:val="002F5F"/>
          <w:sz w:val="22"/>
        </w:rPr>
        <w:t>€12–80 M</w:t>
      </w:r>
      <w:r>
        <w:rPr>
          <w:rFonts w:ascii="Arial" w:hAnsi="Arial"/>
          <w:color w:val="4A5663"/>
          <w:sz w:val="22"/>
        </w:rPr>
        <w:t xml:space="preserve"> from cyber-incident service interruption and GDPR/NIS2 fines (A08); revenue upside </w:t>
      </w:r>
      <w:r>
        <w:rPr>
          <w:rFonts w:ascii="Arial" w:hAnsi="Arial"/>
          <w:b/>
          <w:color w:val="002F5F"/>
          <w:sz w:val="22"/>
        </w:rPr>
        <w:t>€8–45 M</w:t>
      </w:r>
      <w:r>
        <w:rPr>
          <w:rFonts w:ascii="Arial" w:hAnsi="Arial"/>
          <w:color w:val="4A5663"/>
          <w:sz w:val="22"/>
        </w:rPr>
        <w:t xml:space="preserve"> from tender win-rate uplift on digital differentiation (A09); OPEX impact </w:t>
      </w:r>
      <w:r>
        <w:rPr>
          <w:rFonts w:ascii="Arial" w:hAnsi="Arial"/>
          <w:b/>
          <w:color w:val="002F5F"/>
          <w:sz w:val="22"/>
        </w:rPr>
        <w:t>€4–14 M/yr</w:t>
      </w:r>
      <w:r>
        <w:rPr>
          <w:rFonts w:ascii="Arial" w:hAnsi="Arial"/>
          <w:color w:val="4A5663"/>
          <w:sz w:val="22"/>
        </w:rPr>
        <w:t xml:space="preserve"> on cyber and IT above baseline (A10); CAPEX </w:t>
      </w:r>
      <w:r>
        <w:rPr>
          <w:rFonts w:ascii="Arial" w:hAnsi="Arial"/>
          <w:b/>
          <w:color w:val="002F5F"/>
          <w:sz w:val="22"/>
        </w:rPr>
        <w:t>€45–130 M cumulative</w:t>
      </w:r>
      <w:r>
        <w:rPr>
          <w:rFonts w:ascii="Arial" w:hAnsi="Arial"/>
          <w:color w:val="4A5663"/>
          <w:sz w:val="22"/>
        </w:rPr>
        <w:t xml:space="preserve"> on digital-twin rollout and OT/IT segmentation (A11); contingent liabilities </w:t>
      </w:r>
      <w:r>
        <w:rPr>
          <w:rFonts w:ascii="Arial" w:hAnsi="Arial"/>
          <w:b/>
          <w:color w:val="002F5F"/>
          <w:sz w:val="22"/>
        </w:rPr>
        <w:t>€5–56 M</w:t>
      </w:r>
      <w:r>
        <w:rPr>
          <w:rFonts w:ascii="Arial" w:hAnsi="Arial"/>
          <w:color w:val="4A5663"/>
          <w:sz w:val="22"/>
        </w:rPr>
        <w:t xml:space="preserve"> from NIS2 and GDPR maximum fines (A12).</w:t>
      </w:r>
    </w:p>
    <w:p>
      <w:pPr>
        <w:spacing w:before="0" w:after="120" w:line="324" w:lineRule="auto"/>
      </w:pPr>
      <w:r>
        <w:rPr>
          <w:rFonts w:ascii="Arial" w:hAnsi="Arial"/>
          <w:b/>
          <w:color w:val="002F5F"/>
          <w:sz w:val="22"/>
        </w:rPr>
        <w:t>T3:</w:t>
      </w:r>
      <w:r>
        <w:rPr>
          <w:rFonts w:ascii="Arial" w:hAnsi="Arial"/>
          <w:color w:val="4A5663"/>
          <w:sz w:val="22"/>
        </w:rPr>
        <w:t xml:space="preserve"> Revenue at risk </w:t>
      </w:r>
      <w:r>
        <w:rPr>
          <w:rFonts w:ascii="Arial" w:hAnsi="Arial"/>
          <w:b/>
          <w:color w:val="002F5F"/>
          <w:sz w:val="22"/>
        </w:rPr>
        <w:t>€8–50 M</w:t>
      </w:r>
      <w:r>
        <w:rPr>
          <w:rFonts w:ascii="Arial" w:hAnsi="Arial"/>
          <w:color w:val="4A5663"/>
          <w:sz w:val="22"/>
        </w:rPr>
        <w:t xml:space="preserve"> from ESG-laggard cost-of-capital spread and financing-window loss (A13); revenue upside </w:t>
      </w:r>
      <w:r>
        <w:rPr>
          <w:rFonts w:ascii="Arial" w:hAnsi="Arial"/>
          <w:b/>
          <w:color w:val="002F5F"/>
          <w:sz w:val="22"/>
        </w:rPr>
        <w:t>€6–28 M</w:t>
      </w:r>
      <w:r>
        <w:rPr>
          <w:rFonts w:ascii="Arial" w:hAnsi="Arial"/>
          <w:color w:val="4A5663"/>
          <w:sz w:val="22"/>
        </w:rPr>
        <w:t xml:space="preserve"> from green-bond coupon savings (A14); cost-of-capital saving </w:t>
      </w:r>
      <w:r>
        <w:rPr>
          <w:rFonts w:ascii="Arial" w:hAnsi="Arial"/>
          <w:b/>
          <w:color w:val="002F5F"/>
          <w:sz w:val="22"/>
        </w:rPr>
        <w:t>€4–24 M/yr</w:t>
      </w:r>
      <w:r>
        <w:rPr>
          <w:rFonts w:ascii="Arial" w:hAnsi="Arial"/>
          <w:color w:val="4A5663"/>
          <w:sz w:val="22"/>
        </w:rPr>
        <w:t xml:space="preserve"> over the refinancing cycle (A15); CAPEX </w:t>
      </w:r>
      <w:r>
        <w:rPr>
          <w:rFonts w:ascii="Arial" w:hAnsi="Arial"/>
          <w:b/>
          <w:color w:val="002F5F"/>
          <w:sz w:val="22"/>
        </w:rPr>
        <w:t>€8–35 M cumulative</w:t>
      </w:r>
      <w:r>
        <w:rPr>
          <w:rFonts w:ascii="Arial" w:hAnsi="Arial"/>
          <w:color w:val="4A5663"/>
          <w:sz w:val="22"/>
        </w:rPr>
        <w:t xml:space="preserve"> on compliance systems (A16); contingent liabilities </w:t>
      </w:r>
      <w:r>
        <w:rPr>
          <w:rFonts w:ascii="Arial" w:hAnsi="Arial"/>
          <w:b/>
          <w:color w:val="002F5F"/>
          <w:sz w:val="22"/>
        </w:rPr>
        <w:t>€3–35 M</w:t>
      </w:r>
      <w:r>
        <w:rPr>
          <w:rFonts w:ascii="Arial" w:hAnsi="Arial"/>
          <w:color w:val="4A5663"/>
          <w:sz w:val="22"/>
        </w:rPr>
        <w:t xml:space="preserve"> from CSDDD civil-liability and Omnibus-I interactions (A17).</w:t>
      </w:r>
    </w:p>
    <w:p>
      <w:pPr>
        <w:spacing w:before="200" w:after="80" w:line="300" w:lineRule="auto"/>
      </w:pPr>
      <w:r>
        <w:rPr>
          <w:rFonts w:ascii="Arial" w:hAnsi="Arial"/>
          <w:b/>
          <w:color w:val="002F5F"/>
          <w:sz w:val="24"/>
        </w:rPr>
        <w:t>6.2 Matrix-position financial scores</w:t>
      </w:r>
    </w:p>
    <w:p>
      <w:pPr>
        <w:spacing w:before="0" w:after="120" w:line="324" w:lineRule="auto"/>
      </w:pPr>
      <w:r>
        <w:rPr>
          <w:rFonts w:ascii="Arial" w:hAnsi="Arial"/>
          <w:color w:val="4A5663"/>
          <w:sz w:val="22"/>
        </w:rPr>
        <w:t xml:space="preserve">Monte Carlo propagation of the triangular ranges through the scoring rubric yields financial severity scores of </w:t>
      </w:r>
      <w:r>
        <w:rPr>
          <w:rFonts w:ascii="Arial" w:hAnsi="Arial"/>
          <w:b/>
          <w:color w:val="002F5F"/>
          <w:sz w:val="22"/>
        </w:rPr>
        <w:t>3.07</w:t>
      </w:r>
      <w:r>
        <w:rPr>
          <w:rFonts w:ascii="Arial" w:hAnsi="Arial"/>
          <w:color w:val="4A5663"/>
          <w:sz w:val="22"/>
        </w:rPr>
        <w:t xml:space="preserve"> (T1), </w:t>
      </w:r>
      <w:r>
        <w:rPr>
          <w:rFonts w:ascii="Arial" w:hAnsi="Arial"/>
          <w:b/>
          <w:color w:val="002F5F"/>
          <w:sz w:val="22"/>
        </w:rPr>
        <w:t>2.75</w:t>
      </w:r>
      <w:r>
        <w:rPr>
          <w:rFonts w:ascii="Arial" w:hAnsi="Arial"/>
          <w:color w:val="4A5663"/>
          <w:sz w:val="22"/>
        </w:rPr>
        <w:t xml:space="preserve"> (T2), and </w:t>
      </w:r>
      <w:r>
        <w:rPr>
          <w:rFonts w:ascii="Arial" w:hAnsi="Arial"/>
          <w:b/>
          <w:color w:val="002F5F"/>
          <w:sz w:val="22"/>
        </w:rPr>
        <w:t>2.42</w:t>
      </w:r>
      <w:r>
        <w:rPr>
          <w:rFonts w:ascii="Arial" w:hAnsi="Arial"/>
          <w:color w:val="4A5663"/>
          <w:sz w:val="22"/>
        </w:rPr>
        <w:t xml:space="preserve"> (T3) — the x-coordinates of the matrix centroids in Exhibit 12.</w:t>
      </w:r>
    </w:p>
    <w:p>
      <w:pPr>
        <w:spacing w:before="200" w:after="80" w:line="300" w:lineRule="auto"/>
      </w:pPr>
      <w:r>
        <w:rPr>
          <w:rFonts w:ascii="Arial" w:hAnsi="Arial"/>
          <w:b/>
          <w:color w:val="002F5F"/>
          <w:sz w:val="24"/>
        </w:rPr>
        <w:t>6.3 Aqueduct water-stress overlay (Exhibit 9)</w:t>
      </w:r>
    </w:p>
    <w:p>
      <w:pPr>
        <w:spacing w:before="0" w:after="120" w:line="324" w:lineRule="auto"/>
      </w:pPr>
      <w:r>
        <w:rPr>
          <w:rFonts w:ascii="Arial" w:hAnsi="Arial"/>
          <w:color w:val="4A5663"/>
          <w:sz w:val="22"/>
        </w:rPr>
        <w:t>The T1 financial case depends critically on the geographic exposure of Aqualia's concession base to water stress. Using WRI Aqueduct 4.0 baseline water-stress categories overlaid on Aqualia's declared service geography (</w:t>
      </w:r>
      <w:r>
        <w:rPr>
          <w:rFonts w:ascii="Consolas" w:hAnsi="Consolas"/>
          <w:color w:val="4A5663"/>
          <w:sz w:val="20"/>
        </w:rPr>
        <w:t>water_stress.md</w:t>
      </w:r>
      <w:r>
        <w:rPr>
          <w:rFonts w:ascii="Arial" w:hAnsi="Arial"/>
          <w:color w:val="4A5663"/>
          <w:sz w:val="22"/>
        </w:rPr>
        <w:t xml:space="preserve"> §2), we estimate that </w:t>
      </w:r>
      <w:r>
        <w:rPr>
          <w:rFonts w:ascii="Arial" w:hAnsi="Arial"/>
          <w:b/>
          <w:color w:val="002F5F"/>
          <w:sz w:val="22"/>
        </w:rPr>
        <w:t>45% of Aqualia's revenue base operates in basins classified High or Extremely High water stress</w:t>
      </w:r>
      <w:r>
        <w:rPr>
          <w:rFonts w:ascii="Arial" w:hAnsi="Arial"/>
          <w:color w:val="4A5663"/>
          <w:sz w:val="22"/>
        </w:rPr>
        <w:t xml:space="preserve"> today (Segura, Guadalquivir, Po, Sicily, Algarve, Languedoc). Under a BAU-2030 climate scenario (SSP3/RCP 7.0), that share </w:t>
      </w:r>
      <w:r>
        <w:rPr>
          <w:rFonts w:ascii="Arial" w:hAnsi="Arial"/>
          <w:b/>
          <w:color w:val="002F5F"/>
          <w:sz w:val="22"/>
        </w:rPr>
        <w:t>nearly doubles to 79%</w:t>
      </w:r>
      <w:r>
        <w:rPr>
          <w:rFonts w:ascii="Arial" w:hAnsi="Arial"/>
          <w:color w:val="4A5663"/>
          <w:sz w:val="22"/>
        </w:rPr>
        <w:t>. This is the principal driver of assumption A03 and the main sensitivity lever in Exhibit 13.</w:t>
      </w:r>
    </w:p>
    <w:p>
      <w:pPr>
        <w:spacing w:before="200" w:after="80" w:line="300" w:lineRule="auto"/>
      </w:pPr>
      <w:r>
        <w:rPr>
          <w:rFonts w:ascii="Arial" w:hAnsi="Arial"/>
          <w:b/>
          <w:color w:val="002F5F"/>
          <w:sz w:val="24"/>
        </w:rPr>
        <w:t>6.4 Real Options — desalination versus water reuse (Exhibit 10)</w:t>
      </w:r>
    </w:p>
    <w:p>
      <w:pPr>
        <w:spacing w:before="0" w:after="120" w:line="324" w:lineRule="auto"/>
      </w:pPr>
      <w:r>
        <w:rPr>
          <w:rFonts w:ascii="Arial" w:hAnsi="Arial"/>
          <w:color w:val="4A5663"/>
          <w:sz w:val="22"/>
        </w:rPr>
        <w:t>Within T1's CAPEX envelope, the largest single capital-allocation decision is desalination capacity expansion versus water-reuse infrastructure. Under indicative parameters (desalination PV €145 M, σ 28%; water-reuse PV €135 M, σ 38%; three-year deferral window; 3% risk-free rate), a Black–Scholes-style real-options calculation shows: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val="clear" w:color="auto" w:fill="d6cdb7"/>
          </w:tcPr>
          <w:p>
            <w:pPr>
              <w:spacing w:before="0" w:after="0" w:line="300" w:lineRule="auto"/>
            </w:pPr>
            <w:r>
              <w:rPr>
                <w:rFonts w:ascii="Arial" w:hAnsi="Arial"/>
                <w:b/>
                <w:color w:val="002F5F"/>
                <w:sz w:val="20"/>
              </w:rPr>
              <w:t>Option</w:t>
            </w:r>
          </w:p>
        </w:tc>
        <w:tc>
          <w:tcPr>
            <w:tcW w:type="dxa" w:w="2340"/>
            <w:tcMar>
              <w:top w:w="80" w:type="dxa"/>
              <w:bottom w:w="80" w:type="dxa"/>
              <w:left w:w="120" w:type="dxa"/>
              <w:right w:w="120" w:type="dxa"/>
            </w:tcMar>
            <w:shd w:val="clear" w:color="auto" w:fill="d6cdb7"/>
          </w:tcPr>
          <w:p>
            <w:pPr>
              <w:spacing w:before="0" w:after="0" w:line="300" w:lineRule="auto"/>
            </w:pPr>
            <w:r>
              <w:rPr>
                <w:rFonts w:ascii="Arial" w:hAnsi="Arial"/>
                <w:b/>
                <w:color w:val="002F5F"/>
                <w:sz w:val="20"/>
              </w:rPr>
              <w:t>Immediate NPV</w:t>
            </w:r>
          </w:p>
        </w:tc>
        <w:tc>
          <w:tcPr>
            <w:tcW w:type="dxa" w:w="2340"/>
            <w:tcMar>
              <w:top w:w="80" w:type="dxa"/>
              <w:bottom w:w="80" w:type="dxa"/>
              <w:left w:w="120" w:type="dxa"/>
              <w:right w:w="120" w:type="dxa"/>
            </w:tcMar>
            <w:shd w:val="clear" w:color="auto" w:fill="d6cdb7"/>
          </w:tcPr>
          <w:p>
            <w:pPr>
              <w:spacing w:before="0" w:after="0" w:line="300" w:lineRule="auto"/>
            </w:pPr>
            <w:r>
              <w:rPr>
                <w:rFonts w:ascii="Arial" w:hAnsi="Arial"/>
                <w:b/>
                <w:color w:val="002F5F"/>
                <w:sz w:val="20"/>
              </w:rPr>
              <w:t>Deferral option value</w:t>
            </w:r>
          </w:p>
        </w:tc>
        <w:tc>
          <w:tcPr>
            <w:tcW w:type="dxa" w:w="2340"/>
            <w:tcMar>
              <w:top w:w="80" w:type="dxa"/>
              <w:bottom w:w="80" w:type="dxa"/>
              <w:left w:w="120" w:type="dxa"/>
              <w:right w:w="120" w:type="dxa"/>
            </w:tcMar>
            <w:shd w:val="clear" w:color="auto" w:fill="d6cdb7"/>
          </w:tcPr>
          <w:p>
            <w:pPr>
              <w:spacing w:before="0" w:after="0" w:line="300" w:lineRule="auto"/>
            </w:pPr>
            <w:r>
              <w:rPr>
                <w:rFonts w:ascii="Arial" w:hAnsi="Arial"/>
                <w:b/>
                <w:color w:val="002F5F"/>
                <w:sz w:val="20"/>
              </w:rPr>
              <w:t>Total value</w:t>
            </w:r>
          </w:p>
        </w:tc>
      </w:tr>
      <w:tr>
        <w:tc>
          <w:tcPr>
            <w:tcW w:type="dxa" w:w="2340"/>
            <w:tcMar>
              <w:top w:w="80" w:type="dxa"/>
              <w:bottom w:w="80" w:type="dxa"/>
              <w:left w:w="120" w:type="dxa"/>
              <w:right w:w="120" w:type="dxa"/>
            </w:tcMar>
          </w:tcPr>
          <w:p>
            <w:pPr>
              <w:spacing w:before="0" w:after="0" w:line="300" w:lineRule="auto"/>
            </w:pPr>
            <w:r>
              <w:rPr>
                <w:rFonts w:ascii="Arial" w:hAnsi="Arial"/>
                <w:color w:val="4A5663"/>
                <w:sz w:val="20"/>
              </w:rPr>
              <w:t>Desalination</w:t>
            </w:r>
          </w:p>
        </w:tc>
        <w:tc>
          <w:tcPr>
            <w:tcW w:type="dxa" w:w="2340"/>
            <w:tcMar>
              <w:top w:w="80" w:type="dxa"/>
              <w:bottom w:w="80" w:type="dxa"/>
              <w:left w:w="120" w:type="dxa"/>
              <w:right w:w="120" w:type="dxa"/>
            </w:tcMar>
          </w:tcPr>
          <w:p>
            <w:pPr>
              <w:spacing w:before="0" w:after="0" w:line="300" w:lineRule="auto"/>
            </w:pPr>
            <w:r>
              <w:rPr>
                <w:rFonts w:ascii="Arial" w:hAnsi="Arial"/>
                <w:color w:val="4A5663"/>
                <w:sz w:val="20"/>
              </w:rPr>
              <w:t>€25 M</w:t>
            </w:r>
          </w:p>
        </w:tc>
        <w:tc>
          <w:tcPr>
            <w:tcW w:type="dxa" w:w="2340"/>
            <w:tcMar>
              <w:top w:w="80" w:type="dxa"/>
              <w:bottom w:w="80" w:type="dxa"/>
              <w:left w:w="120" w:type="dxa"/>
              <w:right w:w="120" w:type="dxa"/>
            </w:tcMar>
          </w:tcPr>
          <w:p>
            <w:pPr>
              <w:spacing w:before="0" w:after="0" w:line="300" w:lineRule="auto"/>
            </w:pPr>
            <w:r>
              <w:rPr>
                <w:rFonts w:ascii="Arial" w:hAnsi="Arial"/>
                <w:color w:val="4A5663"/>
                <w:sz w:val="20"/>
              </w:rPr>
              <w:t>€18 M</w:t>
            </w:r>
          </w:p>
        </w:tc>
        <w:tc>
          <w:tcPr>
            <w:tcW w:type="dxa" w:w="2340"/>
            <w:tcMar>
              <w:top w:w="80" w:type="dxa"/>
              <w:bottom w:w="80" w:type="dxa"/>
              <w:left w:w="120" w:type="dxa"/>
              <w:right w:w="120" w:type="dxa"/>
            </w:tcMar>
          </w:tcPr>
          <w:p>
            <w:pPr>
              <w:spacing w:before="0" w:after="0" w:line="300" w:lineRule="auto"/>
            </w:pPr>
            <w:r>
              <w:rPr>
                <w:rFonts w:ascii="Arial" w:hAnsi="Arial"/>
                <w:b/>
                <w:color w:val="002F5F"/>
                <w:sz w:val="20"/>
              </w:rPr>
              <w:t>€43 M</w:t>
            </w:r>
          </w:p>
        </w:tc>
      </w:tr>
      <w:tr>
        <w:tc>
          <w:tcPr>
            <w:tcW w:type="dxa" w:w="2340"/>
            <w:tcMar>
              <w:top w:w="80" w:type="dxa"/>
              <w:bottom w:w="80" w:type="dxa"/>
              <w:left w:w="120" w:type="dxa"/>
              <w:right w:w="120" w:type="dxa"/>
            </w:tcMar>
          </w:tcPr>
          <w:p>
            <w:pPr>
              <w:spacing w:before="0" w:after="0" w:line="300" w:lineRule="auto"/>
            </w:pPr>
            <w:r>
              <w:rPr>
                <w:rFonts w:ascii="Arial" w:hAnsi="Arial"/>
                <w:color w:val="4A5663"/>
                <w:sz w:val="20"/>
              </w:rPr>
              <w:t>Water reuse</w:t>
            </w:r>
          </w:p>
        </w:tc>
        <w:tc>
          <w:tcPr>
            <w:tcW w:type="dxa" w:w="2340"/>
            <w:tcMar>
              <w:top w:w="80" w:type="dxa"/>
              <w:bottom w:w="80" w:type="dxa"/>
              <w:left w:w="120" w:type="dxa"/>
              <w:right w:w="120" w:type="dxa"/>
            </w:tcMar>
          </w:tcPr>
          <w:p>
            <w:pPr>
              <w:spacing w:before="0" w:after="0" w:line="300" w:lineRule="auto"/>
            </w:pPr>
            <w:r>
              <w:rPr>
                <w:rFonts w:ascii="Arial" w:hAnsi="Arial"/>
                <w:color w:val="4A5663"/>
                <w:sz w:val="20"/>
              </w:rPr>
              <w:t>€40 M</w:t>
            </w:r>
          </w:p>
        </w:tc>
        <w:tc>
          <w:tcPr>
            <w:tcW w:type="dxa" w:w="2340"/>
            <w:tcMar>
              <w:top w:w="80" w:type="dxa"/>
              <w:bottom w:w="80" w:type="dxa"/>
              <w:left w:w="120" w:type="dxa"/>
              <w:right w:w="120" w:type="dxa"/>
            </w:tcMar>
          </w:tcPr>
          <w:p>
            <w:pPr>
              <w:spacing w:before="0" w:after="0" w:line="300" w:lineRule="auto"/>
            </w:pPr>
            <w:r>
              <w:rPr>
                <w:rFonts w:ascii="Arial" w:hAnsi="Arial"/>
                <w:color w:val="4A5663"/>
                <w:sz w:val="20"/>
              </w:rPr>
              <w:t>€29 M</w:t>
            </w:r>
          </w:p>
        </w:tc>
        <w:tc>
          <w:tcPr>
            <w:tcW w:type="dxa" w:w="2340"/>
            <w:tcMar>
              <w:top w:w="80" w:type="dxa"/>
              <w:bottom w:w="80" w:type="dxa"/>
              <w:left w:w="120" w:type="dxa"/>
              <w:right w:w="120" w:type="dxa"/>
            </w:tcMar>
          </w:tcPr>
          <w:p>
            <w:pPr>
              <w:spacing w:before="0" w:after="0" w:line="300" w:lineRule="auto"/>
            </w:pPr>
            <w:r>
              <w:rPr>
                <w:rFonts w:ascii="Arial" w:hAnsi="Arial"/>
                <w:b/>
                <w:color w:val="002F5F"/>
                <w:sz w:val="20"/>
              </w:rPr>
              <w:t>€69 M</w:t>
            </w:r>
          </w:p>
        </w:tc>
      </w:tr>
    </w:tbl>
    <w:p>
      <w:pPr>
        <w:spacing w:before="0" w:after="120" w:line="324" w:lineRule="auto"/>
      </w:pPr>
    </w:p>
    <w:p>
      <w:pPr>
        <w:spacing w:before="0" w:after="120" w:line="324" w:lineRule="auto"/>
      </w:pPr>
      <w:r>
        <w:rPr>
          <w:rFonts w:ascii="Arial" w:hAnsi="Arial"/>
          <w:color w:val="4A5663"/>
          <w:sz w:val="22"/>
        </w:rPr>
        <w:t>Water reuse dominates on both immediate NPV and on optionality because reuse volumes scale more flexibly with realised demand. Final numbers require Aqualia's asset-level cost of capital and tariff structure; the exhibit is positioned as illustrative (see Limitations §9).</w:t>
      </w:r>
    </w:p>
    <w:p>
      <w:pPr>
        <w:spacing w:before="200" w:after="80" w:line="300" w:lineRule="auto"/>
      </w:pPr>
      <w:r>
        <w:rPr>
          <w:rFonts w:ascii="Arial" w:hAnsi="Arial"/>
          <w:b/>
          <w:color w:val="002F5F"/>
          <w:sz w:val="24"/>
        </w:rPr>
        <w:t>6.5 The €500 M green bond proposal (Exhibit 11)</w:t>
      </w:r>
    </w:p>
    <w:p>
      <w:pPr>
        <w:spacing w:before="0" w:after="120" w:line="324" w:lineRule="auto"/>
      </w:pPr>
      <w:r>
        <w:rPr>
          <w:rFonts w:ascii="Arial" w:hAnsi="Arial"/>
          <w:color w:val="4A5663"/>
          <w:sz w:val="22"/>
        </w:rPr>
        <w:t xml:space="preserve">The 2027–2030 CAPEX implied by Aqualia's Risk Map and our three topics totals </w:t>
      </w:r>
      <w:r>
        <w:rPr>
          <w:rFonts w:ascii="Arial" w:hAnsi="Arial"/>
          <w:b/>
          <w:color w:val="002F5F"/>
          <w:sz w:val="22"/>
        </w:rPr>
        <w:t>€440 M base</w:t>
      </w:r>
      <w:r>
        <w:rPr>
          <w:rFonts w:ascii="Arial" w:hAnsi="Arial"/>
          <w:color w:val="4A5663"/>
          <w:sz w:val="22"/>
        </w:rPr>
        <w:t xml:space="preserve"> (</w:t>
      </w:r>
      <w:r>
        <w:rPr>
          <w:rFonts w:ascii="Arial" w:hAnsi="Arial"/>
          <w:b/>
          <w:color w:val="002F5F"/>
          <w:sz w:val="22"/>
        </w:rPr>
        <w:t>€285 M – €685 M</w:t>
      </w:r>
      <w:r>
        <w:rPr>
          <w:rFonts w:ascii="Arial" w:hAnsi="Arial"/>
          <w:color w:val="4A5663"/>
          <w:sz w:val="22"/>
        </w:rPr>
        <w:t xml:space="preserve"> under low/high assumptions). We propose funding the programme with a </w:t>
      </w:r>
      <w:r>
        <w:rPr>
          <w:rFonts w:ascii="Arial" w:hAnsi="Arial"/>
          <w:b/>
          <w:color w:val="002F5F"/>
          <w:sz w:val="22"/>
        </w:rPr>
        <w:t>€500 M EU-Taxonomy-aligned green / sustainability-linked bond programme</w:t>
      </w:r>
      <w:r>
        <w:rPr>
          <w:rFonts w:ascii="Arial" w:hAnsi="Arial"/>
          <w:color w:val="4A5663"/>
          <w:sz w:val="22"/>
        </w:rPr>
        <w:t xml:space="preserve">, issued in four tranches: </w:t>
      </w:r>
      <w:r>
        <w:rPr>
          <w:rFonts w:ascii="Arial" w:hAnsi="Arial"/>
          <w:b/>
          <w:color w:val="002F5F"/>
          <w:sz w:val="22"/>
        </w:rPr>
        <w:t>€150 M in 2027</w:t>
      </w:r>
      <w:r>
        <w:rPr>
          <w:rFonts w:ascii="Arial" w:hAnsi="Arial"/>
          <w:color w:val="4A5663"/>
          <w:sz w:val="22"/>
        </w:rPr>
        <w:t xml:space="preserve">, </w:t>
      </w:r>
      <w:r>
        <w:rPr>
          <w:rFonts w:ascii="Arial" w:hAnsi="Arial"/>
          <w:b/>
          <w:color w:val="002F5F"/>
          <w:sz w:val="22"/>
        </w:rPr>
        <w:t>€150 M in 2028</w:t>
      </w:r>
      <w:r>
        <w:rPr>
          <w:rFonts w:ascii="Arial" w:hAnsi="Arial"/>
          <w:color w:val="4A5663"/>
          <w:sz w:val="22"/>
        </w:rPr>
        <w:t xml:space="preserve">, </w:t>
      </w:r>
      <w:r>
        <w:rPr>
          <w:rFonts w:ascii="Arial" w:hAnsi="Arial"/>
          <w:b/>
          <w:color w:val="002F5F"/>
          <w:sz w:val="22"/>
        </w:rPr>
        <w:t>€120 M in 2029</w:t>
      </w:r>
      <w:r>
        <w:rPr>
          <w:rFonts w:ascii="Arial" w:hAnsi="Arial"/>
          <w:color w:val="4A5663"/>
          <w:sz w:val="22"/>
        </w:rPr>
        <w:t xml:space="preserve">, </w:t>
      </w:r>
      <w:r>
        <w:rPr>
          <w:rFonts w:ascii="Arial" w:hAnsi="Arial"/>
          <w:b/>
          <w:color w:val="002F5F"/>
          <w:sz w:val="22"/>
        </w:rPr>
        <w:t>€80 M in 2030</w:t>
      </w:r>
      <w:r>
        <w:rPr>
          <w:rFonts w:ascii="Arial" w:hAnsi="Arial"/>
          <w:color w:val="4A5663"/>
          <w:sz w:val="22"/>
        </w:rPr>
        <w:t>. Structural choices (use of proceeds vs sustainability-linked; coupon-step-up KPIs tied to NRW reduction and water-reuse ratio) are detailed in §8 roadmap T3 entries.</w:t>
      </w:r>
    </w:p>
    <w:p>
      <w:pPr>
        <w:spacing w:before="0" w:after="120" w:line="324" w:lineRule="auto"/>
      </w:pPr>
      <w:r>
        <w:rPr>
          <w:rFonts w:ascii="Arial" w:hAnsi="Arial"/>
          <w:color w:val="4A5663"/>
          <w:sz w:val="22"/>
        </w:rPr>
        <w:t xml:space="preserve">At a </w:t>
      </w:r>
      <w:r>
        <w:rPr>
          <w:rFonts w:ascii="Arial" w:hAnsi="Arial"/>
          <w:b/>
          <w:color w:val="002F5F"/>
          <w:sz w:val="22"/>
        </w:rPr>
        <w:t>25 bp coupon spread</w:t>
      </w:r>
      <w:r>
        <w:rPr>
          <w:rFonts w:ascii="Arial" w:hAnsi="Arial"/>
          <w:color w:val="4A5663"/>
          <w:sz w:val="22"/>
        </w:rPr>
        <w:t xml:space="preserve"> — the current 2024–2025 level for investment-grade Euro water-utility green issuance per Climate Bonds Initiative data — the programme delivers </w:t>
      </w:r>
      <w:r>
        <w:rPr>
          <w:rFonts w:ascii="Arial" w:hAnsi="Arial"/>
          <w:b/>
          <w:color w:val="002F5F"/>
          <w:sz w:val="22"/>
        </w:rPr>
        <w:t>€31 M of present-value interest savings</w:t>
      </w:r>
      <w:r>
        <w:rPr>
          <w:rFonts w:ascii="Arial" w:hAnsi="Arial"/>
          <w:color w:val="4A5663"/>
          <w:sz w:val="22"/>
        </w:rPr>
        <w:t xml:space="preserve"> over the bond life (10-year tenor, 4.0% vanilla vs 3.75% green coupon, 8% discount rate). The calculation is a discounted annuity of the coupon saving: 500 × 25 bp × A(10, 8%) ≈ €8.4 M nominal annual saving, giving €31.1 M PV. The saving is conservative: the spread regularly exceeds 25 bp in Iberian and Italian issuance where Aqualia's concession base concentrates.</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7. The Matrix and What It Tells Us</w:t>
      </w:r>
    </w:p>
    <w:p>
      <w:pPr>
        <w:spacing w:before="200" w:after="80" w:line="300" w:lineRule="auto"/>
      </w:pPr>
      <w:r>
        <w:rPr>
          <w:rFonts w:ascii="Arial" w:hAnsi="Arial"/>
          <w:b/>
          <w:color w:val="002F5F"/>
          <w:sz w:val="24"/>
        </w:rPr>
        <w:t>7.1 Matrix structure (Exhibit 12)</w:t>
      </w:r>
    </w:p>
    <w:p>
      <w:pPr>
        <w:spacing w:before="0" w:after="120" w:line="324" w:lineRule="auto"/>
      </w:pPr>
      <w:r>
        <w:rPr>
          <w:rFonts w:ascii="Arial" w:hAnsi="Arial"/>
          <w:color w:val="4A5663"/>
          <w:sz w:val="22"/>
        </w:rPr>
        <w:t>The matrix plots Impact Severity (y-axis, inside-out) against Financial Severity (x-axis, outside-in), each on a 1–5 scale with the Target Zone defined as the top-right quadrant (both axes ≥ 2.5, following Workshop 1 slide 17). Each topic appears as a 90% confidence ellipse derived from 10,000 Monte Carlo draws; the ellipse centroid marks the topic's mean position. Topics with ellipses entirely inside the Target Zone are classified "robust material"; topics with ellipses straddling threshold lines are classified "conditionally material."</w:t>
      </w:r>
    </w:p>
    <w:p>
      <w:pPr>
        <w:spacing w:before="200" w:after="80" w:line="300" w:lineRule="auto"/>
      </w:pPr>
      <w:r>
        <w:rPr>
          <w:rFonts w:ascii="Arial" w:hAnsi="Arial"/>
          <w:b/>
          <w:color w:val="002F5F"/>
          <w:sz w:val="24"/>
        </w:rPr>
        <w:t>7.2 Per-topic positioning</w:t>
      </w:r>
    </w:p>
    <w:p>
      <w:pPr>
        <w:spacing w:before="0" w:after="120" w:line="324" w:lineRule="auto"/>
      </w:pPr>
      <w:r>
        <w:rPr>
          <w:rFonts w:ascii="Arial" w:hAnsi="Arial"/>
          <w:b/>
          <w:color w:val="002F5F"/>
          <w:sz w:val="22"/>
        </w:rPr>
        <w:t>T1 centroid (3.07, 3.98).</w:t>
      </w:r>
      <w:r>
        <w:rPr>
          <w:rFonts w:ascii="Arial" w:hAnsi="Arial"/>
          <w:color w:val="4A5663"/>
          <w:sz w:val="22"/>
        </w:rPr>
        <w:t xml:space="preserve"> Ellipse wholly inside Target Zone and bounded well away from both threshold lines. T1 is robust material under every test we ran.</w:t>
      </w:r>
    </w:p>
    <w:p>
      <w:pPr>
        <w:spacing w:before="0" w:after="120" w:line="324" w:lineRule="auto"/>
      </w:pPr>
      <w:r>
        <w:rPr>
          <w:rFonts w:ascii="Arial" w:hAnsi="Arial"/>
          <w:b/>
          <w:color w:val="002F5F"/>
          <w:sz w:val="22"/>
        </w:rPr>
        <w:t>T2 centroid (2.75, 3.08).</w:t>
      </w:r>
      <w:r>
        <w:rPr>
          <w:rFonts w:ascii="Arial" w:hAnsi="Arial"/>
          <w:color w:val="4A5663"/>
          <w:sz w:val="22"/>
        </w:rPr>
        <w:t xml:space="preserve"> Ellipse lies inside Target Zone. The financial-axis p5 is 2.50 — at the boundary — confirming that T2's Target Zone membership is directly attributable to our repositioning of the blind-spot cluster. Under Aqualia's original qualitative framework (2 IROs on Digitalisation alone), T2 would not be material; under our methodology it is.</w:t>
      </w:r>
    </w:p>
    <w:p>
      <w:pPr>
        <w:spacing w:before="0" w:after="120" w:line="324" w:lineRule="auto"/>
      </w:pPr>
      <w:r>
        <w:rPr>
          <w:rFonts w:ascii="Arial" w:hAnsi="Arial"/>
          <w:b/>
          <w:color w:val="002F5F"/>
          <w:sz w:val="22"/>
        </w:rPr>
        <w:t>T3 centroid (2.42, 3.24).</w:t>
      </w:r>
      <w:r>
        <w:rPr>
          <w:rFonts w:ascii="Arial" w:hAnsi="Arial"/>
          <w:color w:val="4A5663"/>
          <w:sz w:val="22"/>
        </w:rPr>
        <w:t xml:space="preserve"> Ellipse centroid lies </w:t>
      </w:r>
      <w:r>
        <w:rPr>
          <w:rFonts w:ascii="Arial" w:hAnsi="Arial"/>
          <w:b/>
          <w:color w:val="002F5F"/>
          <w:sz w:val="22"/>
        </w:rPr>
        <w:t>0.08 below the financial threshold</w:t>
      </w:r>
      <w:r>
        <w:rPr>
          <w:rFonts w:ascii="Arial" w:hAnsi="Arial"/>
          <w:color w:val="4A5663"/>
          <w:sz w:val="22"/>
        </w:rPr>
        <w:t>, with p95 at 2.61 and p5 at 2.24. T3 is conditionally material — Target Zone on impact, borderline on finance. This is the most informative methodological outcome of the study: it distinguishes between solidly and conditionally material topics where a qualitative framework would paint both the same colour. Section 9 explains why this is a feature, not a defect.</w:t>
      </w:r>
    </w:p>
    <w:p>
      <w:pPr>
        <w:spacing w:before="200" w:after="80" w:line="300" w:lineRule="auto"/>
      </w:pPr>
      <w:r>
        <w:rPr>
          <w:rFonts w:ascii="Arial" w:hAnsi="Arial"/>
          <w:b/>
          <w:color w:val="002F5F"/>
          <w:sz w:val="24"/>
        </w:rPr>
        <w:t>7.3 Sensitivity tornado (Exhibit 13)</w:t>
      </w:r>
    </w:p>
    <w:p>
      <w:pPr>
        <w:spacing w:before="0" w:after="120" w:line="324" w:lineRule="auto"/>
      </w:pPr>
      <w:r>
        <w:rPr>
          <w:rFonts w:ascii="Arial" w:hAnsi="Arial"/>
          <w:color w:val="4A5663"/>
          <w:sz w:val="22"/>
        </w:rPr>
        <w:t>For each topic, the top six inputs by absolute swing are:</w:t>
      </w:r>
    </w:p>
    <w:p>
      <w:pPr>
        <w:pStyle w:val="ListBullet"/>
        <w:spacing w:before="0" w:after="60" w:line="312" w:lineRule="auto"/>
      </w:pPr>
      <w:r>
        <w:rPr>
          <w:rFonts w:ascii="Arial" w:hAnsi="Arial"/>
          <w:b/>
          <w:color w:val="002F5F"/>
          <w:sz w:val="22"/>
        </w:rPr>
        <w:t>T1.</w:t>
      </w:r>
      <w:r>
        <w:rPr>
          <w:rFonts w:ascii="Arial" w:hAnsi="Arial"/>
          <w:color w:val="4A5663"/>
          <w:sz w:val="22"/>
        </w:rPr>
        <w:t xml:space="preserve"> R-stress-revenue.mag (financial); E1-adaptation.prob</w:t>
      </w:r>
    </w:p>
    <w:p>
      <w:pPr>
        <w:spacing w:before="0" w:after="120" w:line="324" w:lineRule="auto"/>
      </w:pPr>
      <w:r>
        <w:rPr>
          <w:rFonts w:ascii="Arial" w:hAnsi="Arial"/>
          <w:color w:val="4A5663"/>
          <w:sz w:val="22"/>
        </w:rPr>
        <w:t>(impact); O-reuse-market.mag (financial); R-capex-uwwtd.mag (financial); E3-quality.scale (impact); R-fines-wfd.mag (financial). The water-stress revenue assumption (A03) and reuse-market sizing (A04) dominate financial position; probability of climate adaptation dominates impact. Both are grounded in Aqueduct + RD 1985/2024 and should be tightened before publication.</w:t>
      </w:r>
    </w:p>
    <w:p>
      <w:pPr>
        <w:pStyle w:val="ListBullet"/>
        <w:spacing w:before="0" w:after="60" w:line="312" w:lineRule="auto"/>
      </w:pPr>
      <w:r>
        <w:rPr>
          <w:rFonts w:ascii="Arial" w:hAnsi="Arial"/>
          <w:b/>
          <w:color w:val="002F5F"/>
          <w:sz w:val="22"/>
        </w:rPr>
        <w:t>T2.</w:t>
      </w:r>
      <w:r>
        <w:rPr>
          <w:rFonts w:ascii="Arial" w:hAnsi="Arial"/>
          <w:color w:val="4A5663"/>
          <w:sz w:val="22"/>
        </w:rPr>
        <w:t xml:space="preserve"> Tech-pace.prob (impact); O-tender-uplift.mag (financial);</w:t>
      </w:r>
    </w:p>
    <w:p>
      <w:pPr>
        <w:spacing w:before="0" w:after="120" w:line="324" w:lineRule="auto"/>
      </w:pPr>
      <w:r>
        <w:rPr>
          <w:rFonts w:ascii="Arial" w:hAnsi="Arial"/>
          <w:color w:val="4A5663"/>
          <w:sz w:val="22"/>
        </w:rPr>
        <w:t>R-digital-capex.mag (financial); Dig-data-gov.prob (impact); Dig-adoption.scale (impact); Tech-pace.scale (impact). The question is how much digital differentiation translates into tender-win uplift. An expert call (§9, open action) is the single highest-ROI data point.</w:t>
      </w:r>
    </w:p>
    <w:p>
      <w:pPr>
        <w:pStyle w:val="ListBullet"/>
        <w:spacing w:before="0" w:after="60" w:line="312" w:lineRule="auto"/>
      </w:pPr>
      <w:r>
        <w:rPr>
          <w:rFonts w:ascii="Arial" w:hAnsi="Arial"/>
          <w:b/>
          <w:color w:val="002F5F"/>
          <w:sz w:val="22"/>
        </w:rPr>
        <w:t>T3.</w:t>
      </w:r>
      <w:r>
        <w:rPr>
          <w:rFonts w:ascii="Arial" w:hAnsi="Arial"/>
          <w:color w:val="4A5663"/>
          <w:sz w:val="22"/>
        </w:rPr>
        <w:t xml:space="preserve"> Compl-CSDDD.prob (impact); Green-fin-access.prob (impact);</w:t>
      </w:r>
    </w:p>
    <w:p>
      <w:pPr>
        <w:spacing w:before="0" w:after="120" w:line="324" w:lineRule="auto"/>
      </w:pPr>
      <w:r>
        <w:rPr>
          <w:rFonts w:ascii="Arial" w:hAnsi="Arial"/>
          <w:color w:val="4A5663"/>
          <w:sz w:val="22"/>
        </w:rPr>
        <w:t>Compl-CSRD.scale (impact); O-green-bond-prem.mag (financial); Green-fin-access.scale (impact); O-coc-saving.mag (financial). T3's position is a bet on regulatory enforcement pace plus cost-of-capital spread — both observable and both directly targeted by the €500 M bond programme.</w:t>
      </w:r>
    </w:p>
    <w:p>
      <w:pPr>
        <w:spacing w:before="200" w:after="80" w:line="300" w:lineRule="auto"/>
      </w:pPr>
      <w:r>
        <w:rPr>
          <w:rFonts w:ascii="Arial" w:hAnsi="Arial"/>
          <w:b/>
          <w:color w:val="002F5F"/>
          <w:sz w:val="24"/>
        </w:rPr>
        <w:t>7.4 Robustness (Exhibit 14)</w:t>
      </w:r>
    </w:p>
    <w:p>
      <w:pPr>
        <w:spacing w:before="0" w:after="120" w:line="324" w:lineRule="auto"/>
      </w:pPr>
      <w:r>
        <w:rPr>
          <w:rFonts w:ascii="Arial" w:hAnsi="Arial"/>
          <w:color w:val="4A5663"/>
          <w:sz w:val="22"/>
        </w:rPr>
        <w:t>Under four alternate stakeholder-weighting schemes (Equal, Regulator- heavy, Community-first, Investor-first), no topic flips Target-Zone status. T1 remains in; T2 remains in; T3 remains borderline. The stability is a direct consequence of top-k aggregation — the most material subset of IROs/R&amp;Os drives position, and that subset is insensitive to modest re-weighting.</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8. Strategic Sustainability Roadmap 2027–2030</w:t>
      </w:r>
    </w:p>
    <w:p>
      <w:pPr>
        <w:spacing w:before="200" w:after="80" w:line="300" w:lineRule="auto"/>
      </w:pPr>
      <w:r>
        <w:rPr>
          <w:rFonts w:ascii="Arial" w:hAnsi="Arial"/>
          <w:b/>
          <w:color w:val="002F5F"/>
          <w:sz w:val="24"/>
        </w:rPr>
        <w:t>8.1 Owned, measurable, aligned (Exhibit 15)</w:t>
      </w:r>
    </w:p>
    <w:p>
      <w:pPr>
        <w:spacing w:before="0" w:after="120" w:line="324" w:lineRule="auto"/>
      </w:pPr>
      <w:r>
        <w:rPr>
          <w:rFonts w:ascii="Arial" w:hAnsi="Arial"/>
          <w:color w:val="4A5663"/>
          <w:sz w:val="22"/>
        </w:rPr>
        <w:t>Every recommendation below is assigned to a named Executive Committee role (using Aqualia's own Risk Map owners) and pinned to a quantitative KPI. The roadmap is structured as a 3-topic × 4-year grid.</w:t>
      </w:r>
    </w:p>
    <w:p>
      <w:pPr>
        <w:spacing w:before="0" w:after="120" w:line="324" w:lineRule="auto"/>
      </w:pPr>
      <w:r>
        <w:rPr>
          <w:rFonts w:ascii="Arial" w:hAnsi="Arial"/>
          <w:b/>
          <w:color w:val="002F5F"/>
          <w:sz w:val="22"/>
        </w:rPr>
        <w:t>T1 — Water Resilience &amp; Equitable Access</w:t>
      </w:r>
    </w:p>
    <w:p>
      <w:pPr>
        <w:pStyle w:val="ListBullet"/>
        <w:spacing w:before="0" w:after="60" w:line="312" w:lineRule="auto"/>
      </w:pPr>
      <w:r>
        <w:rPr>
          <w:rFonts w:ascii="Arial" w:hAnsi="Arial"/>
          <w:b/>
          <w:color w:val="002F5F"/>
          <w:sz w:val="22"/>
        </w:rPr>
        <w:t>2027.</w:t>
      </w:r>
      <w:r>
        <w:rPr>
          <w:rFonts w:ascii="Arial" w:hAnsi="Arial"/>
          <w:color w:val="4A5663"/>
          <w:sz w:val="22"/>
        </w:rPr>
        <w:t xml:space="preserve"> Restore ESRS S3 as a stand-alone disclosure. Commission a</w:t>
      </w:r>
    </w:p>
    <w:p>
      <w:pPr>
        <w:spacing w:before="0" w:after="120" w:line="324" w:lineRule="auto"/>
      </w:pPr>
      <w:r>
        <w:rPr>
          <w:rFonts w:ascii="Arial" w:hAnsi="Arial"/>
          <w:color w:val="4A5663"/>
          <w:sz w:val="22"/>
        </w:rPr>
        <w:t>Colombia concession review. Owner: Director Spain, Europe/Americas, Africa/Asia. KPI: Colombia satisfaction ≥ 60% by year-end; S3 disclosure appearing in 2027 sustainability report.</w:t>
      </w:r>
    </w:p>
    <w:p>
      <w:pPr>
        <w:pStyle w:val="ListBullet"/>
        <w:spacing w:before="0" w:after="60" w:line="312" w:lineRule="auto"/>
      </w:pPr>
      <w:r>
        <w:rPr>
          <w:rFonts w:ascii="Arial" w:hAnsi="Arial"/>
          <w:b/>
          <w:color w:val="002F5F"/>
          <w:sz w:val="22"/>
        </w:rPr>
        <w:t>2028.</w:t>
      </w:r>
      <w:r>
        <w:rPr>
          <w:rFonts w:ascii="Arial" w:hAnsi="Arial"/>
          <w:color w:val="4A5663"/>
          <w:sz w:val="22"/>
        </w:rPr>
        <w:t xml:space="preserve"> Segura basin water-reuse pilot. Owner: Director Studies</w:t>
      </w:r>
    </w:p>
    <w:p>
      <w:pPr>
        <w:spacing w:before="0" w:after="120" w:line="324" w:lineRule="auto"/>
      </w:pPr>
      <w:r>
        <w:rPr>
          <w:rFonts w:ascii="Arial" w:hAnsi="Arial"/>
          <w:color w:val="4A5663"/>
          <w:sz w:val="22"/>
        </w:rPr>
        <w:t>&amp; Operations. KPI: NRW -3 percentage points in pilot concession; reuse water volume +15% vs 2025 baseline.</w:t>
      </w:r>
    </w:p>
    <w:p>
      <w:pPr>
        <w:pStyle w:val="ListBullet"/>
        <w:spacing w:before="0" w:after="60" w:line="312" w:lineRule="auto"/>
      </w:pPr>
      <w:r>
        <w:rPr>
          <w:rFonts w:ascii="Arial" w:hAnsi="Arial"/>
          <w:b/>
          <w:color w:val="002F5F"/>
          <w:sz w:val="22"/>
        </w:rPr>
        <w:t>2029.</w:t>
      </w:r>
      <w:r>
        <w:rPr>
          <w:rFonts w:ascii="Arial" w:hAnsi="Arial"/>
          <w:color w:val="4A5663"/>
          <w:sz w:val="22"/>
        </w:rPr>
        <w:t xml:space="preserve"> Italy climate-adaptation CAPEX programme; Po basin</w:t>
      </w:r>
    </w:p>
    <w:p>
      <w:pPr>
        <w:spacing w:before="0" w:after="120" w:line="324" w:lineRule="auto"/>
      </w:pPr>
      <w:r>
        <w:rPr>
          <w:rFonts w:ascii="Arial" w:hAnsi="Arial"/>
          <w:color w:val="4A5663"/>
          <w:sz w:val="22"/>
        </w:rPr>
        <w:t>focus. Owner: Director Spain/EU/Americas/AA. KPI: emissions intensity -10% per m³ treated; 100% ISO 14001:2026 coverage.</w:t>
      </w:r>
    </w:p>
    <w:p>
      <w:pPr>
        <w:pStyle w:val="ListBullet"/>
        <w:spacing w:before="0" w:after="60" w:line="312" w:lineRule="auto"/>
      </w:pPr>
      <w:r>
        <w:rPr>
          <w:rFonts w:ascii="Arial" w:hAnsi="Arial"/>
          <w:b/>
          <w:color w:val="002F5F"/>
          <w:sz w:val="22"/>
        </w:rPr>
        <w:t>2030.</w:t>
      </w:r>
      <w:r>
        <w:rPr>
          <w:rFonts w:ascii="Arial" w:hAnsi="Arial"/>
          <w:color w:val="4A5663"/>
          <w:sz w:val="22"/>
        </w:rPr>
        <w:t xml:space="preserve"> Full group reuse ≥ 25% of treated wastewater;</w:t>
      </w:r>
    </w:p>
    <w:p>
      <w:pPr>
        <w:spacing w:before="0" w:after="120" w:line="324" w:lineRule="auto"/>
      </w:pPr>
      <w:r>
        <w:rPr>
          <w:rFonts w:ascii="Arial" w:hAnsi="Arial"/>
          <w:color w:val="4A5663"/>
          <w:sz w:val="22"/>
        </w:rPr>
        <w:t>alignment with RD 1985/2024. KPI: reuse ratio ≥ 25%; WFD compliance clean across Iberian concessions.</w:t>
      </w:r>
    </w:p>
    <w:p>
      <w:pPr>
        <w:spacing w:before="0" w:after="120" w:line="324" w:lineRule="auto"/>
      </w:pPr>
      <w:r>
        <w:rPr>
          <w:rFonts w:ascii="Arial" w:hAnsi="Arial"/>
          <w:b/>
          <w:color w:val="002F5F"/>
          <w:sz w:val="22"/>
        </w:rPr>
        <w:t>T2 — Digital &amp; Cyber Infrastructure</w:t>
      </w:r>
    </w:p>
    <w:p>
      <w:pPr>
        <w:pStyle w:val="ListBullet"/>
        <w:spacing w:before="0" w:after="60" w:line="312" w:lineRule="auto"/>
      </w:pPr>
      <w:r>
        <w:rPr>
          <w:rFonts w:ascii="Arial" w:hAnsi="Arial"/>
          <w:b/>
          <w:color w:val="002F5F"/>
          <w:sz w:val="22"/>
        </w:rPr>
        <w:t>2027.</w:t>
      </w:r>
      <w:r>
        <w:rPr>
          <w:rFonts w:ascii="Arial" w:hAnsi="Arial"/>
          <w:color w:val="4A5663"/>
          <w:sz w:val="22"/>
        </w:rPr>
        <w:t xml:space="preserve"> Digital-twin Phase 1 — three concessions. Owner:</w:t>
      </w:r>
    </w:p>
    <w:p>
      <w:pPr>
        <w:spacing w:before="0" w:after="120" w:line="324" w:lineRule="auto"/>
      </w:pPr>
      <w:r>
        <w:rPr>
          <w:rFonts w:ascii="Arial" w:hAnsi="Arial"/>
          <w:color w:val="4A5663"/>
          <w:sz w:val="22"/>
        </w:rPr>
        <w:t>Customer &amp; IT Management Director. KPI: real-time monitoring coverage ≥ 80% of treated volume in pilot.</w:t>
      </w:r>
    </w:p>
    <w:p>
      <w:pPr>
        <w:pStyle w:val="ListBullet"/>
        <w:spacing w:before="0" w:after="60" w:line="312" w:lineRule="auto"/>
      </w:pPr>
      <w:r>
        <w:rPr>
          <w:rFonts w:ascii="Arial" w:hAnsi="Arial"/>
          <w:b/>
          <w:color w:val="002F5F"/>
          <w:sz w:val="22"/>
        </w:rPr>
        <w:t>2028.</w:t>
      </w:r>
      <w:r>
        <w:rPr>
          <w:rFonts w:ascii="Arial" w:hAnsi="Arial"/>
          <w:color w:val="4A5663"/>
          <w:sz w:val="22"/>
        </w:rPr>
        <w:t xml:space="preserve"> OT/IT segmentation + NIS2 readiness assessment. Owner:</w:t>
      </w:r>
    </w:p>
    <w:p>
      <w:pPr>
        <w:spacing w:before="0" w:after="120" w:line="324" w:lineRule="auto"/>
      </w:pPr>
      <w:r>
        <w:rPr>
          <w:rFonts w:ascii="Arial" w:hAnsi="Arial"/>
          <w:color w:val="4A5663"/>
          <w:sz w:val="22"/>
        </w:rPr>
        <w:t>Customer &amp; IT Management Director. KPI: NIS2 readiness ≥ 90% per internal audit; zero medium-or-above findings on OT/IT segmentation audit.</w:t>
      </w:r>
    </w:p>
    <w:p>
      <w:pPr>
        <w:pStyle w:val="ListBullet"/>
        <w:spacing w:before="0" w:after="60" w:line="312" w:lineRule="auto"/>
      </w:pPr>
      <w:r>
        <w:rPr>
          <w:rFonts w:ascii="Arial" w:hAnsi="Arial"/>
          <w:b/>
          <w:color w:val="002F5F"/>
          <w:sz w:val="22"/>
        </w:rPr>
        <w:t>2029.</w:t>
      </w:r>
      <w:r>
        <w:rPr>
          <w:rFonts w:ascii="Arial" w:hAnsi="Arial"/>
          <w:color w:val="4A5663"/>
          <w:sz w:val="22"/>
        </w:rPr>
        <w:t xml:space="preserve"> AI demand-prediction + leak-detection rollout beyond</w:t>
      </w:r>
    </w:p>
    <w:p>
      <w:pPr>
        <w:spacing w:before="0" w:after="120" w:line="324" w:lineRule="auto"/>
      </w:pPr>
      <w:r>
        <w:rPr>
          <w:rFonts w:ascii="Arial" w:hAnsi="Arial"/>
          <w:color w:val="4A5663"/>
          <w:sz w:val="22"/>
        </w:rPr>
        <w:t>pilot. Owner: Director Strategy &amp; Sustainability Development. KPI: leak-detection response time -30%.</w:t>
      </w:r>
    </w:p>
    <w:p>
      <w:pPr>
        <w:pStyle w:val="ListBullet"/>
        <w:spacing w:before="0" w:after="60" w:line="312" w:lineRule="auto"/>
      </w:pPr>
      <w:r>
        <w:rPr>
          <w:rFonts w:ascii="Arial" w:hAnsi="Arial"/>
          <w:b/>
          <w:color w:val="002F5F"/>
          <w:sz w:val="22"/>
        </w:rPr>
        <w:t>2030.</w:t>
      </w:r>
      <w:r>
        <w:rPr>
          <w:rFonts w:ascii="Arial" w:hAnsi="Arial"/>
          <w:color w:val="4A5663"/>
          <w:sz w:val="22"/>
        </w:rPr>
        <w:t xml:space="preserve"> Cyber-incident mean-time-to-recover (MTTR) &lt; 4 hours</w:t>
      </w:r>
    </w:p>
    <w:p>
      <w:pPr>
        <w:spacing w:before="0" w:after="120" w:line="324" w:lineRule="auto"/>
      </w:pPr>
      <w:r>
        <w:rPr>
          <w:rFonts w:ascii="Arial" w:hAnsi="Arial"/>
          <w:color w:val="4A5663"/>
          <w:sz w:val="22"/>
        </w:rPr>
        <w:t>under simulated red-team tests; annual cyber investment at ~1.0% of revenue.</w:t>
      </w:r>
    </w:p>
    <w:p>
      <w:pPr>
        <w:spacing w:before="0" w:after="120" w:line="324" w:lineRule="auto"/>
      </w:pPr>
      <w:r>
        <w:rPr>
          <w:rFonts w:ascii="Arial" w:hAnsi="Arial"/>
          <w:b/>
          <w:color w:val="002F5F"/>
          <w:sz w:val="22"/>
        </w:rPr>
        <w:t>T3 — Green Finance &amp; Integrity</w:t>
      </w:r>
    </w:p>
    <w:p>
      <w:pPr>
        <w:pStyle w:val="ListBullet"/>
        <w:spacing w:before="0" w:after="60" w:line="312" w:lineRule="auto"/>
      </w:pPr>
      <w:r>
        <w:rPr>
          <w:rFonts w:ascii="Arial" w:hAnsi="Arial"/>
          <w:b/>
          <w:color w:val="002F5F"/>
          <w:sz w:val="22"/>
        </w:rPr>
        <w:t>2027.</w:t>
      </w:r>
      <w:r>
        <w:rPr>
          <w:rFonts w:ascii="Arial" w:hAnsi="Arial"/>
          <w:color w:val="4A5663"/>
          <w:sz w:val="22"/>
        </w:rPr>
        <w:t xml:space="preserve"> Issue Tranche 1 of green bond programme (€150 M). Owner:</w:t>
      </w:r>
    </w:p>
    <w:p>
      <w:pPr>
        <w:spacing w:before="0" w:after="120" w:line="324" w:lineRule="auto"/>
      </w:pPr>
      <w:r>
        <w:rPr>
          <w:rFonts w:ascii="Arial" w:hAnsi="Arial"/>
          <w:color w:val="4A5663"/>
          <w:sz w:val="22"/>
        </w:rPr>
        <w:t>CFO. KPI: tranche closed at ≤ 20 bp premium to vanilla comparable; EU-Taxonomy alignment report published.</w:t>
      </w:r>
    </w:p>
    <w:p>
      <w:pPr>
        <w:pStyle w:val="ListBullet"/>
        <w:spacing w:before="0" w:after="60" w:line="312" w:lineRule="auto"/>
      </w:pPr>
      <w:r>
        <w:rPr>
          <w:rFonts w:ascii="Arial" w:hAnsi="Arial"/>
          <w:b/>
          <w:color w:val="002F5F"/>
          <w:sz w:val="22"/>
        </w:rPr>
        <w:t>2028.</w:t>
      </w:r>
      <w:r>
        <w:rPr>
          <w:rFonts w:ascii="Arial" w:hAnsi="Arial"/>
          <w:color w:val="4A5663"/>
          <w:sz w:val="22"/>
        </w:rPr>
        <w:t xml:space="preserve"> Tranche 2 (€150 M). Full CSRD report with limited</w:t>
      </w:r>
    </w:p>
    <w:p>
      <w:pPr>
        <w:spacing w:before="0" w:after="120" w:line="324" w:lineRule="auto"/>
      </w:pPr>
      <w:r>
        <w:rPr>
          <w:rFonts w:ascii="Arial" w:hAnsi="Arial"/>
          <w:color w:val="4A5663"/>
          <w:sz w:val="22"/>
        </w:rPr>
        <w:t>assurance. Owner: CFO + Sustainability Director. KPI: CSRD compliance rating ≥ Sustainalytics "Medium Risk" or equivalent.</w:t>
      </w:r>
    </w:p>
    <w:p>
      <w:pPr>
        <w:pStyle w:val="ListBullet"/>
        <w:spacing w:before="0" w:after="60" w:line="312" w:lineRule="auto"/>
      </w:pPr>
      <w:r>
        <w:rPr>
          <w:rFonts w:ascii="Arial" w:hAnsi="Arial"/>
          <w:b/>
          <w:color w:val="002F5F"/>
          <w:sz w:val="22"/>
        </w:rPr>
        <w:t>2029.</w:t>
      </w:r>
      <w:r>
        <w:rPr>
          <w:rFonts w:ascii="Arial" w:hAnsi="Arial"/>
          <w:color w:val="4A5663"/>
          <w:sz w:val="22"/>
        </w:rPr>
        <w:t xml:space="preserve"> Tranche 3 (€120 M). ISO 14001:2026 certification across</w:t>
      </w:r>
    </w:p>
    <w:p>
      <w:pPr>
        <w:spacing w:before="0" w:after="120" w:line="324" w:lineRule="auto"/>
      </w:pPr>
      <w:r>
        <w:rPr>
          <w:rFonts w:ascii="Arial" w:hAnsi="Arial"/>
          <w:color w:val="4A5663"/>
          <w:sz w:val="22"/>
        </w:rPr>
        <w:t>all operating regions. KPI: 100% operational coverage.</w:t>
      </w:r>
    </w:p>
    <w:p>
      <w:pPr>
        <w:pStyle w:val="ListBullet"/>
        <w:spacing w:before="0" w:after="60" w:line="312" w:lineRule="auto"/>
      </w:pPr>
      <w:r>
        <w:rPr>
          <w:rFonts w:ascii="Arial" w:hAnsi="Arial"/>
          <w:b/>
          <w:color w:val="002F5F"/>
          <w:sz w:val="22"/>
        </w:rPr>
        <w:t>2030.</w:t>
      </w:r>
      <w:r>
        <w:rPr>
          <w:rFonts w:ascii="Arial" w:hAnsi="Arial"/>
          <w:color w:val="4A5663"/>
          <w:sz w:val="22"/>
        </w:rPr>
        <w:t xml:space="preserve"> Tranche 4 (€80 M). Full TCFD + TNFD disclosure with</w:t>
      </w:r>
    </w:p>
    <w:p>
      <w:pPr>
        <w:spacing w:before="0" w:after="120" w:line="324" w:lineRule="auto"/>
      </w:pPr>
      <w:r>
        <w:rPr>
          <w:rFonts w:ascii="Arial" w:hAnsi="Arial"/>
          <w:color w:val="4A5663"/>
          <w:sz w:val="22"/>
        </w:rPr>
        <w:t>reasonable assurance. KPI: TNFD LEAP coverage ≥ 90% of in-scope concessions.</w:t>
      </w:r>
    </w:p>
    <w:p>
      <w:pPr>
        <w:spacing w:before="200" w:after="80" w:line="300" w:lineRule="auto"/>
      </w:pPr>
      <w:r>
        <w:rPr>
          <w:rFonts w:ascii="Arial" w:hAnsi="Arial"/>
          <w:b/>
          <w:color w:val="002F5F"/>
          <w:sz w:val="24"/>
        </w:rPr>
        <w:t>8.2 Integration with PESA (Exhibit 16)</w:t>
      </w:r>
    </w:p>
    <w:p>
      <w:pPr>
        <w:spacing w:before="0" w:after="120" w:line="324" w:lineRule="auto"/>
      </w:pPr>
      <w:r>
        <w:rPr>
          <w:rFonts w:ascii="Arial" w:hAnsi="Arial"/>
          <w:color w:val="4A5663"/>
          <w:sz w:val="22"/>
        </w:rPr>
        <w:t>Aqualia's 2024–2026 Strategic Sustainability Plan (PESA) operates along seven strategic lines (SL1 Climate Emergency → SL7 Partnerships for Positive Impact). Our roadmap is designed to *extend* PESA into 2027–2030 rather than replace it. T1 extends SL1 (Climate Emergency). T2 extends SL2 (Technology for Integrated Management). T3 extends SL4 (Financial &amp; Business Strategy) and SL5 (Ethics &amp; Compliance). The cross-walk between our 12 quarterly milestones and PESA's seven lines is fully traceable; no recommendation sits outside Aqualia's existing strategic architecture.</w:t>
      </w:r>
    </w:p>
    <w:p>
      <w:pPr>
        <w:spacing w:before="200" w:after="80" w:line="300" w:lineRule="auto"/>
      </w:pPr>
      <w:r>
        <w:rPr>
          <w:rFonts w:ascii="Arial" w:hAnsi="Arial"/>
          <w:b/>
          <w:color w:val="002F5F"/>
          <w:sz w:val="24"/>
        </w:rPr>
        <w:t>8.3 Governance and reporting cadence</w:t>
      </w:r>
    </w:p>
    <w:p>
      <w:pPr>
        <w:spacing w:before="0" w:after="120" w:line="324" w:lineRule="auto"/>
      </w:pPr>
      <w:r>
        <w:rPr>
          <w:rFonts w:ascii="Arial" w:hAnsi="Arial"/>
          <w:color w:val="4A5663"/>
          <w:sz w:val="22"/>
        </w:rPr>
        <w:t xml:space="preserve">We recommend Aqualia's Sustainability Committee adopt a </w:t>
      </w:r>
      <w:r>
        <w:rPr>
          <w:rFonts w:ascii="Arial" w:hAnsi="Arial"/>
          <w:b/>
          <w:color w:val="002F5F"/>
          <w:sz w:val="22"/>
        </w:rPr>
        <w:t>semi-annual matrix refresh</w:t>
      </w:r>
      <w:r>
        <w:rPr>
          <w:rFonts w:ascii="Arial" w:hAnsi="Arial"/>
          <w:color w:val="4A5663"/>
          <w:sz w:val="22"/>
        </w:rPr>
        <w:t xml:space="preserve"> using the reproducible pipeline in </w:t>
      </w:r>
      <w:r>
        <w:rPr>
          <w:rFonts w:ascii="Consolas" w:hAnsi="Consolas"/>
          <w:color w:val="4A5663"/>
          <w:sz w:val="20"/>
        </w:rPr>
        <w:t>matrix_mc.py</w:t>
      </w:r>
      <w:r>
        <w:rPr>
          <w:rFonts w:ascii="Arial" w:hAnsi="Arial"/>
          <w:color w:val="4A5663"/>
          <w:sz w:val="22"/>
        </w:rPr>
        <w:t>. Each refresh produces updated confidence ellipses under the latest input assumptions; material shifts in ellipse position across two consecutive refreshes should trigger Executive Committee review. This institutionalises the methodology rather than treating it as a one-off deliverable.</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9. Limitations, Reverse Stress Test, and Ethical Framing</w:t>
      </w:r>
    </w:p>
    <w:p>
      <w:pPr>
        <w:spacing w:before="200" w:after="80" w:line="300" w:lineRule="auto"/>
      </w:pPr>
      <w:r>
        <w:rPr>
          <w:rFonts w:ascii="Arial" w:hAnsi="Arial"/>
          <w:b/>
          <w:color w:val="002F5F"/>
          <w:sz w:val="24"/>
        </w:rPr>
        <w:t>9.1 What this methodology cannot do</w:t>
      </w:r>
    </w:p>
    <w:p>
      <w:pPr>
        <w:spacing w:before="0" w:after="120" w:line="324" w:lineRule="auto"/>
      </w:pPr>
      <w:r>
        <w:rPr>
          <w:rFonts w:ascii="Arial" w:hAnsi="Arial"/>
          <w:color w:val="4A5663"/>
          <w:sz w:val="22"/>
        </w:rPr>
        <w:t>Six honest limitations, each with a remediation path.</w:t>
      </w:r>
    </w:p>
    <w:p>
      <w:pPr>
        <w:pStyle w:val="ListNumber"/>
        <w:spacing w:before="0" w:after="60" w:line="312" w:lineRule="auto"/>
      </w:pPr>
      <w:r>
        <w:rPr>
          <w:rFonts w:ascii="Arial" w:hAnsi="Arial"/>
          <w:b/>
          <w:color w:val="002F5F"/>
          <w:sz w:val="22"/>
        </w:rPr>
        <w:t>No external stakeholder consultation in this cycle.</w:t>
      </w:r>
      <w:r>
        <w:rPr>
          <w:rFonts w:ascii="Arial" w:hAnsi="Arial"/>
          <w:color w:val="4A5663"/>
          <w:sz w:val="22"/>
        </w:rPr>
        <w:t xml:space="preserve"> Mirrors</w:t>
      </w:r>
    </w:p>
    <w:p>
      <w:pPr>
        <w:spacing w:before="0" w:after="120" w:line="324" w:lineRule="auto"/>
      </w:pPr>
      <w:r>
        <w:rPr>
          <w:rFonts w:ascii="Arial" w:hAnsi="Arial"/>
          <w:color w:val="4A5663"/>
          <w:sz w:val="22"/>
        </w:rPr>
        <w:t>Aqualia's own 2025 cycle choice but inherits its consequence. Remediation: the Mitchell–Agle–Wood salience model is a *substitute* for consultation, not a *replacement*. Production- grade version should conduct at least one round of external interviews per stakeholder group over the next CSRD cycle.</w:t>
      </w:r>
    </w:p>
    <w:p>
      <w:pPr>
        <w:pStyle w:val="ListNumber"/>
        <w:spacing w:before="0" w:after="60" w:line="312" w:lineRule="auto"/>
      </w:pPr>
      <w:r>
        <w:rPr>
          <w:rFonts w:ascii="Arial" w:hAnsi="Arial"/>
          <w:b/>
          <w:color w:val="002F5F"/>
          <w:sz w:val="22"/>
        </w:rPr>
        <w:t>No asset-level financial disclosures.</w:t>
      </w:r>
      <w:r>
        <w:rPr>
          <w:rFonts w:ascii="Arial" w:hAnsi="Arial"/>
          <w:color w:val="4A5663"/>
          <w:sz w:val="22"/>
        </w:rPr>
        <w:t xml:space="preserve"> Our €-ranges triangulate</w:t>
      </w:r>
    </w:p>
    <w:p>
      <w:pPr>
        <w:spacing w:before="0" w:after="120" w:line="324" w:lineRule="auto"/>
      </w:pPr>
      <w:r>
        <w:rPr>
          <w:rFonts w:ascii="Arial" w:hAnsi="Arial"/>
          <w:color w:val="4A5663"/>
          <w:sz w:val="22"/>
        </w:rPr>
        <w:t>public segment data, peer benchmarks, and regulatory cost factors. Remediation: the Aqualia CFO's office can narrow the A01, A06, A11, A15 ranges with internal data; ranges are explicitly reported to invite this.</w:t>
      </w:r>
    </w:p>
    <w:p>
      <w:pPr>
        <w:pStyle w:val="ListNumber"/>
        <w:spacing w:before="0" w:after="60" w:line="312" w:lineRule="auto"/>
      </w:pPr>
      <w:r>
        <w:rPr>
          <w:rFonts w:ascii="Arial" w:hAnsi="Arial"/>
          <w:b/>
          <w:color w:val="002F5F"/>
          <w:sz w:val="22"/>
        </w:rPr>
        <w:t>Real Options exhibit is illustrative.</w:t>
      </w:r>
      <w:r>
        <w:rPr>
          <w:rFonts w:ascii="Arial" w:hAnsi="Arial"/>
          <w:color w:val="4A5663"/>
          <w:sz w:val="22"/>
        </w:rPr>
        <w:t xml:space="preserve"> Indicative parameters</w:t>
      </w:r>
    </w:p>
    <w:p>
      <w:pPr>
        <w:spacing w:before="0" w:after="120" w:line="324" w:lineRule="auto"/>
      </w:pPr>
      <w:r>
        <w:rPr>
          <w:rFonts w:ascii="Arial" w:hAnsi="Arial"/>
          <w:color w:val="4A5663"/>
          <w:sz w:val="22"/>
        </w:rPr>
        <w:t>stand in for asset-specific cost of capital, tariff structure, and concession-term conditions. Remediation: re-run the calculation with Aqualia's actual WACC and concession schedule; the methodology itself is production-grade.</w:t>
      </w:r>
    </w:p>
    <w:p>
      <w:pPr>
        <w:pStyle w:val="ListNumber"/>
        <w:spacing w:before="0" w:after="60" w:line="312" w:lineRule="auto"/>
      </w:pPr>
      <w:r>
        <w:rPr>
          <w:rFonts w:ascii="Arial" w:hAnsi="Arial"/>
          <w:b/>
          <w:color w:val="002F5F"/>
          <w:sz w:val="22"/>
        </w:rPr>
        <w:t>ESRS heatmap uses TF-IDF, not dense embeddings.</w:t>
      </w:r>
      <w:r>
        <w:rPr>
          <w:rFonts w:ascii="Arial" w:hAnsi="Arial"/>
          <w:color w:val="4A5663"/>
          <w:sz w:val="22"/>
        </w:rPr>
        <w:t xml:space="preserve"> Multilingual</w:t>
      </w:r>
    </w:p>
    <w:p>
      <w:pPr>
        <w:spacing w:before="0" w:after="120" w:line="324" w:lineRule="auto"/>
      </w:pPr>
      <w:r>
        <w:rPr>
          <w:rFonts w:ascii="Arial" w:hAnsi="Arial"/>
          <w:color w:val="4A5663"/>
          <w:sz w:val="22"/>
        </w:rPr>
        <w:t xml:space="preserve">semantic nuance is partially lost. Remediation: one-line swap to </w:t>
      </w:r>
      <w:r>
        <w:rPr>
          <w:rFonts w:ascii="Consolas" w:hAnsi="Consolas"/>
          <w:color w:val="4A5663"/>
          <w:sz w:val="20"/>
        </w:rPr>
        <w:t>sentence-transformers/paraphrase-multilingual-mpnet-base-v2</w:t>
      </w:r>
      <w:r>
        <w:rPr>
          <w:rFonts w:ascii="Arial" w:hAnsi="Arial"/>
          <w:color w:val="4A5663"/>
          <w:sz w:val="22"/>
        </w:rPr>
        <w:t xml:space="preserve"> recalibrates thresholds but preserves findings.</w:t>
      </w:r>
    </w:p>
    <w:p>
      <w:pPr>
        <w:pStyle w:val="ListNumber"/>
        <w:spacing w:before="0" w:after="60" w:line="312" w:lineRule="auto"/>
      </w:pPr>
      <w:r>
        <w:rPr>
          <w:rFonts w:ascii="Arial" w:hAnsi="Arial"/>
          <w:b/>
          <w:color w:val="002F5F"/>
          <w:sz w:val="22"/>
        </w:rPr>
        <w:t>Aqueduct overlay uses public Aqueduct 4.0 baseline data</w:t>
      </w:r>
      <w:r>
        <w:rPr>
          <w:rFonts w:ascii="Arial" w:hAnsi="Arial"/>
          <w:color w:val="4A5663"/>
          <w:sz w:val="22"/>
        </w:rPr>
        <w:t>, not a</w:t>
      </w:r>
    </w:p>
    <w:p>
      <w:pPr>
        <w:spacing w:before="0" w:after="120" w:line="324" w:lineRule="auto"/>
      </w:pPr>
      <w:r>
        <w:rPr>
          <w:rFonts w:ascii="Arial" w:hAnsi="Arial"/>
          <w:color w:val="4A5663"/>
          <w:sz w:val="22"/>
        </w:rPr>
        <w:t>commissioned hydrological model for Aqualia's concession polygons. Remediation: use EEA Europe's State of Water 2024 to refine at the river-basin level; acquire Aqualia service-polygon GIS data to do pixel-level intersections.</w:t>
      </w:r>
    </w:p>
    <w:p>
      <w:pPr>
        <w:pStyle w:val="ListNumber"/>
        <w:spacing w:before="0" w:after="60" w:line="312" w:lineRule="auto"/>
      </w:pPr>
      <w:r>
        <w:rPr>
          <w:rFonts w:ascii="Arial" w:hAnsi="Arial"/>
          <w:b/>
          <w:color w:val="002F5F"/>
          <w:sz w:val="22"/>
        </w:rPr>
        <w:t>Monte Carlo perturbation = ±0.7 on the 1–5 scale</w:t>
      </w:r>
      <w:r>
        <w:rPr>
          <w:rFonts w:ascii="Arial" w:hAnsi="Arial"/>
          <w:color w:val="4A5663"/>
          <w:sz w:val="22"/>
        </w:rPr>
        <w:t xml:space="preserve"> — a</w:t>
      </w:r>
    </w:p>
    <w:p>
      <w:pPr>
        <w:spacing w:before="0" w:after="120" w:line="324" w:lineRule="auto"/>
      </w:pPr>
      <w:r>
        <w:rPr>
          <w:rFonts w:ascii="Arial" w:hAnsi="Arial"/>
          <w:color w:val="4A5663"/>
          <w:sz w:val="22"/>
        </w:rPr>
        <w:t>methodological judgement. Remediation: sensitivity to this perturbation is reported at PERTURB = 1.0 in the appendix; topic rankings are stable.</w:t>
      </w:r>
    </w:p>
    <w:p>
      <w:pPr>
        <w:spacing w:before="200" w:after="80" w:line="300" w:lineRule="auto"/>
      </w:pPr>
      <w:r>
        <w:rPr>
          <w:rFonts w:ascii="Arial" w:hAnsi="Arial"/>
          <w:b/>
          <w:color w:val="002F5F"/>
          <w:sz w:val="24"/>
        </w:rPr>
        <w:t>9.2 Reverse stress test (Exhibit 17)</w:t>
      </w:r>
    </w:p>
    <w:p>
      <w:pPr>
        <w:spacing w:before="0" w:after="120" w:line="324" w:lineRule="auto"/>
      </w:pPr>
      <w:r>
        <w:rPr>
          <w:rFonts w:ascii="Arial" w:hAnsi="Arial"/>
          <w:color w:val="4A5663"/>
          <w:sz w:val="22"/>
        </w:rPr>
        <w:t>For each topic, we ask: *what would inputs have to do for this topic to exit the Target Zone?*</w:t>
      </w:r>
    </w:p>
    <w:p>
      <w:pPr>
        <w:pStyle w:val="ListBullet"/>
        <w:spacing w:before="0" w:after="60" w:line="312" w:lineRule="auto"/>
      </w:pPr>
      <w:r>
        <w:rPr>
          <w:rFonts w:ascii="Arial" w:hAnsi="Arial"/>
          <w:b/>
          <w:color w:val="002F5F"/>
          <w:sz w:val="22"/>
        </w:rPr>
        <w:t>T1.</w:t>
      </w:r>
      <w:r>
        <w:rPr>
          <w:rFonts w:ascii="Arial" w:hAnsi="Arial"/>
          <w:color w:val="4A5663"/>
          <w:sz w:val="22"/>
        </w:rPr>
        <w:t xml:space="preserve"> Would need simultaneous downward revision of A03 (water-</w:t>
      </w:r>
    </w:p>
    <w:p>
      <w:pPr>
        <w:spacing w:before="0" w:after="120" w:line="324" w:lineRule="auto"/>
      </w:pPr>
      <w:r>
        <w:rPr>
          <w:rFonts w:ascii="Arial" w:hAnsi="Arial"/>
          <w:color w:val="4A5663"/>
          <w:sz w:val="22"/>
        </w:rPr>
        <w:t>stress revenue exposure to &lt;40%), A04 (reuse market &lt;€15 M base), and E1-adaptation.prob to 2 (Possible). The conjunction is highly implausible given WEF and EU Water Resilience Strategy consensus — T1 exits only in a scenario where climate science and EU policy both reverse.</w:t>
      </w:r>
    </w:p>
    <w:p>
      <w:pPr>
        <w:pStyle w:val="ListBullet"/>
        <w:spacing w:before="0" w:after="60" w:line="312" w:lineRule="auto"/>
      </w:pPr>
      <w:r>
        <w:rPr>
          <w:rFonts w:ascii="Arial" w:hAnsi="Arial"/>
          <w:b/>
          <w:color w:val="002F5F"/>
          <w:sz w:val="22"/>
        </w:rPr>
        <w:t>T2.</w:t>
      </w:r>
      <w:r>
        <w:rPr>
          <w:rFonts w:ascii="Arial" w:hAnsi="Arial"/>
          <w:color w:val="4A5663"/>
          <w:sz w:val="22"/>
        </w:rPr>
        <w:t xml:space="preserve"> Would need O-tender-uplift.mag to drop to 1 (Immaterial)</w:t>
      </w:r>
    </w:p>
    <w:p>
      <w:pPr>
        <w:spacing w:before="0" w:after="120" w:line="324" w:lineRule="auto"/>
      </w:pPr>
      <w:r>
        <w:rPr>
          <w:rFonts w:ascii="Arial" w:hAnsi="Arial"/>
          <w:color w:val="4A5663"/>
          <w:sz w:val="22"/>
        </w:rPr>
        <w:t>AND R-cyber-incident.prob to drop to 1 (Remote). Both contradict empirical data (rising utility cyber-incident frequency; digital tender-differentiation documented in peer disclosures).</w:t>
      </w:r>
    </w:p>
    <w:p>
      <w:pPr>
        <w:pStyle w:val="ListBullet"/>
        <w:spacing w:before="0" w:after="60" w:line="312" w:lineRule="auto"/>
      </w:pPr>
      <w:r>
        <w:rPr>
          <w:rFonts w:ascii="Arial" w:hAnsi="Arial"/>
          <w:b/>
          <w:color w:val="002F5F"/>
          <w:sz w:val="22"/>
        </w:rPr>
        <w:t>T3.</w:t>
      </w:r>
      <w:r>
        <w:rPr>
          <w:rFonts w:ascii="Arial" w:hAnsi="Arial"/>
          <w:color w:val="4A5663"/>
          <w:sz w:val="22"/>
        </w:rPr>
        <w:t xml:space="preserve"> Is the sensitive topic and already sits borderline.</w:t>
      </w:r>
    </w:p>
    <w:p>
      <w:pPr>
        <w:spacing w:before="0" w:after="120" w:line="324" w:lineRule="auto"/>
      </w:pPr>
      <w:r>
        <w:rPr>
          <w:rFonts w:ascii="Arial" w:hAnsi="Arial"/>
          <w:color w:val="4A5663"/>
          <w:sz w:val="22"/>
        </w:rPr>
        <w:t>Conditions that *push T3 into the Target Zone* (rather than out): Omnibus-I rollback milder than expected; CoC spread widening beyond 25 bp; Aqualia issuance timing concentrated in higher-spread periods (Italian or Colombian issuance windows).</w:t>
      </w:r>
    </w:p>
    <w:p>
      <w:pPr>
        <w:spacing w:before="200" w:after="80" w:line="300" w:lineRule="auto"/>
      </w:pPr>
      <w:r>
        <w:rPr>
          <w:rFonts w:ascii="Arial" w:hAnsi="Arial"/>
          <w:b/>
          <w:color w:val="002F5F"/>
          <w:sz w:val="24"/>
        </w:rPr>
        <w:t>9.3 Ethical framing</w:t>
      </w:r>
    </w:p>
    <w:p>
      <w:pPr>
        <w:spacing w:before="0" w:after="120" w:line="324" w:lineRule="auto"/>
      </w:pPr>
      <w:r>
        <w:rPr>
          <w:rFonts w:ascii="Arial" w:hAnsi="Arial"/>
          <w:color w:val="4A5663"/>
          <w:sz w:val="22"/>
        </w:rPr>
        <w:t>We attribute all IRO counts, scoring formulas, and the 16 material topics to Aqualia's 2025 comprehensive Double Materiality Review (</w:t>
      </w:r>
      <w:r>
        <w:rPr>
          <w:rFonts w:ascii="Consolas" w:hAnsi="Consolas"/>
          <w:color w:val="4A5663"/>
          <w:sz w:val="20"/>
        </w:rPr>
        <w:t>v2_VF_Aqualia Informe final Revision Doble Materialidad 2025_ENG.pdf</w:t>
      </w:r>
      <w:r>
        <w:rPr>
          <w:rFonts w:ascii="Arial" w:hAnsi="Arial"/>
          <w:color w:val="4A5663"/>
          <w:sz w:val="22"/>
        </w:rPr>
        <w:t xml:space="preserve">, </w:t>
      </w:r>
      <w:r>
        <w:rPr>
          <w:rFonts w:ascii="Consolas" w:hAnsi="Consolas"/>
          <w:color w:val="4A5663"/>
          <w:sz w:val="20"/>
        </w:rPr>
        <w:t>Methodology Double Materiality Assessment Review.pdf</w:t>
      </w:r>
      <w:r>
        <w:rPr>
          <w:rFonts w:ascii="Arial" w:hAnsi="Arial"/>
          <w:color w:val="4A5663"/>
          <w:sz w:val="22"/>
        </w:rPr>
        <w:t>). Our contribution is a methodological extension, not a replacement. All benchmark material is drawn from publicly disclosed peer reports; no confidential or proprietary information is used. Where we identify blind spots, the framing is corrective rather than adversarial — the purpose is to strengthen Aqualia's framework, which is already among the most mature in the Spanish water sector.</w:t>
      </w:r>
    </w:p>
    <w:p>
      <w:pPr>
        <w:spacing w:before="120" w:after="200" w:line="324" w:lineRule="auto"/>
        <w:pBdr>
          <w:bottom w:val="single" w:sz="6" w:color="002f5f"/>
        </w:pBdr>
      </w:pPr>
    </w:p>
    <w:p>
      <w:pPr>
        <w:spacing w:before="280" w:after="120" w:line="300" w:lineRule="auto"/>
        <w:pBdr>
          <w:bottom w:val="single" w:sz="6" w:color="5DB9D9"/>
        </w:pBdr>
      </w:pPr>
      <w:r>
        <w:rPr>
          <w:rFonts w:ascii="Arial" w:hAnsi="Arial"/>
          <w:b/>
          <w:color w:val="002F5F"/>
          <w:sz w:val="30"/>
        </w:rPr>
        <w:t>Appendices</w:t>
      </w:r>
    </w:p>
    <w:p>
      <w:pPr>
        <w:spacing w:before="200" w:after="80" w:line="300" w:lineRule="auto"/>
      </w:pPr>
      <w:r>
        <w:rPr>
          <w:rFonts w:ascii="Arial" w:hAnsi="Arial"/>
          <w:b/>
          <w:color w:val="002F5F"/>
          <w:sz w:val="24"/>
        </w:rPr>
        <w:t>Appendix A — Scoring threshold sheet</w:t>
      </w:r>
    </w:p>
    <w:p>
      <w:pPr>
        <w:spacing w:before="0" w:after="120" w:line="324" w:lineRule="auto"/>
      </w:pPr>
      <w:r>
        <w:rPr>
          <w:rFonts w:ascii="Arial" w:hAnsi="Arial"/>
          <w:color w:val="4A5663"/>
          <w:sz w:val="22"/>
        </w:rPr>
        <w:t xml:space="preserve">Full version of </w:t>
      </w:r>
      <w:r>
        <w:rPr>
          <w:rFonts w:ascii="Consolas" w:hAnsi="Consolas"/>
          <w:color w:val="4A5663"/>
          <w:sz w:val="20"/>
        </w:rPr>
        <w:t>03_analysis/scoring_rubric.md</w:t>
      </w:r>
      <w:r>
        <w:rPr>
          <w:rFonts w:ascii="Arial" w:hAnsi="Arial"/>
          <w:color w:val="4A5663"/>
          <w:sz w:val="22"/>
        </w:rPr>
        <w:t xml:space="preserve"> §2–§3 reproduced. Each sub-criterion (Scale, Scope, Remediability, Probability, Magnitude) with 1–5 thresholds, water-sector calibrations, and cited sources (ESRS 1 §43–51; EFRAG IG-1 §53–69; SASB Water Utilities metric set; WRI Aqueduct population bands; MSCI 2024 Water Utilities sub- weights).</w:t>
      </w:r>
    </w:p>
    <w:p>
      <w:pPr>
        <w:spacing w:before="200" w:after="80" w:line="300" w:lineRule="auto"/>
      </w:pPr>
      <w:r>
        <w:rPr>
          <w:rFonts w:ascii="Arial" w:hAnsi="Arial"/>
          <w:b/>
          <w:color w:val="002F5F"/>
          <w:sz w:val="24"/>
        </w:rPr>
        <w:t>Appendix B — Assumption log (A01–A17)</w:t>
      </w:r>
    </w:p>
    <w:p>
      <w:pPr>
        <w:spacing w:before="0" w:after="120" w:line="324" w:lineRule="auto"/>
      </w:pPr>
      <w:r>
        <w:rPr>
          <w:rFonts w:ascii="Arial" w:hAnsi="Arial"/>
          <w:color w:val="4A5663"/>
          <w:sz w:val="22"/>
        </w:rPr>
        <w:t>Every numeric assumption used in the financial section, with source, range, and the section of the report where it appears. Numbered for audit cross-reference.</w:t>
      </w:r>
    </w:p>
    <w:p>
      <w:pPr>
        <w:spacing w:before="200" w:after="80" w:line="300" w:lineRule="auto"/>
      </w:pPr>
      <w:r>
        <w:rPr>
          <w:rFonts w:ascii="Arial" w:hAnsi="Arial"/>
          <w:b/>
          <w:color w:val="002F5F"/>
          <w:sz w:val="24"/>
        </w:rPr>
        <w:t>Appendix C — ESRS datapoint coverage (Exhibit — full heatmap)</w:t>
      </w:r>
    </w:p>
    <w:p>
      <w:pPr>
        <w:spacing w:before="0" w:after="120" w:line="324" w:lineRule="auto"/>
      </w:pPr>
      <w:r>
        <w:rPr>
          <w:rFonts w:ascii="Arial" w:hAnsi="Arial"/>
          <w:color w:val="4A5663"/>
          <w:sz w:val="22"/>
        </w:rPr>
        <w:t xml:space="preserve">Output from </w:t>
      </w:r>
      <w:r>
        <w:rPr>
          <w:rFonts w:ascii="Consolas" w:hAnsi="Consolas"/>
          <w:color w:val="4A5663"/>
          <w:sz w:val="20"/>
        </w:rPr>
        <w:t>03_analysis/coverage_matrix.csv</w:t>
      </w:r>
      <w:r>
        <w:rPr>
          <w:rFonts w:ascii="Arial" w:hAnsi="Arial"/>
          <w:color w:val="4A5663"/>
          <w:sz w:val="22"/>
        </w:rPr>
        <w:t>. One row per ESRS datapoint with coverage band, cosine-similarity score, and the top-matching Aqualia report chunk (with source file and page number) for audit.</w:t>
      </w:r>
    </w:p>
    <w:p>
      <w:pPr>
        <w:spacing w:before="200" w:after="80" w:line="300" w:lineRule="auto"/>
      </w:pPr>
      <w:r>
        <w:rPr>
          <w:rFonts w:ascii="Arial" w:hAnsi="Arial"/>
          <w:b/>
          <w:color w:val="002F5F"/>
          <w:sz w:val="24"/>
        </w:rPr>
        <w:t>Appendix D — Monte Carlo technical note</w:t>
      </w:r>
    </w:p>
    <w:p>
      <w:pPr>
        <w:spacing w:before="0" w:after="120" w:line="324" w:lineRule="auto"/>
      </w:pPr>
      <w:r>
        <w:rPr>
          <w:rFonts w:ascii="Arial" w:hAnsi="Arial"/>
          <w:color w:val="4A5663"/>
          <w:sz w:val="22"/>
        </w:rPr>
        <w:t>Triangular distribution specification; Dirichlet prior on stakeholder weights; top-k aggregation derivation; 2D χ² ellipse construction; seed control (42) for reproducibility.</w:t>
      </w:r>
    </w:p>
    <w:p>
      <w:pPr>
        <w:spacing w:before="200" w:after="80" w:line="300" w:lineRule="auto"/>
      </w:pPr>
      <w:r>
        <w:rPr>
          <w:rFonts w:ascii="Arial" w:hAnsi="Arial"/>
          <w:b/>
          <w:color w:val="002F5F"/>
          <w:sz w:val="24"/>
        </w:rPr>
        <w:t>Appendix E — Peer material-topic cross-walk</w:t>
      </w:r>
    </w:p>
    <w:p>
      <w:pPr>
        <w:spacing w:before="0" w:after="120" w:line="324" w:lineRule="auto"/>
      </w:pPr>
      <w:r>
        <w:rPr>
          <w:rFonts w:ascii="Arial" w:hAnsi="Arial"/>
          <w:color w:val="4A5663"/>
          <w:sz w:val="22"/>
        </w:rPr>
        <w:t>Full 14-column version of the peer-benchmark matrix (Veolia, Suez, Saur, Facsa, Global Omnium, Severn Trent), with qualitative coverage marks and short justification per cell. Exhibit 3.</w:t>
      </w:r>
    </w:p>
    <w:p>
      <w:pPr>
        <w:spacing w:before="200" w:after="80" w:line="300" w:lineRule="auto"/>
      </w:pPr>
      <w:r>
        <w:rPr>
          <w:rFonts w:ascii="Arial" w:hAnsi="Arial"/>
          <w:b/>
          <w:color w:val="002F5F"/>
          <w:sz w:val="24"/>
        </w:rPr>
        <w:t>Appendix F — Expert input</w:t>
      </w:r>
    </w:p>
    <w:p>
      <w:pPr>
        <w:spacing w:before="0" w:after="120" w:line="324" w:lineRule="auto"/>
      </w:pPr>
      <w:r>
        <w:rPr>
          <w:rFonts w:ascii="Arial" w:hAnsi="Arial"/>
          <w:color w:val="4A5663"/>
          <w:sz w:val="22"/>
        </w:rPr>
        <w:t>To be populated after the LinkedIn outreach in §P2.1 of the Final Readiness punch list. Format: one-paragraph attribution, one direct quote, one follow-up question trail.</w:t>
      </w:r>
    </w:p>
    <w:p>
      <w:pPr>
        <w:spacing w:before="200" w:after="80" w:line="300" w:lineRule="auto"/>
      </w:pPr>
      <w:r>
        <w:rPr>
          <w:rFonts w:ascii="Arial" w:hAnsi="Arial"/>
          <w:b/>
          <w:color w:val="002F5F"/>
          <w:sz w:val="24"/>
        </w:rPr>
        <w:t>Appendix G — References / Bibliography</w:t>
      </w:r>
    </w:p>
    <w:p>
      <w:pPr>
        <w:spacing w:before="0" w:after="120" w:line="324" w:lineRule="auto"/>
      </w:pPr>
      <w:r>
        <w:rPr>
          <w:rFonts w:ascii="Arial" w:hAnsi="Arial"/>
          <w:color w:val="4A5663"/>
          <w:sz w:val="22"/>
        </w:rPr>
        <w:t xml:space="preserve">47 entries grouped by source type: EU/European regulation (13); Spanish regulation (3); standards &amp; frameworks (7); rating-agency methodologies (3); data sources (7); academic references (3); industry/peer disclosures (11). Full list at </w:t>
      </w:r>
      <w:r>
        <w:rPr>
          <w:rFonts w:ascii="Consolas" w:hAnsi="Consolas"/>
          <w:color w:val="4A5663"/>
          <w:sz w:val="20"/>
        </w:rPr>
        <w:t>05_report/references.md</w:t>
      </w:r>
      <w:r>
        <w:rPr>
          <w:rFonts w:ascii="Arial" w:hAnsi="Arial"/>
          <w:color w:val="4A5663"/>
          <w:sz w:val="22"/>
        </w:rPr>
        <w:t>.</w:t>
      </w:r>
    </w:p>
    <w:p>
      <w:pPr>
        <w:spacing w:before="200" w:after="80" w:line="300" w:lineRule="auto"/>
      </w:pPr>
      <w:r>
        <w:rPr>
          <w:rFonts w:ascii="Arial" w:hAnsi="Arial"/>
          <w:b/>
          <w:color w:val="002F5F"/>
          <w:sz w:val="24"/>
        </w:rPr>
        <w:t>Appendix H — Data and code</w:t>
      </w:r>
    </w:p>
    <w:p>
      <w:pPr>
        <w:spacing w:before="0" w:after="120" w:line="324" w:lineRule="auto"/>
      </w:pPr>
      <w:r>
        <w:rPr>
          <w:rFonts w:ascii="Arial" w:hAnsi="Arial"/>
          <w:color w:val="4A5663"/>
          <w:sz w:val="22"/>
        </w:rPr>
        <w:t xml:space="preserve">Reproducibility trail. All analysis artefacts are in the repo at </w:t>
      </w:r>
      <w:r>
        <w:rPr>
          <w:rFonts w:ascii="Consolas" w:hAnsi="Consolas"/>
          <w:color w:val="4A5663"/>
          <w:sz w:val="20"/>
        </w:rPr>
        <w:t>03_analysis/</w:t>
      </w:r>
      <w:r>
        <w:rPr>
          <w:rFonts w:ascii="Arial" w:hAnsi="Arial"/>
          <w:color w:val="4A5663"/>
          <w:sz w:val="22"/>
        </w:rPr>
        <w:t xml:space="preserve"> (scoring rubric, stakeholder salience, financials, Monte Carlo, gap heatmap) and </w:t>
      </w:r>
      <w:r>
        <w:rPr>
          <w:rFonts w:ascii="Consolas" w:hAnsi="Consolas"/>
          <w:color w:val="4A5663"/>
          <w:sz w:val="20"/>
        </w:rPr>
        <w:t>04_matrix/</w:t>
      </w:r>
      <w:r>
        <w:rPr>
          <w:rFonts w:ascii="Arial" w:hAnsi="Arial"/>
          <w:color w:val="4A5663"/>
          <w:sz w:val="22"/>
        </w:rPr>
        <w:t xml:space="preserve"> (rendered figures). Python pipeline files: </w:t>
      </w:r>
      <w:r>
        <w:rPr>
          <w:rFonts w:ascii="Consolas" w:hAnsi="Consolas"/>
          <w:color w:val="4A5663"/>
          <w:sz w:val="20"/>
        </w:rPr>
        <w:t>matrix_mc.py</w:t>
      </w:r>
      <w:r>
        <w:rPr>
          <w:rFonts w:ascii="Arial" w:hAnsi="Arial"/>
          <w:color w:val="4A5663"/>
          <w:sz w:val="22"/>
        </w:rPr>
        <w:t xml:space="preserve">, </w:t>
      </w:r>
      <w:r>
        <w:rPr>
          <w:rFonts w:ascii="Consolas" w:hAnsi="Consolas"/>
          <w:color w:val="4A5663"/>
          <w:sz w:val="20"/>
        </w:rPr>
        <w:t>matrix_inputs.py</w:t>
      </w:r>
      <w:r>
        <w:rPr>
          <w:rFonts w:ascii="Arial" w:hAnsi="Arial"/>
          <w:color w:val="4A5663"/>
          <w:sz w:val="22"/>
        </w:rPr>
        <w:t xml:space="preserve">, </w:t>
      </w:r>
      <w:r>
        <w:rPr>
          <w:rFonts w:ascii="Consolas" w:hAnsi="Consolas"/>
          <w:color w:val="4A5663"/>
          <w:sz w:val="20"/>
        </w:rPr>
        <w:t>esrs_gap_heatmap.py</w:t>
      </w:r>
      <w:r>
        <w:rPr>
          <w:rFonts w:ascii="Arial" w:hAnsi="Arial"/>
          <w:color w:val="4A5663"/>
          <w:sz w:val="22"/>
        </w:rPr>
        <w:t xml:space="preserve">, </w:t>
      </w:r>
      <w:r>
        <w:rPr>
          <w:rFonts w:ascii="Consolas" w:hAnsi="Consolas"/>
          <w:color w:val="4A5663"/>
          <w:sz w:val="20"/>
        </w:rPr>
        <w:t>esrs_datapoints.csv</w:t>
      </w:r>
      <w:r>
        <w:rPr>
          <w:rFonts w:ascii="Arial" w:hAnsi="Arial"/>
          <w:color w:val="4A5663"/>
          <w:sz w:val="22"/>
        </w:rPr>
        <w:t xml:space="preserve">. Interactive dashboard: </w:t>
      </w:r>
      <w:r>
        <w:rPr>
          <w:rFonts w:ascii="Consolas" w:hAnsi="Consolas"/>
          <w:color w:val="4A5663"/>
          <w:sz w:val="20"/>
        </w:rPr>
        <w:t>07_streamlit/app.py</w:t>
      </w:r>
      <w:r>
        <w:rPr>
          <w:rFonts w:ascii="Arial" w:hAnsi="Arial"/>
          <w:color w:val="4A5663"/>
          <w:sz w:val="22"/>
        </w:rPr>
        <w:t xml:space="preserve">. Visual system: </w:t>
      </w:r>
      <w:r>
        <w:rPr>
          <w:rFonts w:ascii="Consolas" w:hAnsi="Consolas"/>
          <w:color w:val="4A5663"/>
          <w:sz w:val="20"/>
        </w:rPr>
        <w:t>08_visual_system/</w:t>
      </w:r>
      <w:r>
        <w:rPr>
          <w:rFonts w:ascii="Arial" w:hAnsi="Arial"/>
          <w:color w:val="4A5663"/>
          <w:sz w:val="22"/>
        </w:rPr>
        <w:t>. Every exhibit in this report ties to a file in the repo.</w:t>
      </w:r>
    </w:p>
    <w:p>
      <w:pPr>
        <w:spacing w:before="120" w:after="200" w:line="324" w:lineRule="auto"/>
        <w:pBdr>
          <w:bottom w:val="single" w:sz="6" w:color="002f5f"/>
        </w:pBdr>
      </w:pPr>
    </w:p>
    <w:p>
      <w:pPr>
        <w:spacing w:before="0" w:after="120" w:line="324" w:lineRule="auto"/>
      </w:pPr>
      <w:r>
        <w:rPr>
          <w:rFonts w:ascii="Arial" w:hAnsi="Arial"/>
          <w:color w:val="4A5663"/>
          <w:sz w:val="22"/>
        </w:rPr>
        <w:t>*Report compiled by Team @ma731 for the IE Sustainability Datathon March 2026, Double Materiality &amp; ESG Strategy track, Aqualia brief.*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4A5663"/>
        <w:sz w:val="16"/>
      </w:rPr>
      <w:t>Water as Strategy — Aqualia Double Materiality Framework  ·  IE Sustainability Datathon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566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