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bidi/>
        <w:spacing w:after="800" w:before="0" w:line="348" w:lineRule="auto"/>
        <w:jc w:val="center"/>
      </w:pPr>
      <w:r>
        <w:rPr>
          <w:rFonts w:ascii="Times New Roman" w:hAnsi="Times New Roman" w:cs="Noto Naskh Arabic"/>
          <w:b/>
          <w:bCs w:val="1"/>
          <w:i w:val="0"/>
          <w:color w:val="555555"/>
          <w:sz w:val="26"/>
          <w:szCs w:val="26"/>
          <w:rtl/>
          <w:cs/>
        </w:rPr>
        <w:t>شركة Aystro</w:t>
      </w:r>
    </w:p>
    <w:p>
      <w:pPr>
        <w:keepNext w:val="0"/>
        <w:bidi/>
        <w:spacing w:after="200" w:before="0" w:line="300" w:lineRule="auto"/>
        <w:jc w:val="center"/>
      </w:pPr>
      <w:r>
        <w:rPr>
          <w:rFonts w:ascii="Times New Roman" w:hAnsi="Times New Roman" w:cs="Noto Naskh Arabic"/>
          <w:b/>
          <w:bCs w:val="1"/>
          <w:i w:val="0"/>
          <w:color w:val="1A3A5C"/>
          <w:sz w:val="42"/>
          <w:szCs w:val="42"/>
          <w:rtl/>
          <w:cs/>
        </w:rPr>
        <w:t>التدقيق الآلي للرفوف التجارية: تحديث التقدّم التقني</w:t>
      </w:r>
    </w:p>
    <w:p>
      <w:pPr>
        <w:keepNext w:val="0"/>
        <w:bidi/>
        <w:spacing w:after="1280" w:before="0" w:line="348" w:lineRule="auto"/>
        <w:jc w:val="center"/>
      </w:pPr>
      <w:r>
        <w:rPr>
          <w:rFonts w:ascii="Times New Roman" w:hAnsi="Times New Roman" w:cs="Noto Naskh Arabic"/>
          <w:b w:val="0"/>
          <w:i w:val="0"/>
          <w:color w:val="555555"/>
          <w:sz w:val="28"/>
          <w:szCs w:val="28"/>
          <w:rtl/>
          <w:cs/>
        </w:rPr>
        <w:t>تقرير تقدّم بحث وتطوير</w:t>
      </w:r>
    </w:p>
    <w:p>
      <w:pPr>
        <w:bidi/>
        <w:spacing w:after="140"/>
        <w:jc w:val="center"/>
      </w:pPr>
      <w:r>
        <w:rPr>
          <w:rFonts w:ascii="Times New Roman" w:hAnsi="Times New Roman" w:cs="Noto Naskh Arabic"/>
          <w:b/>
          <w:bCs w:val="1"/>
          <w:i w:val="0"/>
          <w:color w:val="555555"/>
          <w:sz w:val="23"/>
          <w:szCs w:val="23"/>
          <w:rtl/>
          <w:cs/>
        </w:rPr>
        <w:t xml:space="preserve">إعداد:  </w:t>
      </w:r>
      <w:r>
        <w:rPr>
          <w:rFonts w:ascii="Times New Roman" w:hAnsi="Times New Roman" w:cs="Noto Naskh Arabic"/>
          <w:b w:val="0"/>
          <w:i w:val="0"/>
          <w:color w:val="111111"/>
          <w:sz w:val="23"/>
          <w:szCs w:val="23"/>
          <w:rtl/>
          <w:cs/>
        </w:rPr>
        <w:t>محمود فراس فنون</w:t>
      </w:r>
    </w:p>
    <w:p>
      <w:pPr>
        <w:bidi/>
        <w:spacing w:after="140"/>
        <w:jc w:val="center"/>
      </w:pPr>
      <w:r>
        <w:rPr>
          <w:rFonts w:ascii="Times New Roman" w:hAnsi="Times New Roman" w:cs="Noto Naskh Arabic"/>
          <w:b/>
          <w:bCs w:val="1"/>
          <w:i w:val="0"/>
          <w:color w:val="555555"/>
          <w:sz w:val="23"/>
          <w:szCs w:val="23"/>
          <w:rtl/>
          <w:cs/>
        </w:rPr>
        <w:t xml:space="preserve">الجهة:  </w:t>
      </w:r>
      <w:r>
        <w:rPr>
          <w:rFonts w:ascii="Times New Roman" w:hAnsi="Times New Roman" w:cs="Noto Naskh Arabic"/>
          <w:b w:val="0"/>
          <w:i w:val="0"/>
          <w:color w:val="111111"/>
          <w:sz w:val="23"/>
          <w:szCs w:val="23"/>
          <w:rtl/>
          <w:cs/>
        </w:rPr>
        <w:t>شركة Aystro</w:t>
      </w:r>
    </w:p>
    <w:p>
      <w:pPr>
        <w:bidi/>
        <w:spacing w:after="140"/>
        <w:jc w:val="center"/>
      </w:pPr>
      <w:r>
        <w:rPr>
          <w:rFonts w:ascii="Times New Roman" w:hAnsi="Times New Roman" w:cs="Noto Naskh Arabic"/>
          <w:b/>
          <w:bCs w:val="1"/>
          <w:i w:val="0"/>
          <w:color w:val="555555"/>
          <w:sz w:val="23"/>
          <w:szCs w:val="23"/>
          <w:rtl/>
          <w:cs/>
        </w:rPr>
        <w:t xml:space="preserve">فترة التقرير:  </w:t>
      </w:r>
      <w:r>
        <w:rPr>
          <w:rFonts w:ascii="Times New Roman" w:hAnsi="Times New Roman" w:cs="Noto Naskh Arabic"/>
          <w:b w:val="0"/>
          <w:i w:val="0"/>
          <w:color w:val="111111"/>
          <w:sz w:val="23"/>
          <w:szCs w:val="23"/>
          <w:rtl/>
          <w:cs/>
        </w:rPr>
        <w:t>٢٧ تموز ٢٠٢٦ – ١٧ آب ٢٠٢٦</w:t>
      </w:r>
    </w:p>
    <w:p>
      <w:pPr>
        <w:bidi/>
        <w:spacing w:after="140"/>
        <w:jc w:val="center"/>
      </w:pPr>
      <w:r>
        <w:rPr>
          <w:rFonts w:ascii="Times New Roman" w:hAnsi="Times New Roman" w:cs="Noto Naskh Arabic"/>
          <w:b/>
          <w:bCs w:val="1"/>
          <w:i w:val="0"/>
          <w:color w:val="555555"/>
          <w:sz w:val="23"/>
          <w:szCs w:val="23"/>
          <w:rtl/>
          <w:cs/>
        </w:rPr>
        <w:t xml:space="preserve">تاريخ التسليم:  </w:t>
      </w:r>
      <w:r>
        <w:rPr>
          <w:rFonts w:ascii="Times New Roman" w:hAnsi="Times New Roman" w:cs="Noto Naskh Arabic"/>
          <w:b w:val="0"/>
          <w:i w:val="0"/>
          <w:color w:val="111111"/>
          <w:sz w:val="23"/>
          <w:szCs w:val="23"/>
          <w:rtl/>
          <w:cs/>
        </w:rPr>
        <w:t>١٧ آب ٢٠٢٦</w:t>
      </w:r>
    </w:p>
    <w:p>
      <w:r>
        <w:br w:type="page"/>
      </w:r>
    </w:p>
    <w:p>
      <w:pPr>
        <w:keepNext/>
        <w:bidi/>
        <w:spacing w:before="360" w:after="140"/>
        <w:jc w:val="right"/>
      </w:pPr>
      <w:r>
        <w:rPr>
          <w:rFonts w:ascii="Times New Roman" w:hAnsi="Times New Roman" w:cs="Noto Naskh Arabic"/>
          <w:b/>
          <w:bCs w:val="1"/>
          <w:i w:val="0"/>
          <w:color w:val="1A3A5C"/>
          <w:sz w:val="28"/>
          <w:szCs w:val="28"/>
          <w:rtl/>
          <w:cs/>
        </w:rPr>
        <w:t>الملخص التنفيذي</w:t>
      </w:r>
    </w:p>
    <w:p>
      <w:pPr>
        <w:keepNext w:val="0"/>
        <w:bidi/>
        <w:spacing w:after="160" w:before="0" w:line="348" w:lineRule="auto"/>
        <w:jc w:val="both"/>
      </w:pPr>
      <w:r>
        <w:rPr>
          <w:rFonts w:ascii="Times New Roman" w:hAnsi="Times New Roman" w:cs="Noto Naskh Arabic"/>
          <w:b w:val="0"/>
          <w:i w:val="0"/>
          <w:color w:val="111111"/>
          <w:sz w:val="22"/>
          <w:szCs w:val="22"/>
          <w:rtl/>
          <w:cs/>
        </w:rPr>
        <w:t>يُحدِّث هذا التقرير مسار عمل Aystro التدريبي الميداني حول التدقيق الآلي للرفوف: ما الذي أُنجِز، وما الذي قِيس فعلياً، وما الذي ما يزال مفتوحاً. فمنذ المراجعة السابقة، انتقلت معمارية «الكشف ثم التصنيف» المرحلية من مثال واحد يعمل (Fanta) إلى نمط مُكرَّر ومُثبَت: فقد دُرِّب مُصنِّف ثانٍ لمتغيّرات علامة تجارية (XL Energy) وإشارة جديدة لمادة التعبئة، وكلاهما دُمِج في خط المعالجة الحي بالطريقة ذاتها، وباتت مادة التعبئة الآن جزءاً من النتيجة التي يُبلِغ عنها التطبيق إلى جانب العلامة والمتغيّر، بدلاً من أن تبقى في حقل منفصل لا يقرأه أحد.</w:t>
      </w:r>
    </w:p>
    <w:p>
      <w:pPr>
        <w:keepNext w:val="0"/>
        <w:bidi/>
        <w:spacing w:after="160" w:before="0" w:line="348" w:lineRule="auto"/>
        <w:jc w:val="both"/>
      </w:pPr>
      <w:r>
        <w:rPr>
          <w:rFonts w:ascii="Times New Roman" w:hAnsi="Times New Roman" w:cs="Noto Naskh Arabic"/>
          <w:b w:val="0"/>
          <w:i w:val="0"/>
          <w:color w:val="111111"/>
          <w:sz w:val="22"/>
          <w:szCs w:val="22"/>
          <w:rtl/>
          <w:cs/>
        </w:rPr>
        <w:t>أما الادّعاء المعماري المحوري — أن فصل «أين يقع المنتج» عن «ما هو هذا المنتج» يُبقي كلفة نمو الكتالوج منخفضة — فبات مدعوماً الآن بأدلة على التعقيد الحسابي، لا بأرقام الكلفة وحدها. فحصر تشغيل مُصنِّفات المتغيّرات خلف خطوة توجيه خفّض استدعاءات المُصنِّف لكل صورة من نمو مرتبط بعدد المنتجات وعدد مُصنِّفات المتغيّرات معاً (O(N×K))‎ إلى نمو مرتبط بعدد المنتجات فقط (O(N))‎، وقِيس ذلك بخفض ٦٥٪ في زمن التصنيف (من ٤٠٫٣ ثانية إلى ١٤٫٢ ثانية)، ويصمد الآن مع مُصنِّفَي متغيّرات مستقلَّين لا مُصنِّف واحد. وعلى نحو منفصل، لم تكلّف إضافة كل مُصنِّف متغيّر جديد أكثر من ساعات من التعليم ونموذج صغير واحد، من دون إعادة تدريب الكاشف أو مُصنِّف العلامة — وقد تكرر ذلك مرتين، وهو سبب وصف كلفة نمو الكتالوج الحدّية بأنها صغيرة وشبه ثابتة، لا استنتاجاً من مثال منفرد.</w:t>
      </w:r>
    </w:p>
    <w:p>
      <w:pPr>
        <w:keepNext w:val="0"/>
        <w:bidi/>
        <w:spacing w:after="160" w:before="0" w:line="348" w:lineRule="auto"/>
        <w:jc w:val="both"/>
      </w:pPr>
      <w:r>
        <w:rPr>
          <w:rFonts w:ascii="Times New Roman" w:hAnsi="Times New Roman" w:cs="Noto Naskh Arabic"/>
          <w:b w:val="0"/>
          <w:i w:val="0"/>
          <w:color w:val="111111"/>
          <w:sz w:val="22"/>
          <w:szCs w:val="22"/>
          <w:rtl/>
          <w:cs/>
        </w:rPr>
        <w:t>والتقرير صريح بالقدر ذاته فيما يخص ما ما يزال مفتوحاً. فلا يوجد حتى الآن أي مُصنِّف في المجموعة الحالية يحمل رقم دقة مُسجَّلاً رسمياً، لسبب محدد ومفهوم (القسم الثالث)، كما أن متغيّرات نكهة الكوكاكولا ما تزال معلَّقة بفعل فجوة بيانات حقيقية، أكّدها تدقيقٌ مستقلٌّ ثانٍ خلال هذه الفترة.</w:t>
      </w:r>
    </w:p>
    <w:p>
      <w:r>
        <w:br w:type="page"/>
      </w:r>
    </w:p>
    <w:p>
      <w:pPr>
        <w:keepNext/>
        <w:bidi/>
        <w:spacing w:before="360" w:after="140"/>
        <w:jc w:val="right"/>
      </w:pPr>
      <w:r>
        <w:rPr>
          <w:rFonts w:ascii="Times New Roman" w:hAnsi="Times New Roman" w:cs="Noto Naskh Arabic"/>
          <w:b/>
          <w:bCs w:val="1"/>
          <w:i w:val="0"/>
          <w:color w:val="1A3A5C"/>
          <w:sz w:val="28"/>
          <w:szCs w:val="28"/>
          <w:rtl/>
          <w:cs/>
        </w:rPr>
        <w:t>١. المشكلة التجارية</w:t>
      </w:r>
    </w:p>
    <w:p>
      <w:pPr>
        <w:keepNext w:val="0"/>
        <w:bidi/>
        <w:spacing w:after="160" w:before="0" w:line="348" w:lineRule="auto"/>
        <w:jc w:val="both"/>
      </w:pPr>
      <w:r>
        <w:rPr>
          <w:rFonts w:ascii="Times New Roman" w:hAnsi="Times New Roman" w:cs="Noto Naskh Arabic"/>
          <w:b w:val="0"/>
          <w:i w:val="0"/>
          <w:color w:val="111111"/>
          <w:sz w:val="23"/>
          <w:szCs w:val="23"/>
          <w:rtl/>
          <w:cs/>
        </w:rPr>
        <w:t>إن حضور علامة تجارية على الرف — عدد الوحدات المخزَّنة، وكيفية ترتيبها، وحصة كل منافس من مساحة الرف — معلومة تجارية يدفع المصنِّعون وتجار التجزئة ثمن معرفتها، وتُجمَع اليوم عبر شخص يجول الممرات بلوحة تدوين أو هاتف. والفرصة هي تحويل صورة عادية للرف إلى بيانات مخزون مُهيكلة وموثوقة آلياً، وبالحجم والسرعة اللذين يتعذّر على التدقيق اليدوي بلوغهما.</w:t>
      </w:r>
    </w:p>
    <w:p>
      <w:pPr>
        <w:keepNext w:val="0"/>
        <w:bidi/>
        <w:spacing w:after="160" w:before="0" w:line="348" w:lineRule="auto"/>
        <w:jc w:val="both"/>
      </w:pPr>
      <w:r>
        <w:rPr>
          <w:rFonts w:ascii="Times New Roman" w:hAnsi="Times New Roman" w:cs="Noto Naskh Arabic"/>
          <w:b w:val="0"/>
          <w:i w:val="0"/>
          <w:color w:val="111111"/>
          <w:sz w:val="23"/>
          <w:szCs w:val="23"/>
          <w:rtl/>
          <w:cs/>
        </w:rPr>
        <w:t>أما التحدي التقني فهو أن هذه في حقيقتها مسألتان تُطرحان على كل كائن في الصورة في آنٍ معاً: أين يقع، وما هو. والنظام الذي يجيب عن السؤالين بنموذج واحد يستوجب إعادة تدريبه على الكتالوج بأكمله كلما تغيّر منتج واحد — وهذا هو العبء الذي تتفاداه معمارية القسم الثاني، ويقيس القسم الثالث ما إذا كانت تحقق ذلك فعلياً.</w:t>
      </w:r>
    </w:p>
    <w:p>
      <w:pPr>
        <w:keepNext/>
        <w:bidi/>
        <w:spacing w:before="360" w:after="140"/>
        <w:jc w:val="right"/>
      </w:pPr>
      <w:r>
        <w:rPr>
          <w:rFonts w:ascii="Times New Roman" w:hAnsi="Times New Roman" w:cs="Noto Naskh Arabic"/>
          <w:b/>
          <w:bCs w:val="1"/>
          <w:i w:val="0"/>
          <w:color w:val="1A3A5C"/>
          <w:sz w:val="28"/>
          <w:szCs w:val="28"/>
          <w:rtl/>
          <w:cs/>
        </w:rPr>
        <w:t>٢. ما الذي بُني: المعمارية</w:t>
      </w:r>
    </w:p>
    <w:p>
      <w:pPr>
        <w:keepNext w:val="0"/>
        <w:bidi/>
        <w:spacing w:after="160" w:before="0" w:line="348" w:lineRule="auto"/>
        <w:jc w:val="both"/>
      </w:pPr>
      <w:r>
        <w:rPr>
          <w:rFonts w:ascii="Times New Roman" w:hAnsi="Times New Roman" w:cs="Noto Naskh Arabic"/>
          <w:b w:val="0"/>
          <w:i w:val="0"/>
          <w:color w:val="111111"/>
          <w:sz w:val="23"/>
          <w:szCs w:val="23"/>
          <w:rtl/>
          <w:cs/>
        </w:rPr>
        <w:t>إن أي نموذج واحد يصنّف كل منتج مباشرةً بحسب هويته يستوجب إعادة تدريب كامل كلما دخلت وحدة مخزون جديدة إلى الكتالوج، ويعاني إحصائياً أيضاً: فمجموعة تدريب ثابتة مقسَّمة على أصناف علامات كثيرة تُجوِّع الأصناف الأندر (القسم ٣.١). والنظام المبنيّ خلال هذه الفترة يفصل بدلاً من ذلك الجزء المتقلّب من المشكلة (هوية المنتج) عن الجزء المستقر (وجود الكائن)، ويُضيّق فضاء القرار مرحلةً بعد مرحلة:</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الأولى — الكشف. كاشف محايد صنفياً يحدد موضع كل منتج تحت صنف عام واحد هو «product»، بصرف النظر عن العلامة، فلا يستوجب أبداً إعادة تدريب عند ظهور وحدة مخزون جديدة.</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الثانية — تصنيف العلامة التجارية. تُقتطع كل منطقة مكتشَفة وتُصنَّف بحسب الشركة المصنِّعة — طبقة صغيرة ومستقرة، لأن مجموعة العلامات تتغير أبطأ بكثير من مجموعة المنتجات.</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الثالثة — تصنيف المتغيّر، بشرط التوجيه. حين تُحدِّد المرحلة الثانية علامةً لها مُصنِّف متغيّرات خاص بها، تستدعي خطوة توجيه ذلك المُصنِّف وحده لا كل مُصنِّفات المتغيّرات. وعلامتان موصولتان بهذا النمط اليوم: Fanta (النكهة) وXL Energy (النكهة/الصيغة).</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الرابعة — مادة التعبئة، بلا شرط. مُصنِّف مستقل عن العلامة (علبة / بلاستيك / زجاج) يعمل على كل قصاصة، وتُدمَج نتيجته في التصنيف ذاته الذي يعرضه التطبيق إلى جانب العلامة والمتغيّر.</w:t>
      </w:r>
    </w:p>
    <w:p>
      <w:pPr>
        <w:keepNext w:val="0"/>
        <w:bidi/>
        <w:spacing w:after="160" w:before="0" w:line="348" w:lineRule="auto"/>
        <w:jc w:val="both"/>
      </w:pPr>
      <w:r>
        <w:rPr>
          <w:rFonts w:ascii="Times New Roman" w:hAnsi="Times New Roman" w:cs="Noto Naskh Arabic"/>
          <w:b w:val="0"/>
          <w:i w:val="0"/>
          <w:color w:val="111111"/>
          <w:sz w:val="23"/>
          <w:szCs w:val="23"/>
          <w:rtl/>
          <w:cs/>
        </w:rPr>
        <w:t>وهذا مُنفَّذ عبر سير عمل Roboflow هرمي حي، لا اقتراح نظري. والتوجيه في المرحلة الثالثة هو التغيير المعماري المقيس في القسم ٣.٣: فهو ما يمنع استدعاءات المُصنِّف من النمو مع عدد مُصنِّفات المتغيّرات المنشورة، وهو أمر تتزايد أهميته مع انضمام مزيد من العلامات إلى مُصنِّف خاص بها.</w:t>
      </w:r>
    </w:p>
    <w:p>
      <w:pPr>
        <w:keepNext/>
        <w:bidi/>
        <w:spacing w:before="360" w:after="140"/>
        <w:jc w:val="right"/>
      </w:pPr>
      <w:r>
        <w:rPr>
          <w:rFonts w:ascii="Times New Roman" w:hAnsi="Times New Roman" w:cs="Noto Naskh Arabic"/>
          <w:b/>
          <w:bCs w:val="1"/>
          <w:i w:val="0"/>
          <w:color w:val="1A3A5C"/>
          <w:sz w:val="28"/>
          <w:szCs w:val="28"/>
          <w:rtl/>
          <w:cs/>
        </w:rPr>
        <w:t>٣. الأدلة: هل يعمل؟</w:t>
      </w:r>
    </w:p>
    <w:p>
      <w:pPr>
        <w:keepNext/>
        <w:bidi/>
        <w:spacing w:before="240" w:after="140"/>
        <w:jc w:val="right"/>
      </w:pPr>
      <w:r>
        <w:rPr>
          <w:rFonts w:ascii="Times New Roman" w:hAnsi="Times New Roman" w:cs="Noto Naskh Arabic"/>
          <w:b/>
          <w:bCs w:val="1"/>
          <w:i w:val="0"/>
          <w:color w:val="1A3A5C"/>
          <w:sz w:val="24"/>
          <w:szCs w:val="24"/>
          <w:rtl/>
          <w:cs/>
        </w:rPr>
        <w:t>٣.١ دقة الكاشف: تغيير معماري، مقيس</w:t>
      </w:r>
    </w:p>
    <w:p>
      <w:pPr>
        <w:keepNext w:val="0"/>
        <w:bidi/>
        <w:spacing w:after="160" w:before="0" w:line="348" w:lineRule="auto"/>
        <w:jc w:val="both"/>
      </w:pPr>
      <w:r>
        <w:rPr>
          <w:rFonts w:ascii="Times New Roman" w:hAnsi="Times New Roman" w:cs="Noto Naskh Arabic"/>
          <w:b w:val="0"/>
          <w:i w:val="0"/>
          <w:color w:val="111111"/>
          <w:sz w:val="23"/>
          <w:szCs w:val="23"/>
          <w:rtl/>
          <w:cs/>
        </w:rPr>
        <w:t>قُورِن الكاشف الأصلي المُصنَّف بالعلامة التجارية بالكاشف الحالي المحايد صنفياً عند أنضج نسخة من كلٍّ منهما، وكلاهما على نموذج RF-DETR-large.</w:t>
      </w:r>
    </w:p>
    <w:p>
      <w:pPr>
        <w:keepNext/>
        <w:bidi/>
        <w:spacing w:before="240" w:after="100"/>
        <w:jc w:val="center"/>
      </w:pPr>
      <w:r>
        <w:rPr>
          <w:rFonts w:ascii="Times New Roman" w:hAnsi="Times New Roman" w:cs="Noto Naskh Arabic"/>
          <w:b/>
          <w:bCs w:val="1"/>
          <w:i w:val="0"/>
          <w:color w:val="555555"/>
          <w:sz w:val="19"/>
          <w:szCs w:val="19"/>
          <w:rtl/>
          <w:cs/>
        </w:rPr>
        <w:t xml:space="preserve">الجدول ١. </w:t>
      </w:r>
      <w:r>
        <w:rPr>
          <w:rFonts w:ascii="Times New Roman" w:hAnsi="Times New Roman" w:cs="Noto Naskh Arabic"/>
          <w:b w:val="0"/>
          <w:i w:val="0"/>
          <w:color w:val="555555"/>
          <w:sz w:val="19"/>
          <w:szCs w:val="19"/>
          <w:rtl/>
          <w:cs/>
        </w:rPr>
        <w:t>دقة الكاشف: المعمارية الأصلية المُصنَّفة بالعلامة التجارية مقابل المعمارية الحالية المحايدة صنفياً، وكلتاهما على نموذج RF-DETR-large.</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المقياس</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الأصلي (مُصنَّف بالعلامة، ٦ أصناف)</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الحالي (محايد صنفياً)</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صور التدريب</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١٬١٩١</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٣٨٤</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متوسط الدقة ٥٠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٨٦٫٩٢٪</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٨٩٫٣٪</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الدقة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٨٢٫٧٪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٩٠٫٥٪</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الاستدعاء</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٨٥٫٨٪</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٨١٫١٪</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تبلغ المعمارية الحالية دقة أعلى ودقة إجمالية أعلى على نحو ثلث صور التدريب التي احتاجها النهج الأصلي. أما الاستدعاء فأدنى قليلاً لسبب معروف لا معماري: فنحو ٨٠٠ صورة مُعلَّمة سلفاً من المشروع الأصلي لم تُرحَّل بعد. وترحيلها إعادة تسمية برمجية لا عمل تعليم جديد، ويظل أعلى إجراء قريب المدى قيمةً في هذا التقرير (القسم ٨).</w:t>
      </w:r>
    </w:p>
    <w:p>
      <w:pPr>
        <w:keepNext/>
        <w:bidi/>
        <w:spacing w:before="240" w:after="140"/>
        <w:jc w:val="right"/>
      </w:pPr>
      <w:r>
        <w:rPr>
          <w:rFonts w:ascii="Times New Roman" w:hAnsi="Times New Roman" w:cs="Noto Naskh Arabic"/>
          <w:b/>
          <w:bCs w:val="1"/>
          <w:i w:val="0"/>
          <w:color w:val="1A3A5C"/>
          <w:sz w:val="24"/>
          <w:szCs w:val="24"/>
          <w:rtl/>
          <w:cs/>
        </w:rPr>
        <w:t>٣.٢ دقة المُصنِّفات: غير مقيسة، لسبب معروف</w:t>
      </w:r>
    </w:p>
    <w:p>
      <w:pPr>
        <w:keepNext w:val="0"/>
        <w:bidi/>
        <w:spacing w:after="160" w:before="0" w:line="348" w:lineRule="auto"/>
        <w:jc w:val="both"/>
      </w:pPr>
      <w:r>
        <w:rPr>
          <w:rFonts w:ascii="Times New Roman" w:hAnsi="Times New Roman" w:cs="Noto Naskh Arabic"/>
          <w:b w:val="0"/>
          <w:i w:val="0"/>
          <w:color w:val="111111"/>
          <w:sz w:val="23"/>
          <w:szCs w:val="23"/>
          <w:rtl/>
          <w:cs/>
        </w:rPr>
        <w:t>لا يحمل أي من المُصنِّفات الأربعة الحية — العلامة، وFanta، وXL Energy، ومادة التعبئة — تقييم دقة مُسجَّلاً رسمياً. والسبب فجوة في مستوى الخطة: فالتقييم الآلي للنموذج في منصة التدريب ميزةٌ حصرية بخطة مدفوعة تعمل عند التدريب فقط، من دون وسيلة لتشغيلها لاحقاً، وكل مُصنِّف دُرِّب حتى الآن سابق لهذه الميزة. ولا يُدَّعى في هذا التقرير أي رقم دقة لم يُقَس فعلياً؛ وسد هذه الفجوة أول بند في القسم ٨.</w:t>
      </w:r>
    </w:p>
    <w:p>
      <w:pPr>
        <w:keepNext w:val="0"/>
        <w:bidi/>
        <w:spacing w:after="160" w:before="0" w:line="348" w:lineRule="auto"/>
        <w:jc w:val="both"/>
      </w:pPr>
      <w:r>
        <w:rPr>
          <w:rFonts w:ascii="Times New Roman" w:hAnsi="Times New Roman" w:cs="Noto Naskh Arabic"/>
          <w:b w:val="0"/>
          <w:i w:val="0"/>
          <w:color w:val="111111"/>
          <w:sz w:val="23"/>
          <w:szCs w:val="23"/>
          <w:rtl/>
          <w:cs/>
        </w:rPr>
        <w:t>أُعيد فحص متغيّرات نكهة الكوكاكولا هذه الفترة بتدقيق مستقل ثانٍ — بفرز جميع القصاصات المتاحة البالغة ٣٠١ بحسب اللون السائد — وتوصّل إلى النتيجة ذاتها السابقة: نحو ٩٥٪ كلاسيكية، من دون أي مثال مؤكد لـ Zero. وهذه فجوة تصوير، لا فجوة نمذجة.</w:t>
      </w:r>
    </w:p>
    <w:p>
      <w:pPr>
        <w:keepNext/>
        <w:bidi/>
        <w:spacing w:before="240" w:after="140"/>
        <w:jc w:val="right"/>
      </w:pPr>
      <w:r>
        <w:rPr>
          <w:rFonts w:ascii="Times New Roman" w:hAnsi="Times New Roman" w:cs="Noto Naskh Arabic"/>
          <w:b/>
          <w:bCs w:val="1"/>
          <w:i w:val="0"/>
          <w:color w:val="1A3A5C"/>
          <w:sz w:val="24"/>
          <w:szCs w:val="24"/>
          <w:rtl/>
          <w:cs/>
        </w:rPr>
        <w:t>٣.٣ التعقيد الحسابي: ما الذي حققه تغيير التوجيه</w:t>
      </w:r>
    </w:p>
    <w:p>
      <w:pPr>
        <w:keepNext w:val="0"/>
        <w:bidi/>
        <w:spacing w:after="160" w:before="0" w:line="348" w:lineRule="auto"/>
        <w:jc w:val="both"/>
      </w:pPr>
      <w:r>
        <w:rPr>
          <w:rFonts w:ascii="Times New Roman" w:hAnsi="Times New Roman" w:cs="Noto Naskh Arabic"/>
          <w:b w:val="0"/>
          <w:i w:val="0"/>
          <w:color w:val="111111"/>
          <w:sz w:val="23"/>
          <w:szCs w:val="23"/>
          <w:rtl/>
          <w:cs/>
        </w:rPr>
        <w:t>قبل هذه الفترة، كان كل مُصنِّف قد ينطبق على علامة تجارية يعمل على كل قصاصة من تلك العلامة من دون شرط: فN منتجاً مكتشَفاً وK مُصنِّف متغيّرات كانا يعنيان حتى N×K استدعاء للمُصنِّف. وعلى صورة حقيقية تضم ٦٠ قصاصة، عمل مُصنِّف Fanta على القصاصات الستين جميعها رغم أن ١٢ فقط كانت فعلياً Fanta.</w:t>
      </w:r>
    </w:p>
    <w:p>
      <w:pPr>
        <w:keepNext w:val="0"/>
        <w:bidi/>
        <w:spacing w:after="160" w:before="0" w:line="348" w:lineRule="auto"/>
        <w:jc w:val="both"/>
      </w:pPr>
      <w:r>
        <w:rPr>
          <w:rFonts w:ascii="Times New Roman" w:hAnsi="Times New Roman" w:cs="Noto Naskh Arabic"/>
          <w:b w:val="0"/>
          <w:i w:val="0"/>
          <w:color w:val="111111"/>
          <w:sz w:val="23"/>
          <w:szCs w:val="23"/>
          <w:rtl/>
          <w:cs/>
        </w:rPr>
        <w:t>وحصر كل مُصنِّف متغيّرات خلف خطوة توجيه، بحيث لا يعمل إلا على القصاصات التي طابقها مُصنِّف العلامة أصلاً، يُحوّل النمو إلى الارتباط بـN وحدها بصرف النظر عن K. وعلى الصورة ذاتها، قِيس خفضٌ بنسبة ٦٥٪ في زمن التصنيف (من ٤٠٫٣ ثانية إلى ١٤٫٢ ثانية) بمُخرَجات مطابقة. وطُبِّق النمط ذاته مرة ثانية هذه الفترة بإضافة XL Energy إلى جانب Fanta، وصمدت المكسبة مع مُصنِّفَين فعّالين لا واحد.</w:t>
      </w:r>
    </w:p>
    <w:p>
      <w:pPr>
        <w:keepNext/>
        <w:bidi/>
        <w:spacing w:before="360" w:after="140"/>
        <w:jc w:val="right"/>
      </w:pPr>
      <w:r>
        <w:rPr>
          <w:rFonts w:ascii="Times New Roman" w:hAnsi="Times New Roman" w:cs="Noto Naskh Arabic"/>
          <w:b/>
          <w:bCs w:val="1"/>
          <w:i w:val="0"/>
          <w:color w:val="1A3A5C"/>
          <w:sz w:val="28"/>
          <w:szCs w:val="28"/>
          <w:rtl/>
          <w:cs/>
        </w:rPr>
        <w:t>٤. الاقتصاد: كلفة التوسّع</w:t>
      </w:r>
    </w:p>
    <w:p>
      <w:pPr>
        <w:keepNext w:val="0"/>
        <w:bidi/>
        <w:spacing w:after="160" w:before="0" w:line="348" w:lineRule="auto"/>
        <w:jc w:val="both"/>
      </w:pPr>
      <w:r>
        <w:rPr>
          <w:rFonts w:ascii="Times New Roman" w:hAnsi="Times New Roman" w:cs="Noto Naskh Arabic"/>
          <w:b w:val="0"/>
          <w:i w:val="0"/>
          <w:color w:val="111111"/>
          <w:sz w:val="23"/>
          <w:szCs w:val="23"/>
          <w:rtl/>
          <w:cs/>
        </w:rPr>
        <w:t>المخاطرة التجارية المحورية في أي منتج يعتمد على كتالوج هي أن يصبح النمو مكلفاً. وقد اختيرت هذه المعمارية خصيصاً لتفادي ذلك، ويستند الادّعاء إلى الكلف الفعلية المقيسة في هذه الفترة، والتي تغطي الآن خمسة نماذج مُدرَّبة.</w:t>
      </w:r>
    </w:p>
    <w:p>
      <w:pPr>
        <w:keepNext/>
        <w:bidi/>
        <w:spacing w:before="240" w:after="100"/>
        <w:jc w:val="center"/>
      </w:pPr>
      <w:r>
        <w:rPr>
          <w:rFonts w:ascii="Times New Roman" w:hAnsi="Times New Roman" w:cs="Noto Naskh Arabic"/>
          <w:b/>
          <w:bCs w:val="1"/>
          <w:i w:val="0"/>
          <w:color w:val="555555"/>
          <w:sz w:val="19"/>
          <w:szCs w:val="19"/>
          <w:rtl/>
          <w:cs/>
        </w:rPr>
        <w:t xml:space="preserve">الجدول ٢. </w:t>
      </w:r>
      <w:r>
        <w:rPr>
          <w:rFonts w:ascii="Times New Roman" w:hAnsi="Times New Roman" w:cs="Noto Naskh Arabic"/>
          <w:b w:val="0"/>
          <w:i w:val="0"/>
          <w:color w:val="555555"/>
          <w:sz w:val="19"/>
          <w:szCs w:val="19"/>
          <w:rtl/>
          <w:cs/>
        </w:rPr>
        <w:t>الكلفة الفعلية لتدريب كل نموذج في المجموعة الإنتاجية الحالية، وفق معدل Roboflow المُعلَن البالغ رصيداً واحداً لكل ثلاثين دقيقة تدريب.</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النموذج</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زمن التدريب</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أرصدة التدريب</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الكاشف الأصلي (النسخة الأولى)</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١١٫٢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٠٫٣٧</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الكاشف الإنتاجي الحالي</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٤٤٫٢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١٫٤٨</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العلامة (النسخة الحالية)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٩٫١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٠٫٣٠</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نكهة Fanta</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٧٫٢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٠٫٢٤</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متغيّر XL Energy</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٤٫٤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٠٫١٥</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مادة التعبئة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٧٫٠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٠٫٢٣</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بلغت كلفة تدريب المجموعة الكاملة المؤلفة من خمسة نماذج نحو ٢٫٨ رصيد (أقل من تسعين دقيقة من زمن معالج الرسوميات) إجمالاً، منذ البداية — جزء ضئيل من مخصصات شهر واحد في أرخص خطة مدفوعة. وينبغي دوماً التحقق من الأسعار الفعلية بالدولار مباشرة من أسعار Roboflow المُعلَنة بدلاً من الاستشهاد بها هنا كرقم ثابت.</w:t>
      </w:r>
    </w:p>
    <w:p>
      <w:pPr>
        <w:keepNext w:val="0"/>
        <w:bidi/>
        <w:spacing w:after="160" w:before="0" w:line="348" w:lineRule="auto"/>
        <w:jc w:val="both"/>
      </w:pPr>
      <w:r>
        <w:rPr>
          <w:rFonts w:ascii="Times New Roman" w:hAnsi="Times New Roman" w:cs="Noto Naskh Arabic"/>
          <w:b w:val="0"/>
          <w:i w:val="0"/>
          <w:color w:val="111111"/>
          <w:sz w:val="23"/>
          <w:szCs w:val="23"/>
          <w:rtl/>
          <w:cs/>
        </w:rPr>
        <w:t>أما الرقم الأبلغ أثراً فهو الكلفة الحدّية لنمو الكتالوج. فقد كلّفت إضافة تمييز متغيّرات XL Energy الشكل ذاته من العمل الذي كلّفته Fanta سابقاً — تعليم بضع مئات من القصاصات المتاحة أصلاً وتدريب مُصنِّف صغير موجَّه واحد، من دون أي تغيير في الكاشف أو مُصنِّف العلامة — وأُنجِز خلال ساعات لا أسابيع. وينطبق النمط ذاته على استقبال شركة جديدة: فقاعدة البيانات متعددة المستأجرين بحكم التصميم، فاستقبال عميل جديد عملية إدخال بيانات لا تغيير برمجي.</w:t>
      </w:r>
    </w:p>
    <w:p>
      <w:pPr>
        <w:keepNext w:val="0"/>
        <w:bidi/>
        <w:spacing w:after="160" w:before="0" w:line="348" w:lineRule="auto"/>
        <w:jc w:val="both"/>
      </w:pPr>
      <w:r>
        <w:rPr>
          <w:rFonts w:ascii="Times New Roman" w:hAnsi="Times New Roman" w:cs="Noto Naskh Arabic"/>
          <w:b w:val="0"/>
          <w:i w:val="0"/>
          <w:color w:val="111111"/>
          <w:sz w:val="23"/>
          <w:szCs w:val="23"/>
          <w:rtl/>
          <w:cs/>
        </w:rPr>
        <w:t>وثمة كلفة حقيقية لم تُقَس بعد: فخط المعالجة يُصدر الآن استدعاء علامة واستدعاء مادة تعبئة غير مشروط لكل منتج مكتشَف، إضافة إلى استدعاء متغيّر حين يُفعَّل التوجيه. وينبغي قياس ذلك من الاستخدام الحي قبل الاستشهاد به كرقم (القسم ٦).</w:t>
      </w:r>
    </w:p>
    <w:p>
      <w:pPr>
        <w:keepNext/>
        <w:bidi/>
        <w:spacing w:before="360" w:after="140"/>
        <w:jc w:val="right"/>
      </w:pPr>
      <w:r>
        <w:rPr>
          <w:rFonts w:ascii="Times New Roman" w:hAnsi="Times New Roman" w:cs="Noto Naskh Arabic"/>
          <w:b/>
          <w:bCs w:val="1"/>
          <w:i w:val="0"/>
          <w:color w:val="1A3A5C"/>
          <w:sz w:val="28"/>
          <w:szCs w:val="28"/>
          <w:rtl/>
          <w:cs/>
        </w:rPr>
        <w:t>٥. التطبيق: مُثبَت ميدانياً</w:t>
      </w:r>
    </w:p>
    <w:p>
      <w:pPr>
        <w:keepNext w:val="0"/>
        <w:bidi/>
        <w:spacing w:after="160" w:before="0" w:line="348" w:lineRule="auto"/>
        <w:jc w:val="both"/>
      </w:pPr>
      <w:r>
        <w:rPr>
          <w:rFonts w:ascii="Times New Roman" w:hAnsi="Times New Roman" w:cs="Noto Naskh Arabic"/>
          <w:b w:val="0"/>
          <w:i w:val="0"/>
          <w:color w:val="111111"/>
          <w:sz w:val="23"/>
          <w:szCs w:val="23"/>
          <w:rtl/>
          <w:cs/>
        </w:rPr>
        <w:t>تطبيق متعدد المنصّات، طُوِّر جنباً إلى جنب مع معمارية النموذج، يُحوّل مُخرَجات النموذج إلى عملية تجارية قابلة للاستخدام لا عرضاً بحثياً: فهو يُوحِّد معايير الالتقاط الميداني، ويُشغِّل خط معالجة الكشف على كل صورة، ويُقحِم مراجعاً بشرياً بين مُخرَج النموذج الخام وأي رقم يُبلَّغ عنه كحقيقة.</w:t>
      </w:r>
    </w:p>
    <w:p>
      <w:pPr>
        <w:keepNext w:val="0"/>
        <w:bidi/>
        <w:spacing w:after="160" w:before="0" w:line="348" w:lineRule="auto"/>
        <w:jc w:val="both"/>
      </w:pPr>
      <w:r>
        <w:rPr>
          <w:rFonts w:ascii="Times New Roman" w:hAnsi="Times New Roman" w:cs="Noto Naskh Arabic"/>
          <w:b w:val="0"/>
          <w:i w:val="0"/>
          <w:color w:val="111111"/>
          <w:sz w:val="23"/>
          <w:szCs w:val="23"/>
          <w:rtl/>
          <w:cs/>
        </w:rPr>
        <w:t>ومنذ المراجعة السابقة نما التطبيق متجاوزاً الالتقاط والمراجعة الأوّليين إلى التقارير التي طلبتها الأعمال فعلياً — واجهة «التقديمات» تتيح لمسؤول الشركة رؤية ما سجّله المندوب الميداني، وتقرير «حصة الرف» من العلامة إلى المتغيّر — وباتت مادة التعبئة الآن تُرافق التصنيف ذاته الذي يعرضه التطبيق ويُبلِغ عنه، بدلاً من أن تبقى غير مستخدَمة في حقل منفصل. كما تُرقّي تحذير جودة الالتقاط المنخفضة من إشعار يسهل تفويته إلى نافذة حوار يجب على المندوب رفضها فعلياً.</w:t>
      </w:r>
    </w:p>
    <w:p>
      <w:pPr>
        <w:keepNext/>
        <w:spacing w:before="240" w:after="80"/>
        <w:jc w:val="center"/>
      </w:pPr>
      <w:r>
        <w:drawing>
          <wp:inline xmlns:a="http://schemas.openxmlformats.org/drawingml/2006/main" xmlns:pic="http://schemas.openxmlformats.org/drawingml/2006/picture">
            <wp:extent cx="3891120" cy="5580000"/>
            <wp:docPr id="1" name="Picture 1"/>
            <wp:cNvGraphicFramePr>
              <a:graphicFrameLocks noChangeAspect="1"/>
            </wp:cNvGraphicFramePr>
            <a:graphic>
              <a:graphicData uri="http://schemas.openxmlformats.org/drawingml/2006/picture">
                <pic:pic>
                  <pic:nvPicPr>
                    <pic:cNvPr id="0" name="fig4_app.jpg"/>
                    <pic:cNvPicPr/>
                  </pic:nvPicPr>
                  <pic:blipFill>
                    <a:blip r:embed="rId9"/>
                    <a:stretch>
                      <a:fillRect/>
                    </a:stretch>
                  </pic:blipFill>
                  <pic:spPr>
                    <a:xfrm>
                      <a:off x="0" y="0"/>
                      <a:ext cx="3891120" cy="55800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١. </w:t>
      </w:r>
      <w:r>
        <w:rPr>
          <w:rFonts w:ascii="Times New Roman" w:hAnsi="Times New Roman" w:cs="Noto Naskh Arabic"/>
          <w:b w:val="0"/>
          <w:i w:val="0"/>
          <w:color w:val="555555"/>
          <w:sz w:val="19"/>
          <w:szCs w:val="19"/>
          <w:rtl/>
          <w:cs/>
        </w:rPr>
        <w:t>التطبيق وهو يراجع التقاطاً حياً — ٧٥ اكتشافاً أُعيدت لبرّاد واحد، مع حصص ثقة العلامة محسوبة أسفلها. وتزاحمُ التسميات الظاهر هنا دليل حقيقي بذاته على أن المحرِّر الخاضع للمراجعة البشرية، لا القبول الآلي الكامل، هو التصميم الملائم لمشاهد الرفوف الكثيفة.</w:t>
      </w:r>
    </w:p>
    <w:p>
      <w:pPr>
        <w:keepNext/>
        <w:bidi/>
        <w:spacing w:before="360" w:after="140"/>
        <w:jc w:val="right"/>
      </w:pPr>
      <w:r>
        <w:rPr>
          <w:rFonts w:ascii="Times New Roman" w:hAnsi="Times New Roman" w:cs="Noto Naskh Arabic"/>
          <w:b/>
          <w:bCs w:val="1"/>
          <w:i w:val="0"/>
          <w:color w:val="1A3A5C"/>
          <w:sz w:val="28"/>
          <w:szCs w:val="28"/>
          <w:rtl/>
          <w:cs/>
        </w:rPr>
        <w:t>٦. المخاطر والفجوات المفتوحة</w:t>
      </w:r>
    </w:p>
    <w:p>
      <w:pPr>
        <w:keepNext w:val="0"/>
        <w:bidi/>
        <w:spacing w:after="120" w:before="0" w:line="348" w:lineRule="auto"/>
        <w:jc w:val="both"/>
      </w:pPr>
      <w:r>
        <w:rPr>
          <w:rFonts w:ascii="Times New Roman" w:hAnsi="Times New Roman" w:cs="Noto Naskh Arabic"/>
          <w:b w:val="0"/>
          <w:i w:val="0"/>
          <w:color w:val="111111"/>
          <w:sz w:val="23"/>
          <w:szCs w:val="23"/>
          <w:rtl/>
          <w:cs/>
        </w:rPr>
        <w:t>١. دقة المُصنِّفات غير مقيسة، لسبب معروف. فالمُصنِّفات الأربعة جميعها حية من دون تقييم مُسجَّل لأن التقييم الآلي محجوب خلف مستوى خطة لا تملكها مساحة العمل. وسدّ هذه الفجوة يستوجب ترقية الخطة.</w:t>
      </w:r>
    </w:p>
    <w:p>
      <w:pPr>
        <w:keepNext w:val="0"/>
        <w:bidi/>
        <w:spacing w:after="120" w:before="0" w:line="348" w:lineRule="auto"/>
        <w:jc w:val="both"/>
      </w:pPr>
      <w:r>
        <w:rPr>
          <w:rFonts w:ascii="Times New Roman" w:hAnsi="Times New Roman" w:cs="Noto Naskh Arabic"/>
          <w:b w:val="0"/>
          <w:i w:val="0"/>
          <w:color w:val="111111"/>
          <w:sz w:val="23"/>
          <w:szCs w:val="23"/>
          <w:rtl/>
          <w:cs/>
        </w:rPr>
        <w:t>٢. فجوة استدعاء الكاشف تعود إلى سبب معروف: نحو ٨٠٠ صورة مُعلَّمة سلفاً من المشروع الأصلي لم تُرحَّل بعد. مهمة هندسة بيانات، لا بحث جديد.</w:t>
      </w:r>
    </w:p>
    <w:p>
      <w:pPr>
        <w:keepNext w:val="0"/>
        <w:bidi/>
        <w:spacing w:after="120" w:before="0" w:line="348" w:lineRule="auto"/>
        <w:jc w:val="both"/>
      </w:pPr>
      <w:r>
        <w:rPr>
          <w:rFonts w:ascii="Times New Roman" w:hAnsi="Times New Roman" w:cs="Noto Naskh Arabic"/>
          <w:b w:val="0"/>
          <w:i w:val="0"/>
          <w:color w:val="111111"/>
          <w:sz w:val="23"/>
          <w:szCs w:val="23"/>
          <w:rtl/>
          <w:cs/>
        </w:rPr>
        <w:t>٣. تنوّع نكهة الكوكاكولا غير موجود في البيانات الحالية، وقد تأكد ذلك مرتين بفارق أشهر. والحل تصوير جديد موجَّه، لا إعادة تسمية — وهو خيار استُبعِد أصلاً.</w:t>
      </w:r>
    </w:p>
    <w:p>
      <w:pPr>
        <w:keepNext w:val="0"/>
        <w:bidi/>
        <w:spacing w:after="120" w:before="0" w:line="348" w:lineRule="auto"/>
        <w:jc w:val="both"/>
      </w:pPr>
      <w:r>
        <w:rPr>
          <w:rFonts w:ascii="Times New Roman" w:hAnsi="Times New Roman" w:cs="Noto Naskh Arabic"/>
          <w:b w:val="0"/>
          <w:i w:val="0"/>
          <w:color w:val="111111"/>
          <w:sz w:val="23"/>
          <w:szCs w:val="23"/>
          <w:rtl/>
          <w:cs/>
        </w:rPr>
        <w:t>٤. مُصنِّف متغيّرات XL Energy مُدرَّب لكنه غير متوازن بشدة: يستأثر صنف واحد بنسبة ٨٥٪ من الأمثلة، وثلاثة من الأصناف الخمسة يقل كل منها عن عشرة أمثلة. حيّ وقابل للاستخدام، لكنه سيستفيد من تصوير موجَّه للمتغيّرات ناقصة التمثيل.</w:t>
      </w:r>
    </w:p>
    <w:p>
      <w:pPr>
        <w:keepNext w:val="0"/>
        <w:bidi/>
        <w:spacing w:after="120" w:before="0" w:line="348" w:lineRule="auto"/>
        <w:jc w:val="both"/>
      </w:pPr>
      <w:r>
        <w:rPr>
          <w:rFonts w:ascii="Times New Roman" w:hAnsi="Times New Roman" w:cs="Noto Naskh Arabic"/>
          <w:b w:val="0"/>
          <w:i w:val="0"/>
          <w:color w:val="111111"/>
          <w:sz w:val="23"/>
          <w:szCs w:val="23"/>
          <w:rtl/>
          <w:cs/>
        </w:rPr>
        <w:t>٥. كلفة الاستدلال لكل منتج عند التوسّع لم تُقَس بعد. وينبغي أن يأتي الأثر الفعلي للكلفة من الاستخدام الحي قبل استخدامه في أي إسقاط.</w:t>
      </w:r>
    </w:p>
    <w:p>
      <w:pPr>
        <w:keepNext/>
        <w:bidi/>
        <w:spacing w:before="360" w:after="140"/>
        <w:jc w:val="right"/>
      </w:pPr>
      <w:r>
        <w:rPr>
          <w:rFonts w:ascii="Times New Roman" w:hAnsi="Times New Roman" w:cs="Noto Naskh Arabic"/>
          <w:b/>
          <w:bCs w:val="1"/>
          <w:i w:val="0"/>
          <w:color w:val="1A3A5C"/>
          <w:sz w:val="28"/>
          <w:szCs w:val="28"/>
          <w:rtl/>
          <w:cs/>
        </w:rPr>
        <w:t>٧. الصعوبات المُواجَهة</w:t>
      </w:r>
    </w:p>
    <w:p>
      <w:pPr>
        <w:keepNext w:val="0"/>
        <w:bidi/>
        <w:spacing w:after="160" w:before="0" w:line="348" w:lineRule="auto"/>
        <w:jc w:val="both"/>
      </w:pPr>
      <w:r>
        <w:rPr>
          <w:rFonts w:ascii="Times New Roman" w:hAnsi="Times New Roman" w:cs="Noto Naskh Arabic"/>
          <w:b w:val="0"/>
          <w:i w:val="0"/>
          <w:color w:val="111111"/>
          <w:sz w:val="23"/>
          <w:szCs w:val="23"/>
          <w:rtl/>
          <w:cs/>
        </w:rPr>
        <w:t>كانت أصعب مشكلة في هذه الفترة تشخيص إخفاقات كان عرَضها الظاهر يشير بعيداً عن سببها الحقيقي. فمسألة نكهة الكوكاكولا بدت، ظاهرياً، وكأن المُصنِّف يحتاج تدريباً أكثر؛ لكن القيد الفعلي أن التصوير الأساسي لا يحوي المتغيّرات المطلوبة أصلاً — وهو أمر لا يظهر إلا بتدقيق صور التدريب مباشرة، لا بضبط النموذج.</w:t>
      </w:r>
    </w:p>
    <w:p>
      <w:pPr>
        <w:keepNext w:val="0"/>
        <w:bidi/>
        <w:spacing w:after="160" w:before="0" w:line="348" w:lineRule="auto"/>
        <w:jc w:val="both"/>
      </w:pPr>
      <w:r>
        <w:rPr>
          <w:rFonts w:ascii="Times New Roman" w:hAnsi="Times New Roman" w:cs="Noto Naskh Arabic"/>
          <w:b w:val="0"/>
          <w:i w:val="0"/>
          <w:color w:val="111111"/>
          <w:sz w:val="23"/>
          <w:szCs w:val="23"/>
          <w:rtl/>
          <w:cs/>
        </w:rPr>
        <w:t>وثانيتها قيد منصة حقيقي لا خللاً في عمل هذا المشروع بذاته: فتقييم الدقة الخاص بكل مُصنِّف في منصة التدريب لا يعمل تلقائياً إلا عند التدريب، وضمن مستوى خطة مدفوعة لا تملكها مساحة العمل هذه، من دون وسيلة لتشغيله لاحقاً على تدريب منتهٍ سلفاً. وهذا بات الآن قيداً معروفاً ومُسمّى لا سؤالاً مفتوحاً، لكنه يحدّ مباشرة مما يمكن الادّعاء به عن دقة المُصنِّفات في هذا التقرير.</w:t>
      </w:r>
    </w:p>
    <w:p>
      <w:pPr>
        <w:keepNext/>
        <w:bidi/>
        <w:spacing w:before="360" w:after="140"/>
        <w:jc w:val="right"/>
      </w:pPr>
      <w:r>
        <w:rPr>
          <w:rFonts w:ascii="Times New Roman" w:hAnsi="Times New Roman" w:cs="Noto Naskh Arabic"/>
          <w:b/>
          <w:bCs w:val="1"/>
          <w:i w:val="0"/>
          <w:color w:val="1A3A5C"/>
          <w:sz w:val="28"/>
          <w:szCs w:val="28"/>
          <w:rtl/>
          <w:cs/>
        </w:rPr>
        <w:t>٨. التوصية والخطوات القادمة وما نحتاجه</w:t>
      </w:r>
    </w:p>
    <w:p>
      <w:pPr>
        <w:keepNext w:val="0"/>
        <w:bidi/>
        <w:spacing w:after="160" w:before="0" w:line="348" w:lineRule="auto"/>
        <w:jc w:val="both"/>
      </w:pPr>
      <w:r>
        <w:rPr>
          <w:rFonts w:ascii="Times New Roman" w:hAnsi="Times New Roman" w:cs="Noto Naskh Arabic"/>
          <w:b w:val="0"/>
          <w:i w:val="0"/>
          <w:color w:val="111111"/>
          <w:sz w:val="23"/>
          <w:szCs w:val="23"/>
          <w:rtl/>
          <w:cs/>
        </w:rPr>
        <w:t>التوصية هي الاستمرار في المعمارية الحالية. فهي أدق قياسياً على ثلث بيانات التدريب، بزيادة في كلفة التدريب أصغر من أن تُذكَر عبر خمسة نماذج، ونمط المُصنِّف الموجَّه الذي يمنع استدعاءات المُصنِّف من التضاعف مع حجم الكتالوج أصبح مُثبَتاً مرتين. والبنود المفتوحة أدناه محددة وزهيدة الكلفة فردياً؛ ولا يشير أيٌّ منها إلى خلل في التصميم الأساسي.</w:t>
      </w:r>
    </w:p>
    <w:p>
      <w:pPr>
        <w:keepNext w:val="0"/>
        <w:bidi/>
        <w:spacing w:after="160" w:before="0" w:line="348" w:lineRule="auto"/>
        <w:jc w:val="both"/>
      </w:pPr>
      <w:r>
        <w:rPr>
          <w:rFonts w:ascii="Times New Roman" w:hAnsi="Times New Roman" w:cs="Noto Naskh Arabic"/>
          <w:b w:val="0"/>
          <w:i w:val="0"/>
          <w:color w:val="111111"/>
          <w:sz w:val="23"/>
          <w:szCs w:val="23"/>
          <w:rtl/>
          <w:cs/>
        </w:rPr>
        <w:t>ترتيب العمل المقترح: أولاً، تشغيل تقييمات المُصنِّفات المفقودة وترحيل نحو ٨٠٠ صورة كاشف لم تُرحَّل بعد، وإعادة تدريب الكاشف على المجموعة الأوفر — عمل أيام من دون جمع بيانات جديدة، يُغلق البندين ١ و٢ في القسم ٦. ثانياً، قياس كلفة الاستدلال الفعلية لكل صورة من الاستخدام الحي متى ما برّر الحجم ذلك، لإبقاء القسم ٤ محدَّثاً بدلاً من مُفتَرَضاً.</w:t>
      </w:r>
    </w:p>
    <w:p>
      <w:pPr>
        <w:keepNext w:val="0"/>
        <w:bidi/>
        <w:spacing w:after="160" w:before="0" w:line="348" w:lineRule="auto"/>
        <w:jc w:val="both"/>
      </w:pPr>
      <w:r>
        <w:rPr>
          <w:rFonts w:ascii="Times New Roman" w:hAnsi="Times New Roman" w:cs="Noto Naskh Arabic"/>
          <w:b w:val="0"/>
          <w:i w:val="0"/>
          <w:color w:val="111111"/>
          <w:sz w:val="23"/>
          <w:szCs w:val="23"/>
          <w:rtl/>
          <w:cs/>
        </w:rPr>
        <w:t>أما ما قد يساعد جوهرياً فهو: قرار بشأن تمويل جولة تصوير قصيرة وموجَّهة — متغيّرات نكهة كوكاكولا حقيقية ومتغيّرات XL Energy ناقصة التمثيل — بما أن الفجوتين محجوبتان ببيانات لا توجد بعد، لا بجهد هندسي. وعلى نحو منفصل، فإن قراراً بترقية مستوى خطة Roboflow التي تحجب التقييم الآلي للمُصنِّفات سيتيح لكل مُصنِّف يُدرَّب بعد تلك اللحظة أن يحمل رقم دقة حقيقياً بدلاً من غير مقيس، وهي حالياً أكبر فجوة بين ما يفعله هذا النظام وما يمكن الإبلاغ عنه رسمياً بشأن جودة أدائه. كما أن توجيهاً بشأن عتبة الدقة التي ينبغي اعتبارها جاهزة للإنتاج سيُشكِّل مباشرة الجولة القادمة من عمل الضبط.</w:t>
      </w:r>
    </w:p>
    <w:sectPr w:rsidR="00FC693F" w:rsidRPr="0006063C" w:rsidSect="00034616">
      <w:pgSz w:w="11906" w:h="16838"/>
      <w:pgMar w:top="1361" w:right="1474" w:bottom="1361" w:left="147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