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keepNext w:val="0"/>
        <w:spacing w:after="800" w:before="0" w:line="348" w:lineRule="auto"/>
        <w:jc w:val="center"/>
      </w:pPr>
      <w:r>
        <w:rPr>
          <w:rFonts w:ascii="Times New Roman" w:hAnsi="Times New Roman" w:cs="Times New Roman"/>
          <w:b/>
          <w:bCs w:val="1"/>
          <w:i w:val="0"/>
          <w:color w:val="555555"/>
          <w:sz w:val="26"/>
          <w:szCs w:val="26"/>
        </w:rPr>
        <w:t>Aystro</w:t>
      </w:r>
    </w:p>
    <w:p>
      <w:pPr>
        <w:keepNext w:val="0"/>
        <w:spacing w:after="200" w:before="0" w:line="300" w:lineRule="auto"/>
        <w:jc w:val="center"/>
      </w:pPr>
      <w:r>
        <w:rPr>
          <w:rFonts w:ascii="Times New Roman" w:hAnsi="Times New Roman" w:cs="Times New Roman"/>
          <w:b/>
          <w:bCs w:val="1"/>
          <w:i w:val="0"/>
          <w:color w:val="1A3A5C"/>
          <w:sz w:val="42"/>
          <w:szCs w:val="42"/>
        </w:rPr>
        <w:t>Automated Retail Shelf Auditing: Technical Progress Update</w:t>
      </w:r>
    </w:p>
    <w:p>
      <w:pPr>
        <w:keepNext w:val="0"/>
        <w:spacing w:after="1280" w:before="0" w:line="348" w:lineRule="auto"/>
        <w:jc w:val="center"/>
      </w:pPr>
      <w:r>
        <w:rPr>
          <w:rFonts w:ascii="Times New Roman" w:hAnsi="Times New Roman" w:cs="Times New Roman"/>
          <w:b w:val="0"/>
          <w:i/>
          <w:iCs w:val="1"/>
          <w:color w:val="555555"/>
          <w:sz w:val="28"/>
          <w:szCs w:val="28"/>
        </w:rPr>
        <w:t>An R&amp;D Progress Report</w:t>
      </w:r>
    </w:p>
    <w:p>
      <w:pPr>
        <w:spacing w:after="140"/>
        <w:jc w:val="center"/>
      </w:pPr>
      <w:r>
        <w:rPr>
          <w:rFonts w:ascii="Times New Roman" w:hAnsi="Times New Roman" w:cs="Times New Roman"/>
          <w:b/>
          <w:bCs w:val="1"/>
          <w:i w:val="0"/>
          <w:color w:val="555555"/>
          <w:sz w:val="23"/>
          <w:szCs w:val="23"/>
        </w:rPr>
        <w:t xml:space="preserve">Prepared by:  </w:t>
      </w:r>
      <w:r>
        <w:rPr>
          <w:rFonts w:ascii="Times New Roman" w:hAnsi="Times New Roman" w:cs="Times New Roman"/>
          <w:b w:val="0"/>
          <w:i w:val="0"/>
          <w:color w:val="111111"/>
          <w:sz w:val="23"/>
          <w:szCs w:val="23"/>
        </w:rPr>
        <w:t>Mahmoud Firas Fannoun</w:t>
      </w:r>
    </w:p>
    <w:p>
      <w:pPr>
        <w:spacing w:after="140"/>
        <w:jc w:val="center"/>
      </w:pPr>
      <w:r>
        <w:rPr>
          <w:rFonts w:ascii="Times New Roman" w:hAnsi="Times New Roman" w:cs="Times New Roman"/>
          <w:b/>
          <w:bCs w:val="1"/>
          <w:i w:val="0"/>
          <w:color w:val="555555"/>
          <w:sz w:val="23"/>
          <w:szCs w:val="23"/>
        </w:rPr>
        <w:t xml:space="preserve">Organization:  </w:t>
      </w:r>
      <w:r>
        <w:rPr>
          <w:rFonts w:ascii="Times New Roman" w:hAnsi="Times New Roman" w:cs="Times New Roman"/>
          <w:b w:val="0"/>
          <w:i w:val="0"/>
          <w:color w:val="111111"/>
          <w:sz w:val="23"/>
          <w:szCs w:val="23"/>
        </w:rPr>
        <w:t>Aystro</w:t>
      </w:r>
    </w:p>
    <w:p>
      <w:pPr>
        <w:spacing w:after="140"/>
        <w:jc w:val="center"/>
      </w:pPr>
      <w:r>
        <w:rPr>
          <w:rFonts w:ascii="Times New Roman" w:hAnsi="Times New Roman" w:cs="Times New Roman"/>
          <w:b/>
          <w:bCs w:val="1"/>
          <w:i w:val="0"/>
          <w:color w:val="555555"/>
          <w:sz w:val="23"/>
          <w:szCs w:val="23"/>
        </w:rPr>
        <w:t xml:space="preserve">Reporting Period:  </w:t>
      </w:r>
      <w:r>
        <w:rPr>
          <w:rFonts w:ascii="Times New Roman" w:hAnsi="Times New Roman" w:cs="Times New Roman"/>
          <w:b w:val="0"/>
          <w:i w:val="0"/>
          <w:color w:val="111111"/>
          <w:sz w:val="23"/>
          <w:szCs w:val="23"/>
        </w:rPr>
        <w:t>27 July 2026 – 17 August 2026</w:t>
      </w:r>
    </w:p>
    <w:p>
      <w:pPr>
        <w:spacing w:after="140"/>
        <w:jc w:val="center"/>
      </w:pPr>
      <w:r>
        <w:rPr>
          <w:rFonts w:ascii="Times New Roman" w:hAnsi="Times New Roman" w:cs="Times New Roman"/>
          <w:b/>
          <w:bCs w:val="1"/>
          <w:i w:val="0"/>
          <w:color w:val="555555"/>
          <w:sz w:val="23"/>
          <w:szCs w:val="23"/>
        </w:rPr>
        <w:t xml:space="preserve">Date of Submission:  </w:t>
      </w:r>
      <w:r>
        <w:rPr>
          <w:rFonts w:ascii="Times New Roman" w:hAnsi="Times New Roman" w:cs="Times New Roman"/>
          <w:b w:val="0"/>
          <w:i w:val="0"/>
          <w:color w:val="111111"/>
          <w:sz w:val="23"/>
          <w:szCs w:val="23"/>
        </w:rPr>
        <w:t>17 August 2026</w:t>
      </w:r>
    </w:p>
    <w:p>
      <w:r>
        <w:br w:type="page"/>
      </w:r>
    </w:p>
    <w:p>
      <w:pPr>
        <w:keepNext/>
        <w:spacing w:before="360" w:after="140"/>
        <w:jc w:val="left"/>
      </w:pPr>
      <w:r>
        <w:rPr>
          <w:rFonts w:ascii="Times New Roman" w:hAnsi="Times New Roman" w:cs="Times New Roman"/>
          <w:b/>
          <w:bCs w:val="1"/>
          <w:i w:val="0"/>
          <w:color w:val="1A3A5C"/>
          <w:sz w:val="28"/>
          <w:szCs w:val="28"/>
        </w:rPr>
        <w:t>Executive Summary</w:t>
      </w:r>
    </w:p>
    <w:p>
      <w:pPr>
        <w:keepNext w:val="0"/>
        <w:spacing w:after="160" w:before="0" w:line="348" w:lineRule="auto"/>
        <w:jc w:val="both"/>
      </w:pPr>
      <w:r>
        <w:rPr>
          <w:rFonts w:ascii="Times New Roman" w:hAnsi="Times New Roman" w:cs="Times New Roman"/>
          <w:b w:val="0"/>
          <w:i w:val="0"/>
          <w:color w:val="111111"/>
          <w:sz w:val="22"/>
          <w:szCs w:val="22"/>
        </w:rPr>
        <w:t>This report updates Aystro's field-training engagement on automated shelf auditing: what has been built, what has been measured, and what remains open. Since the previous revision, the staged detect-then-classify architecture has moved from a single working example (Fanta) to a repeated, proven pattern — a second brand-variant classifier (XL Energy) and a new packaging-material signal have both been trained and wired into the live pipeline the same way, and packaging material is now merged into the result the application reports, alongside brand and variant, rather than sitting in a field nobody reads.</w:t>
      </w:r>
    </w:p>
    <w:p>
      <w:pPr>
        <w:keepNext w:val="0"/>
        <w:spacing w:after="160" w:before="0" w:line="348" w:lineRule="auto"/>
        <w:jc w:val="both"/>
      </w:pPr>
      <w:r>
        <w:rPr>
          <w:rFonts w:ascii="Times New Roman" w:hAnsi="Times New Roman" w:cs="Times New Roman"/>
          <w:b w:val="0"/>
          <w:i w:val="0"/>
          <w:color w:val="111111"/>
          <w:sz w:val="22"/>
          <w:szCs w:val="22"/>
        </w:rPr>
        <w:t>The central architectural claim — that separating "where is a product" from "what product is it" keeps catalogue growth cheap — is now supported by complexity evidence, not only cost figures. Gating variant classifiers behind a routing step cut classifier calls per photograph from growing with both product count and variant-classifier count (O(N×K)) to growing with product count alone (O(N)), measured as a 65% reduction in classification time (40.3s to 14.2s) and now holding with two independent variant classifiers, not one. Separately, adding each new variant classifier has cost hours of labelling and one small model, not a retrain of the detector or brand classifier — repeated twice, which is why the marginal cost of catalogue growth is called small and roughly constant rather than assumed from a single example.</w:t>
      </w:r>
    </w:p>
    <w:p>
      <w:pPr>
        <w:keepNext w:val="0"/>
        <w:spacing w:after="160" w:before="0" w:line="348" w:lineRule="auto"/>
        <w:jc w:val="both"/>
      </w:pPr>
      <w:r>
        <w:rPr>
          <w:rFonts w:ascii="Times New Roman" w:hAnsi="Times New Roman" w:cs="Times New Roman"/>
          <w:b w:val="0"/>
          <w:i w:val="0"/>
          <w:color w:val="111111"/>
          <w:sz w:val="22"/>
          <w:szCs w:val="22"/>
        </w:rPr>
        <w:t>The report is equally direct about what remains open. No classifier in the current stack has a formally recorded accuracy number yet, for a specific, understood reason (Section 3), and Coca-Cola flavour variants remain blocked by a genuine data gap, re-confirmed by a second independent audit this period.</w:t>
      </w:r>
    </w:p>
    <w:p>
      <w:r>
        <w:br w:type="page"/>
      </w:r>
    </w:p>
    <w:p>
      <w:pPr>
        <w:keepNext/>
        <w:spacing w:before="360" w:after="140"/>
        <w:jc w:val="left"/>
      </w:pPr>
      <w:r>
        <w:rPr>
          <w:rFonts w:ascii="Times New Roman" w:hAnsi="Times New Roman" w:cs="Times New Roman"/>
          <w:b/>
          <w:bCs w:val="1"/>
          <w:i w:val="0"/>
          <w:color w:val="1A3A5C"/>
          <w:sz w:val="28"/>
          <w:szCs w:val="28"/>
        </w:rPr>
        <w:t>1. The Business Problem</w:t>
      </w:r>
    </w:p>
    <w:p>
      <w:pPr>
        <w:keepNext w:val="0"/>
        <w:spacing w:after="160" w:before="0" w:line="348" w:lineRule="auto"/>
        <w:jc w:val="both"/>
      </w:pPr>
      <w:r>
        <w:rPr>
          <w:rFonts w:ascii="Times New Roman" w:hAnsi="Times New Roman" w:cs="Times New Roman"/>
          <w:b w:val="0"/>
          <w:i w:val="0"/>
          <w:color w:val="111111"/>
          <w:sz w:val="23"/>
          <w:szCs w:val="23"/>
        </w:rPr>
        <w:t>A retail brand's on-shelf presence — how many units are stocked, how they are arranged, and what share of a shelf each competitor occupies — is commercial information manufacturers and retailers pay to know, and today that information is gathered by a person walking the aisle with a clipboard or a phone. The opportunity is converting an ordinary shelf photograph into structured, trustworthy inventory data automatically, at a volume and speed manual auditing cannot reach.</w:t>
      </w:r>
    </w:p>
    <w:p>
      <w:pPr>
        <w:keepNext w:val="0"/>
        <w:spacing w:after="160" w:before="0" w:line="348" w:lineRule="auto"/>
        <w:jc w:val="both"/>
      </w:pPr>
      <w:r>
        <w:rPr>
          <w:rFonts w:ascii="Times New Roman" w:hAnsi="Times New Roman" w:cs="Times New Roman"/>
          <w:b w:val="0"/>
          <w:i w:val="0"/>
          <w:color w:val="111111"/>
          <w:sz w:val="23"/>
          <w:szCs w:val="23"/>
        </w:rPr>
        <w:t>The technical challenge is that this is really two questions asked of every object in the photograph at once: where is it, and what is it. A system that answers both with one monolithic model must be retrained on the whole catalogue every time one product changes — that liability is what Section 2's architecture avoids, and Section 3 measures whether it actually delivers.</w:t>
      </w:r>
    </w:p>
    <w:p>
      <w:pPr>
        <w:keepNext/>
        <w:spacing w:before="360" w:after="140"/>
        <w:jc w:val="left"/>
      </w:pPr>
      <w:r>
        <w:rPr>
          <w:rFonts w:ascii="Times New Roman" w:hAnsi="Times New Roman" w:cs="Times New Roman"/>
          <w:b/>
          <w:bCs w:val="1"/>
          <w:i w:val="0"/>
          <w:color w:val="1A3A5C"/>
          <w:sz w:val="28"/>
          <w:szCs w:val="28"/>
        </w:rPr>
        <w:t>2. What Was Built: The Architecture</w:t>
      </w:r>
    </w:p>
    <w:p>
      <w:pPr>
        <w:keepNext w:val="0"/>
        <w:spacing w:after="160" w:before="0" w:line="348" w:lineRule="auto"/>
        <w:jc w:val="both"/>
      </w:pPr>
      <w:r>
        <w:rPr>
          <w:rFonts w:ascii="Times New Roman" w:hAnsi="Times New Roman" w:cs="Times New Roman"/>
          <w:b w:val="0"/>
          <w:i w:val="0"/>
          <w:color w:val="111111"/>
          <w:sz w:val="23"/>
          <w:szCs w:val="23"/>
        </w:rPr>
        <w:t>A single model that classifies each product directly by identity must be retrained every time a new stock-keeping unit (SKU) enters the catalogue, and suffers statistically besides: a fixed pool of training images split across many brand classes starves the rarer classes (Section 3.1). The system built during this engagement instead separates the volatile part of the problem (product identity) from the stable part (object presence), narrowing the decision space one stage at a time:</w:t>
      </w:r>
    </w:p>
    <w:p>
      <w:pPr>
        <w:keepNext w:val="0"/>
        <w:spacing w:after="120" w:before="0" w:line="348" w:lineRule="auto"/>
        <w:jc w:val="both"/>
      </w:pPr>
      <w:r>
        <w:rPr>
          <w:rFonts w:ascii="Times New Roman" w:hAnsi="Times New Roman" w:cs="Times New Roman"/>
          <w:b w:val="0"/>
          <w:i w:val="0"/>
          <w:color w:val="111111"/>
          <w:sz w:val="23"/>
          <w:szCs w:val="23"/>
        </w:rPr>
        <w:t>Stage 1 — Detection. A class-agnostic detector locates every product under a single generic "product" class, regardless of brand, so it never needs retraining when a new SKU appears.</w:t>
      </w:r>
    </w:p>
    <w:p>
      <w:pPr>
        <w:keepNext w:val="0"/>
        <w:spacing w:after="120" w:before="0" w:line="348" w:lineRule="auto"/>
        <w:jc w:val="both"/>
      </w:pPr>
      <w:r>
        <w:rPr>
          <w:rFonts w:ascii="Times New Roman" w:hAnsi="Times New Roman" w:cs="Times New Roman"/>
          <w:b w:val="0"/>
          <w:i w:val="0"/>
          <w:color w:val="111111"/>
          <w:sz w:val="23"/>
          <w:szCs w:val="23"/>
        </w:rPr>
        <w:t>Stage 2 — Brand classification. Each detected region is cropped and classified by manufacturer brand — a small, stable layer, since the set of brands changes far more slowly than the set of products.</w:t>
      </w:r>
    </w:p>
    <w:p>
      <w:pPr>
        <w:keepNext w:val="0"/>
        <w:spacing w:after="120" w:before="0" w:line="348" w:lineRule="auto"/>
        <w:jc w:val="both"/>
      </w:pPr>
      <w:r>
        <w:rPr>
          <w:rFonts w:ascii="Times New Roman" w:hAnsi="Times New Roman" w:cs="Times New Roman"/>
          <w:b w:val="0"/>
          <w:i w:val="0"/>
          <w:color w:val="111111"/>
          <w:sz w:val="23"/>
          <w:szCs w:val="23"/>
        </w:rPr>
        <w:t>Stage 3 — Variant classification, gated. When Stage 2 identifies a brand with its own variant classifier, a routing step invokes that one classifier only — not every variant classifier on every crop. Two brands are wired this way today: Fanta (flavour) and XL Energy (flavour/format).</w:t>
      </w:r>
    </w:p>
    <w:p>
      <w:pPr>
        <w:keepNext w:val="0"/>
        <w:spacing w:after="120" w:before="0" w:line="348" w:lineRule="auto"/>
        <w:jc w:val="both"/>
      </w:pPr>
      <w:r>
        <w:rPr>
          <w:rFonts w:ascii="Times New Roman" w:hAnsi="Times New Roman" w:cs="Times New Roman"/>
          <w:b w:val="0"/>
          <w:i w:val="0"/>
          <w:color w:val="111111"/>
          <w:sz w:val="23"/>
          <w:szCs w:val="23"/>
        </w:rPr>
        <w:t>Stage 4 — Packaging material, unconditional. A brand-independent classifier (can / plastic / glass) runs on every crop and its result is merged into the same detection the app displays, alongside brand and variant.</w:t>
      </w:r>
    </w:p>
    <w:p>
      <w:pPr>
        <w:keepNext w:val="0"/>
        <w:spacing w:after="160" w:before="0" w:line="348" w:lineRule="auto"/>
        <w:jc w:val="both"/>
      </w:pPr>
      <w:r>
        <w:rPr>
          <w:rFonts w:ascii="Times New Roman" w:hAnsi="Times New Roman" w:cs="Times New Roman"/>
          <w:b w:val="0"/>
          <w:i w:val="0"/>
          <w:color w:val="111111"/>
          <w:sz w:val="23"/>
          <w:szCs w:val="23"/>
        </w:rPr>
        <w:t>This is a live, hierarchical Roboflow Workflow, not a proposal. The gating in Stage 3 is the architectural change measured in Section 3.3: it keeps classifier calls from scaling with the number of variant classifiers deployed, which matters more as more brands get one.</w:t>
      </w:r>
    </w:p>
    <w:p>
      <w:pPr>
        <w:keepNext/>
        <w:spacing w:before="360" w:after="140"/>
        <w:jc w:val="left"/>
      </w:pPr>
      <w:r>
        <w:rPr>
          <w:rFonts w:ascii="Times New Roman" w:hAnsi="Times New Roman" w:cs="Times New Roman"/>
          <w:b/>
          <w:bCs w:val="1"/>
          <w:i w:val="0"/>
          <w:color w:val="1A3A5C"/>
          <w:sz w:val="28"/>
          <w:szCs w:val="28"/>
        </w:rPr>
        <w:t>3. Evidence: Does It Work?</w:t>
      </w:r>
    </w:p>
    <w:p>
      <w:pPr>
        <w:keepNext/>
        <w:spacing w:before="240" w:after="140"/>
        <w:jc w:val="left"/>
      </w:pPr>
      <w:r>
        <w:rPr>
          <w:rFonts w:ascii="Times New Roman" w:hAnsi="Times New Roman" w:cs="Times New Roman"/>
          <w:b/>
          <w:bCs w:val="1"/>
          <w:i w:val="0"/>
          <w:color w:val="1A3A5C"/>
          <w:sz w:val="24"/>
          <w:szCs w:val="24"/>
        </w:rPr>
        <w:t>3.1 Detector accuracy: architecture change, measured</w:t>
      </w:r>
    </w:p>
    <w:p>
      <w:pPr>
        <w:keepNext w:val="0"/>
        <w:spacing w:after="160" w:before="0" w:line="348" w:lineRule="auto"/>
        <w:jc w:val="both"/>
      </w:pPr>
      <w:r>
        <w:rPr>
          <w:rFonts w:ascii="Times New Roman" w:hAnsi="Times New Roman" w:cs="Times New Roman"/>
          <w:b w:val="0"/>
          <w:i w:val="0"/>
          <w:color w:val="111111"/>
          <w:sz w:val="23"/>
          <w:szCs w:val="23"/>
        </w:rPr>
        <w:t>The original brand-classed detector and the current class-agnostic detector were compared at their most mature, most fairly matched versions, both on RF-DETR-large.</w:t>
      </w:r>
    </w:p>
    <w:p>
      <w:pPr>
        <w:keepNext/>
        <w:spacing w:before="240" w:after="100"/>
        <w:jc w:val="center"/>
      </w:pPr>
      <w:r>
        <w:rPr>
          <w:rFonts w:ascii="Times New Roman" w:hAnsi="Times New Roman" w:cs="Times New Roman"/>
          <w:b/>
          <w:bCs w:val="1"/>
          <w:i w:val="0"/>
          <w:color w:val="555555"/>
          <w:sz w:val="19"/>
          <w:szCs w:val="19"/>
        </w:rPr>
        <w:t xml:space="preserve">Table 1. </w:t>
      </w:r>
      <w:r>
        <w:rPr>
          <w:rFonts w:ascii="Times New Roman" w:hAnsi="Times New Roman" w:cs="Times New Roman"/>
          <w:b w:val="0"/>
          <w:i/>
          <w:iCs w:val="1"/>
          <w:color w:val="555555"/>
          <w:sz w:val="19"/>
          <w:szCs w:val="19"/>
        </w:rPr>
        <w:t>Detector accuracy, original brand-classed architecture versus the current class-agnostic architecture, both on the RF-DETR-large model.</w:t>
      </w:r>
    </w:p>
    <w:tbl>
      <w:tblPr>
        <w:tblStyle w:val="TableGrid"/>
        <w:tblW w:type="auto" w:w="0"/>
        <w:jc w:val="left"/>
        <w:tblLook w:firstColumn="1" w:firstRow="1" w:lastColumn="0" w:lastRow="0" w:noHBand="0" w:noVBand="1" w:val="04A0"/>
      </w:tblPr>
      <w:tblGrid>
        <w:gridCol w:w="2986"/>
        <w:gridCol w:w="2986"/>
        <w:gridCol w:w="2986"/>
      </w:tblGrid>
      <w:tr>
        <w:tc>
          <w:tcPr>
            <w:tcW w:type="dxa" w:w="2986"/>
          </w:tcPr>
          <w:p>
            <w:pPr>
              <w:spacing w:before="60" w:after="60"/>
              <w:jc w:val="left"/>
            </w:pPr>
            <w:r/>
            <w:r>
              <w:rPr>
                <w:rFonts w:ascii="Times New Roman" w:hAnsi="Times New Roman" w:cs="Times New Roman"/>
                <w:b/>
                <w:bCs w:val="1"/>
                <w:i w:val="0"/>
                <w:color w:val="111111"/>
                <w:sz w:val="20"/>
                <w:szCs w:val="20"/>
              </w:rPr>
              <w:t>Measure</w:t>
            </w:r>
          </w:p>
        </w:tc>
        <w:tc>
          <w:tcPr>
            <w:tcW w:type="dxa" w:w="2986"/>
          </w:tcPr>
          <w:p>
            <w:pPr>
              <w:spacing w:before="60" w:after="60"/>
              <w:jc w:val="left"/>
            </w:pPr>
            <w:r/>
            <w:r>
              <w:rPr>
                <w:rFonts w:ascii="Times New Roman" w:hAnsi="Times New Roman" w:cs="Times New Roman"/>
                <w:b/>
                <w:bCs w:val="1"/>
                <w:i w:val="0"/>
                <w:color w:val="111111"/>
                <w:sz w:val="20"/>
                <w:szCs w:val="20"/>
              </w:rPr>
              <w:t>Original (brand-classed, 6 classes)</w:t>
            </w:r>
          </w:p>
        </w:tc>
        <w:tc>
          <w:tcPr>
            <w:tcW w:type="dxa" w:w="2986"/>
          </w:tcPr>
          <w:p>
            <w:pPr>
              <w:spacing w:before="60" w:after="60"/>
              <w:jc w:val="left"/>
            </w:pPr>
            <w:r/>
            <w:r>
              <w:rPr>
                <w:rFonts w:ascii="Times New Roman" w:hAnsi="Times New Roman" w:cs="Times New Roman"/>
                <w:b/>
                <w:bCs w:val="1"/>
                <w:i w:val="0"/>
                <w:color w:val="111111"/>
                <w:sz w:val="20"/>
                <w:szCs w:val="20"/>
              </w:rPr>
              <w:t>Current (class-agnostic)</w:t>
            </w:r>
          </w:p>
        </w:tc>
      </w:tr>
      <w:tr>
        <w:tc>
          <w:tcPr>
            <w:tcW w:type="dxa" w:w="2986"/>
          </w:tcPr>
          <w:p>
            <w:pPr>
              <w:spacing w:before="60" w:after="60"/>
              <w:jc w:val="left"/>
            </w:pPr>
            <w:r/>
            <w:r>
              <w:rPr>
                <w:rFonts w:ascii="Times New Roman" w:hAnsi="Times New Roman" w:cs="Times New Roman"/>
                <w:b w:val="0"/>
                <w:i w:val="0"/>
                <w:color w:val="111111"/>
                <w:sz w:val="20"/>
                <w:szCs w:val="20"/>
              </w:rPr>
              <w:t>Training images</w:t>
            </w:r>
          </w:p>
        </w:tc>
        <w:tc>
          <w:tcPr>
            <w:tcW w:type="dxa" w:w="2986"/>
          </w:tcPr>
          <w:p>
            <w:pPr>
              <w:spacing w:before="60" w:after="60"/>
              <w:jc w:val="left"/>
            </w:pPr>
            <w:r/>
            <w:r>
              <w:rPr>
                <w:rFonts w:ascii="Times New Roman" w:hAnsi="Times New Roman" w:cs="Times New Roman"/>
                <w:b w:val="0"/>
                <w:i w:val="0"/>
                <w:color w:val="111111"/>
                <w:sz w:val="20"/>
                <w:szCs w:val="20"/>
              </w:rPr>
              <w:t>1,191</w:t>
            </w:r>
          </w:p>
        </w:tc>
        <w:tc>
          <w:tcPr>
            <w:tcW w:type="dxa" w:w="2986"/>
          </w:tcPr>
          <w:p>
            <w:pPr>
              <w:spacing w:before="60" w:after="60"/>
              <w:jc w:val="left"/>
            </w:pPr>
            <w:r/>
            <w:r>
              <w:rPr>
                <w:rFonts w:ascii="Times New Roman" w:hAnsi="Times New Roman" w:cs="Times New Roman"/>
                <w:b w:val="0"/>
                <w:i w:val="0"/>
                <w:color w:val="111111"/>
                <w:sz w:val="20"/>
                <w:szCs w:val="20"/>
              </w:rPr>
              <w:t>384</w:t>
            </w:r>
          </w:p>
        </w:tc>
      </w:tr>
      <w:tr>
        <w:tc>
          <w:tcPr>
            <w:tcW w:type="dxa" w:w="2986"/>
          </w:tcPr>
          <w:p>
            <w:pPr>
              <w:spacing w:before="60" w:after="60"/>
              <w:jc w:val="left"/>
            </w:pPr>
            <w:r/>
            <w:r>
              <w:rPr>
                <w:rFonts w:ascii="Times New Roman" w:hAnsi="Times New Roman" w:cs="Times New Roman"/>
                <w:b w:val="0"/>
                <w:i w:val="0"/>
                <w:color w:val="111111"/>
                <w:sz w:val="20"/>
                <w:szCs w:val="20"/>
              </w:rPr>
              <w:t>mAP50</w:t>
            </w:r>
          </w:p>
        </w:tc>
        <w:tc>
          <w:tcPr>
            <w:tcW w:type="dxa" w:w="2986"/>
          </w:tcPr>
          <w:p>
            <w:pPr>
              <w:spacing w:before="60" w:after="60"/>
              <w:jc w:val="left"/>
            </w:pPr>
            <w:r/>
            <w:r>
              <w:rPr>
                <w:rFonts w:ascii="Times New Roman" w:hAnsi="Times New Roman" w:cs="Times New Roman"/>
                <w:b w:val="0"/>
                <w:i w:val="0"/>
                <w:color w:val="111111"/>
                <w:sz w:val="20"/>
                <w:szCs w:val="20"/>
              </w:rPr>
              <w:t>86.92%</w:t>
            </w:r>
          </w:p>
        </w:tc>
        <w:tc>
          <w:tcPr>
            <w:tcW w:type="dxa" w:w="2986"/>
          </w:tcPr>
          <w:p>
            <w:pPr>
              <w:spacing w:before="60" w:after="60"/>
              <w:jc w:val="left"/>
            </w:pPr>
            <w:r/>
            <w:r>
              <w:rPr>
                <w:rFonts w:ascii="Times New Roman" w:hAnsi="Times New Roman" w:cs="Times New Roman"/>
                <w:b w:val="0"/>
                <w:i w:val="0"/>
                <w:color w:val="111111"/>
                <w:sz w:val="20"/>
                <w:szCs w:val="20"/>
              </w:rPr>
              <w:t>89.3%</w:t>
            </w:r>
          </w:p>
        </w:tc>
      </w:tr>
      <w:tr>
        <w:tc>
          <w:tcPr>
            <w:tcW w:type="dxa" w:w="2986"/>
          </w:tcPr>
          <w:p>
            <w:pPr>
              <w:spacing w:before="60" w:after="60"/>
              <w:jc w:val="left"/>
            </w:pPr>
            <w:r/>
            <w:r>
              <w:rPr>
                <w:rFonts w:ascii="Times New Roman" w:hAnsi="Times New Roman" w:cs="Times New Roman"/>
                <w:b w:val="0"/>
                <w:i w:val="0"/>
                <w:color w:val="111111"/>
                <w:sz w:val="20"/>
                <w:szCs w:val="20"/>
              </w:rPr>
              <w:t>Precision</w:t>
            </w:r>
          </w:p>
        </w:tc>
        <w:tc>
          <w:tcPr>
            <w:tcW w:type="dxa" w:w="2986"/>
          </w:tcPr>
          <w:p>
            <w:pPr>
              <w:spacing w:before="60" w:after="60"/>
              <w:jc w:val="left"/>
            </w:pPr>
            <w:r/>
            <w:r>
              <w:rPr>
                <w:rFonts w:ascii="Times New Roman" w:hAnsi="Times New Roman" w:cs="Times New Roman"/>
                <w:b w:val="0"/>
                <w:i w:val="0"/>
                <w:color w:val="111111"/>
                <w:sz w:val="20"/>
                <w:szCs w:val="20"/>
              </w:rPr>
              <w:t>82.7%</w:t>
            </w:r>
          </w:p>
        </w:tc>
        <w:tc>
          <w:tcPr>
            <w:tcW w:type="dxa" w:w="2986"/>
          </w:tcPr>
          <w:p>
            <w:pPr>
              <w:spacing w:before="60" w:after="60"/>
              <w:jc w:val="left"/>
            </w:pPr>
            <w:r/>
            <w:r>
              <w:rPr>
                <w:rFonts w:ascii="Times New Roman" w:hAnsi="Times New Roman" w:cs="Times New Roman"/>
                <w:b w:val="0"/>
                <w:i w:val="0"/>
                <w:color w:val="111111"/>
                <w:sz w:val="20"/>
                <w:szCs w:val="20"/>
              </w:rPr>
              <w:t>90.5%</w:t>
            </w:r>
          </w:p>
        </w:tc>
      </w:tr>
      <w:tr>
        <w:tc>
          <w:tcPr>
            <w:tcW w:type="dxa" w:w="2986"/>
          </w:tcPr>
          <w:p>
            <w:pPr>
              <w:spacing w:before="60" w:after="60"/>
              <w:jc w:val="left"/>
            </w:pPr>
            <w:r/>
            <w:r>
              <w:rPr>
                <w:rFonts w:ascii="Times New Roman" w:hAnsi="Times New Roman" w:cs="Times New Roman"/>
                <w:b w:val="0"/>
                <w:i w:val="0"/>
                <w:color w:val="111111"/>
                <w:sz w:val="20"/>
                <w:szCs w:val="20"/>
              </w:rPr>
              <w:t>Recall</w:t>
            </w:r>
          </w:p>
        </w:tc>
        <w:tc>
          <w:tcPr>
            <w:tcW w:type="dxa" w:w="2986"/>
          </w:tcPr>
          <w:p>
            <w:pPr>
              <w:spacing w:before="60" w:after="60"/>
              <w:jc w:val="left"/>
            </w:pPr>
            <w:r/>
            <w:r>
              <w:rPr>
                <w:rFonts w:ascii="Times New Roman" w:hAnsi="Times New Roman" w:cs="Times New Roman"/>
                <w:b w:val="0"/>
                <w:i w:val="0"/>
                <w:color w:val="111111"/>
                <w:sz w:val="20"/>
                <w:szCs w:val="20"/>
              </w:rPr>
              <w:t>85.8%</w:t>
            </w:r>
          </w:p>
        </w:tc>
        <w:tc>
          <w:tcPr>
            <w:tcW w:type="dxa" w:w="2986"/>
          </w:tcPr>
          <w:p>
            <w:pPr>
              <w:spacing w:before="60" w:after="60"/>
              <w:jc w:val="left"/>
            </w:pPr>
            <w:r/>
            <w:r>
              <w:rPr>
                <w:rFonts w:ascii="Times New Roman" w:hAnsi="Times New Roman" w:cs="Times New Roman"/>
                <w:b w:val="0"/>
                <w:i w:val="0"/>
                <w:color w:val="111111"/>
                <w:sz w:val="20"/>
                <w:szCs w:val="20"/>
              </w:rPr>
              <w:t>81.1%</w:t>
            </w:r>
          </w:p>
        </w:tc>
      </w:tr>
    </w:tbl>
    <w:p>
      <w:pPr>
        <w:spacing w:after="200" w:before="0"/>
      </w:pPr>
    </w:p>
    <w:p>
      <w:pPr>
        <w:keepNext w:val="0"/>
        <w:spacing w:after="160" w:before="0" w:line="348" w:lineRule="auto"/>
        <w:jc w:val="both"/>
      </w:pPr>
      <w:r>
        <w:rPr>
          <w:rFonts w:ascii="Times New Roman" w:hAnsi="Times New Roman" w:cs="Times New Roman"/>
          <w:b w:val="0"/>
          <w:i w:val="0"/>
          <w:color w:val="111111"/>
          <w:sz w:val="23"/>
          <w:szCs w:val="23"/>
        </w:rPr>
        <w:t>The current architecture reaches higher precision and overall accuracy on roughly a third of the training images the original approach needed. Recall is slightly lower for a known reason, not an architectural one: roughly 800 already-labelled images from the original project have not yet been migrated over. Migrating them is a programmatic relabel, not new annotation work, and remains the highest-value near-term action in this report (Section 8).</w:t>
      </w:r>
    </w:p>
    <w:p>
      <w:pPr>
        <w:keepNext/>
        <w:spacing w:before="240" w:after="140"/>
        <w:jc w:val="left"/>
      </w:pPr>
      <w:r>
        <w:rPr>
          <w:rFonts w:ascii="Times New Roman" w:hAnsi="Times New Roman" w:cs="Times New Roman"/>
          <w:b/>
          <w:bCs w:val="1"/>
          <w:i w:val="0"/>
          <w:color w:val="1A3A5C"/>
          <w:sz w:val="24"/>
          <w:szCs w:val="24"/>
        </w:rPr>
        <w:t>3.2 Classifier accuracy: not yet measured, for a known reason</w:t>
      </w:r>
    </w:p>
    <w:p>
      <w:pPr>
        <w:keepNext w:val="0"/>
        <w:spacing w:after="160" w:before="0" w:line="348" w:lineRule="auto"/>
        <w:jc w:val="both"/>
      </w:pPr>
      <w:r>
        <w:rPr>
          <w:rFonts w:ascii="Times New Roman" w:hAnsi="Times New Roman" w:cs="Times New Roman"/>
          <w:b w:val="0"/>
          <w:i w:val="0"/>
          <w:color w:val="111111"/>
          <w:sz w:val="23"/>
          <w:szCs w:val="23"/>
        </w:rPr>
        <w:t>None of the four classifiers now live — brand, Fanta, XL Energy, packaging — has a formally recorded accuracy evaluation. The reason is a plan-tier gap: automatic model evaluation on the training platform is a paid-plan feature that runs at training time only, with no way to trigger it retroactively, and every classifier trained so far predates that entitlement. No accuracy figure is claimed anywhere in this report that has not actually been measured; closing this is the first item in Section 8.</w:t>
      </w:r>
    </w:p>
    <w:p>
      <w:pPr>
        <w:keepNext w:val="0"/>
        <w:spacing w:after="160" w:before="0" w:line="348" w:lineRule="auto"/>
        <w:jc w:val="both"/>
      </w:pPr>
      <w:r>
        <w:rPr>
          <w:rFonts w:ascii="Times New Roman" w:hAnsi="Times New Roman" w:cs="Times New Roman"/>
          <w:b w:val="0"/>
          <w:i w:val="0"/>
          <w:color w:val="111111"/>
          <w:sz w:val="23"/>
          <w:szCs w:val="23"/>
        </w:rPr>
        <w:t>Coca-Cola flavour variants were re-examined this period by a second, independent audit — sorting all 301 available crops by dominant colour — and returned the same result as before: about 95% classic, no confirmed Zero examples. This is a photography gap, not a modelling one.</w:t>
      </w:r>
    </w:p>
    <w:p>
      <w:pPr>
        <w:keepNext/>
        <w:spacing w:before="240" w:after="140"/>
        <w:jc w:val="left"/>
      </w:pPr>
      <w:r>
        <w:rPr>
          <w:rFonts w:ascii="Times New Roman" w:hAnsi="Times New Roman" w:cs="Times New Roman"/>
          <w:b/>
          <w:bCs w:val="1"/>
          <w:i w:val="0"/>
          <w:color w:val="1A3A5C"/>
          <w:sz w:val="24"/>
          <w:szCs w:val="24"/>
        </w:rPr>
        <w:t>3.3 Complexity: what the routing change bought</w:t>
      </w:r>
    </w:p>
    <w:p>
      <w:pPr>
        <w:keepNext w:val="0"/>
        <w:spacing w:after="160" w:before="0" w:line="348" w:lineRule="auto"/>
        <w:jc w:val="both"/>
      </w:pPr>
      <w:r>
        <w:rPr>
          <w:rFonts w:ascii="Times New Roman" w:hAnsi="Times New Roman" w:cs="Times New Roman"/>
          <w:b w:val="0"/>
          <w:i w:val="0"/>
          <w:color w:val="111111"/>
          <w:sz w:val="23"/>
          <w:szCs w:val="23"/>
        </w:rPr>
        <w:t>Before this period, every classifier that could apply to a brand ran on every crop of that brand unconditionally: N detected products and K brand-specific variant classifiers meant up to N×K classifier calls. Measured on a real 60-crop photograph, the Fanta classifier ran on all 60 crops though only 12 were actually Fanta.</w:t>
      </w:r>
    </w:p>
    <w:p>
      <w:pPr>
        <w:keepNext w:val="0"/>
        <w:spacing w:after="160" w:before="0" w:line="348" w:lineRule="auto"/>
        <w:jc w:val="both"/>
      </w:pPr>
      <w:r>
        <w:rPr>
          <w:rFonts w:ascii="Times New Roman" w:hAnsi="Times New Roman" w:cs="Times New Roman"/>
          <w:b w:val="0"/>
          <w:i w:val="0"/>
          <w:color w:val="111111"/>
          <w:sz w:val="23"/>
          <w:szCs w:val="23"/>
        </w:rPr>
        <w:t>Gating each variant classifier behind a routing step, so it only runs for crops the brand classifier has already matched to it, changes that to growth with N alone, independent of K. On the same photograph this measured a 65% reduction in classification time (40.3s to 14.2s) with identical output. The pattern was applied a second time this period, adding XL Energy alongside Fanta, and the gain holds with two variant classifiers active rather than one.</w:t>
      </w:r>
    </w:p>
    <w:p>
      <w:pPr>
        <w:keepNext/>
        <w:spacing w:before="360" w:after="140"/>
        <w:jc w:val="left"/>
      </w:pPr>
      <w:r>
        <w:rPr>
          <w:rFonts w:ascii="Times New Roman" w:hAnsi="Times New Roman" w:cs="Times New Roman"/>
          <w:b/>
          <w:bCs w:val="1"/>
          <w:i w:val="0"/>
          <w:color w:val="1A3A5C"/>
          <w:sz w:val="28"/>
          <w:szCs w:val="28"/>
        </w:rPr>
        <w:t>4. Economics: The Cost to Scale</w:t>
      </w:r>
    </w:p>
    <w:p>
      <w:pPr>
        <w:keepNext w:val="0"/>
        <w:spacing w:after="160" w:before="0" w:line="348" w:lineRule="auto"/>
        <w:jc w:val="both"/>
      </w:pPr>
      <w:r>
        <w:rPr>
          <w:rFonts w:ascii="Times New Roman" w:hAnsi="Times New Roman" w:cs="Times New Roman"/>
          <w:b w:val="0"/>
          <w:i w:val="0"/>
          <w:color w:val="111111"/>
          <w:sz w:val="23"/>
          <w:szCs w:val="23"/>
        </w:rPr>
        <w:t>The central commercial risk in any catalogue-driven product is that growth becomes expensive. This architecture was chosen to avoid that, backed by this engagement's own measured costs, now covering five trained models.</w:t>
      </w:r>
    </w:p>
    <w:p>
      <w:pPr>
        <w:keepNext/>
        <w:spacing w:before="240" w:after="100"/>
        <w:jc w:val="center"/>
      </w:pPr>
      <w:r>
        <w:rPr>
          <w:rFonts w:ascii="Times New Roman" w:hAnsi="Times New Roman" w:cs="Times New Roman"/>
          <w:b/>
          <w:bCs w:val="1"/>
          <w:i w:val="0"/>
          <w:color w:val="555555"/>
          <w:sz w:val="19"/>
          <w:szCs w:val="19"/>
        </w:rPr>
        <w:t xml:space="preserve">Table 2. </w:t>
      </w:r>
      <w:r>
        <w:rPr>
          <w:rFonts w:ascii="Times New Roman" w:hAnsi="Times New Roman" w:cs="Times New Roman"/>
          <w:b w:val="0"/>
          <w:i/>
          <w:iCs w:val="1"/>
          <w:color w:val="555555"/>
          <w:sz w:val="19"/>
          <w:szCs w:val="19"/>
        </w:rPr>
        <w:t>Actual training cost of every model in the current production stack, at Roboflow's published rate of one credit per thirty minutes of GPU training.</w:t>
      </w:r>
    </w:p>
    <w:tbl>
      <w:tblPr>
        <w:tblStyle w:val="TableGrid"/>
        <w:tblW w:type="auto" w:w="0"/>
        <w:jc w:val="left"/>
        <w:tblLook w:firstColumn="1" w:firstRow="1" w:lastColumn="0" w:lastRow="0" w:noHBand="0" w:noVBand="1" w:val="04A0"/>
      </w:tblPr>
      <w:tblGrid>
        <w:gridCol w:w="2986"/>
        <w:gridCol w:w="2986"/>
        <w:gridCol w:w="2986"/>
      </w:tblGrid>
      <w:tr>
        <w:tc>
          <w:tcPr>
            <w:tcW w:type="dxa" w:w="2986"/>
          </w:tcPr>
          <w:p>
            <w:pPr>
              <w:spacing w:before="60" w:after="60"/>
              <w:jc w:val="left"/>
            </w:pPr>
            <w:r/>
            <w:r>
              <w:rPr>
                <w:rFonts w:ascii="Times New Roman" w:hAnsi="Times New Roman" w:cs="Times New Roman"/>
                <w:b/>
                <w:bCs w:val="1"/>
                <w:i w:val="0"/>
                <w:color w:val="111111"/>
                <w:sz w:val="20"/>
                <w:szCs w:val="20"/>
              </w:rPr>
              <w:t>Model</w:t>
            </w:r>
          </w:p>
        </w:tc>
        <w:tc>
          <w:tcPr>
            <w:tcW w:type="dxa" w:w="2986"/>
          </w:tcPr>
          <w:p>
            <w:pPr>
              <w:spacing w:before="60" w:after="60"/>
              <w:jc w:val="left"/>
            </w:pPr>
            <w:r/>
            <w:r>
              <w:rPr>
                <w:rFonts w:ascii="Times New Roman" w:hAnsi="Times New Roman" w:cs="Times New Roman"/>
                <w:b/>
                <w:bCs w:val="1"/>
                <w:i w:val="0"/>
                <w:color w:val="111111"/>
                <w:sz w:val="20"/>
                <w:szCs w:val="20"/>
              </w:rPr>
              <w:t>Training time</w:t>
            </w:r>
          </w:p>
        </w:tc>
        <w:tc>
          <w:tcPr>
            <w:tcW w:type="dxa" w:w="2986"/>
          </w:tcPr>
          <w:p>
            <w:pPr>
              <w:spacing w:before="60" w:after="60"/>
              <w:jc w:val="left"/>
            </w:pPr>
            <w:r/>
            <w:r>
              <w:rPr>
                <w:rFonts w:ascii="Times New Roman" w:hAnsi="Times New Roman" w:cs="Times New Roman"/>
                <w:b/>
                <w:bCs w:val="1"/>
                <w:i w:val="0"/>
                <w:color w:val="111111"/>
                <w:sz w:val="20"/>
                <w:szCs w:val="20"/>
              </w:rPr>
              <w:t>Training credits</w:t>
            </w:r>
          </w:p>
        </w:tc>
      </w:tr>
      <w:tr>
        <w:tc>
          <w:tcPr>
            <w:tcW w:type="dxa" w:w="2986"/>
          </w:tcPr>
          <w:p>
            <w:pPr>
              <w:spacing w:before="60" w:after="60"/>
              <w:jc w:val="left"/>
            </w:pPr>
            <w:r/>
            <w:r>
              <w:rPr>
                <w:rFonts w:ascii="Times New Roman" w:hAnsi="Times New Roman" w:cs="Times New Roman"/>
                <w:b w:val="0"/>
                <w:i w:val="0"/>
                <w:color w:val="111111"/>
                <w:sz w:val="20"/>
                <w:szCs w:val="20"/>
              </w:rPr>
              <w:t>Original detector (first version)</w:t>
            </w:r>
          </w:p>
        </w:tc>
        <w:tc>
          <w:tcPr>
            <w:tcW w:type="dxa" w:w="2986"/>
          </w:tcPr>
          <w:p>
            <w:pPr>
              <w:spacing w:before="60" w:after="60"/>
              <w:jc w:val="left"/>
            </w:pPr>
            <w:r/>
            <w:r>
              <w:rPr>
                <w:rFonts w:ascii="Times New Roman" w:hAnsi="Times New Roman" w:cs="Times New Roman"/>
                <w:b w:val="0"/>
                <w:i w:val="0"/>
                <w:color w:val="111111"/>
                <w:sz w:val="20"/>
                <w:szCs w:val="20"/>
              </w:rPr>
              <w:t>11.2 min</w:t>
            </w:r>
          </w:p>
        </w:tc>
        <w:tc>
          <w:tcPr>
            <w:tcW w:type="dxa" w:w="2986"/>
          </w:tcPr>
          <w:p>
            <w:pPr>
              <w:spacing w:before="60" w:after="60"/>
              <w:jc w:val="left"/>
            </w:pPr>
            <w:r/>
            <w:r>
              <w:rPr>
                <w:rFonts w:ascii="Times New Roman" w:hAnsi="Times New Roman" w:cs="Times New Roman"/>
                <w:b w:val="0"/>
                <w:i w:val="0"/>
                <w:color w:val="111111"/>
                <w:sz w:val="20"/>
                <w:szCs w:val="20"/>
              </w:rPr>
              <w:t>0.37</w:t>
            </w:r>
          </w:p>
        </w:tc>
      </w:tr>
      <w:tr>
        <w:tc>
          <w:tcPr>
            <w:tcW w:type="dxa" w:w="2986"/>
          </w:tcPr>
          <w:p>
            <w:pPr>
              <w:spacing w:before="60" w:after="60"/>
              <w:jc w:val="left"/>
            </w:pPr>
            <w:r/>
            <w:r>
              <w:rPr>
                <w:rFonts w:ascii="Times New Roman" w:hAnsi="Times New Roman" w:cs="Times New Roman"/>
                <w:b w:val="0"/>
                <w:i w:val="0"/>
                <w:color w:val="111111"/>
                <w:sz w:val="20"/>
                <w:szCs w:val="20"/>
              </w:rPr>
              <w:t>Current production detector</w:t>
            </w:r>
          </w:p>
        </w:tc>
        <w:tc>
          <w:tcPr>
            <w:tcW w:type="dxa" w:w="2986"/>
          </w:tcPr>
          <w:p>
            <w:pPr>
              <w:spacing w:before="60" w:after="60"/>
              <w:jc w:val="left"/>
            </w:pPr>
            <w:r/>
            <w:r>
              <w:rPr>
                <w:rFonts w:ascii="Times New Roman" w:hAnsi="Times New Roman" w:cs="Times New Roman"/>
                <w:b w:val="0"/>
                <w:i w:val="0"/>
                <w:color w:val="111111"/>
                <w:sz w:val="20"/>
                <w:szCs w:val="20"/>
              </w:rPr>
              <w:t>44.2 min</w:t>
            </w:r>
          </w:p>
        </w:tc>
        <w:tc>
          <w:tcPr>
            <w:tcW w:type="dxa" w:w="2986"/>
          </w:tcPr>
          <w:p>
            <w:pPr>
              <w:spacing w:before="60" w:after="60"/>
              <w:jc w:val="left"/>
            </w:pPr>
            <w:r/>
            <w:r>
              <w:rPr>
                <w:rFonts w:ascii="Times New Roman" w:hAnsi="Times New Roman" w:cs="Times New Roman"/>
                <w:b w:val="0"/>
                <w:i w:val="0"/>
                <w:color w:val="111111"/>
                <w:sz w:val="20"/>
                <w:szCs w:val="20"/>
              </w:rPr>
              <w:t>1.48</w:t>
            </w:r>
          </w:p>
        </w:tc>
      </w:tr>
      <w:tr>
        <w:tc>
          <w:tcPr>
            <w:tcW w:type="dxa" w:w="2986"/>
          </w:tcPr>
          <w:p>
            <w:pPr>
              <w:spacing w:before="60" w:after="60"/>
              <w:jc w:val="left"/>
            </w:pPr>
            <w:r/>
            <w:r>
              <w:rPr>
                <w:rFonts w:ascii="Times New Roman" w:hAnsi="Times New Roman" w:cs="Times New Roman"/>
                <w:b w:val="0"/>
                <w:i w:val="0"/>
                <w:color w:val="111111"/>
                <w:sz w:val="20"/>
                <w:szCs w:val="20"/>
              </w:rPr>
              <w:t>Brand classifier (current version)</w:t>
            </w:r>
          </w:p>
        </w:tc>
        <w:tc>
          <w:tcPr>
            <w:tcW w:type="dxa" w:w="2986"/>
          </w:tcPr>
          <w:p>
            <w:pPr>
              <w:spacing w:before="60" w:after="60"/>
              <w:jc w:val="left"/>
            </w:pPr>
            <w:r/>
            <w:r>
              <w:rPr>
                <w:rFonts w:ascii="Times New Roman" w:hAnsi="Times New Roman" w:cs="Times New Roman"/>
                <w:b w:val="0"/>
                <w:i w:val="0"/>
                <w:color w:val="111111"/>
                <w:sz w:val="20"/>
                <w:szCs w:val="20"/>
              </w:rPr>
              <w:t>9.1 min</w:t>
            </w:r>
          </w:p>
        </w:tc>
        <w:tc>
          <w:tcPr>
            <w:tcW w:type="dxa" w:w="2986"/>
          </w:tcPr>
          <w:p>
            <w:pPr>
              <w:spacing w:before="60" w:after="60"/>
              <w:jc w:val="left"/>
            </w:pPr>
            <w:r/>
            <w:r>
              <w:rPr>
                <w:rFonts w:ascii="Times New Roman" w:hAnsi="Times New Roman" w:cs="Times New Roman"/>
                <w:b w:val="0"/>
                <w:i w:val="0"/>
                <w:color w:val="111111"/>
                <w:sz w:val="20"/>
                <w:szCs w:val="20"/>
              </w:rPr>
              <w:t>0.30</w:t>
            </w:r>
          </w:p>
        </w:tc>
      </w:tr>
      <w:tr>
        <w:tc>
          <w:tcPr>
            <w:tcW w:type="dxa" w:w="2986"/>
          </w:tcPr>
          <w:p>
            <w:pPr>
              <w:spacing w:before="60" w:after="60"/>
              <w:jc w:val="left"/>
            </w:pPr>
            <w:r/>
            <w:r>
              <w:rPr>
                <w:rFonts w:ascii="Times New Roman" w:hAnsi="Times New Roman" w:cs="Times New Roman"/>
                <w:b w:val="0"/>
                <w:i w:val="0"/>
                <w:color w:val="111111"/>
                <w:sz w:val="20"/>
                <w:szCs w:val="20"/>
              </w:rPr>
              <w:t>Fanta flavour classifier</w:t>
            </w:r>
          </w:p>
        </w:tc>
        <w:tc>
          <w:tcPr>
            <w:tcW w:type="dxa" w:w="2986"/>
          </w:tcPr>
          <w:p>
            <w:pPr>
              <w:spacing w:before="60" w:after="60"/>
              <w:jc w:val="left"/>
            </w:pPr>
            <w:r/>
            <w:r>
              <w:rPr>
                <w:rFonts w:ascii="Times New Roman" w:hAnsi="Times New Roman" w:cs="Times New Roman"/>
                <w:b w:val="0"/>
                <w:i w:val="0"/>
                <w:color w:val="111111"/>
                <w:sz w:val="20"/>
                <w:szCs w:val="20"/>
              </w:rPr>
              <w:t>7.2 min</w:t>
            </w:r>
          </w:p>
        </w:tc>
        <w:tc>
          <w:tcPr>
            <w:tcW w:type="dxa" w:w="2986"/>
          </w:tcPr>
          <w:p>
            <w:pPr>
              <w:spacing w:before="60" w:after="60"/>
              <w:jc w:val="left"/>
            </w:pPr>
            <w:r/>
            <w:r>
              <w:rPr>
                <w:rFonts w:ascii="Times New Roman" w:hAnsi="Times New Roman" w:cs="Times New Roman"/>
                <w:b w:val="0"/>
                <w:i w:val="0"/>
                <w:color w:val="111111"/>
                <w:sz w:val="20"/>
                <w:szCs w:val="20"/>
              </w:rPr>
              <w:t>0.24</w:t>
            </w:r>
          </w:p>
        </w:tc>
      </w:tr>
      <w:tr>
        <w:tc>
          <w:tcPr>
            <w:tcW w:type="dxa" w:w="2986"/>
          </w:tcPr>
          <w:p>
            <w:pPr>
              <w:spacing w:before="60" w:after="60"/>
              <w:jc w:val="left"/>
            </w:pPr>
            <w:r/>
            <w:r>
              <w:rPr>
                <w:rFonts w:ascii="Times New Roman" w:hAnsi="Times New Roman" w:cs="Times New Roman"/>
                <w:b w:val="0"/>
                <w:i w:val="0"/>
                <w:color w:val="111111"/>
                <w:sz w:val="20"/>
                <w:szCs w:val="20"/>
              </w:rPr>
              <w:t>XL Energy variant classifier</w:t>
            </w:r>
          </w:p>
        </w:tc>
        <w:tc>
          <w:tcPr>
            <w:tcW w:type="dxa" w:w="2986"/>
          </w:tcPr>
          <w:p>
            <w:pPr>
              <w:spacing w:before="60" w:after="60"/>
              <w:jc w:val="left"/>
            </w:pPr>
            <w:r/>
            <w:r>
              <w:rPr>
                <w:rFonts w:ascii="Times New Roman" w:hAnsi="Times New Roman" w:cs="Times New Roman"/>
                <w:b w:val="0"/>
                <w:i w:val="0"/>
                <w:color w:val="111111"/>
                <w:sz w:val="20"/>
                <w:szCs w:val="20"/>
              </w:rPr>
              <w:t>4.4 min</w:t>
            </w:r>
          </w:p>
        </w:tc>
        <w:tc>
          <w:tcPr>
            <w:tcW w:type="dxa" w:w="2986"/>
          </w:tcPr>
          <w:p>
            <w:pPr>
              <w:spacing w:before="60" w:after="60"/>
              <w:jc w:val="left"/>
            </w:pPr>
            <w:r/>
            <w:r>
              <w:rPr>
                <w:rFonts w:ascii="Times New Roman" w:hAnsi="Times New Roman" w:cs="Times New Roman"/>
                <w:b w:val="0"/>
                <w:i w:val="0"/>
                <w:color w:val="111111"/>
                <w:sz w:val="20"/>
                <w:szCs w:val="20"/>
              </w:rPr>
              <w:t>0.15</w:t>
            </w:r>
          </w:p>
        </w:tc>
      </w:tr>
      <w:tr>
        <w:tc>
          <w:tcPr>
            <w:tcW w:type="dxa" w:w="2986"/>
          </w:tcPr>
          <w:p>
            <w:pPr>
              <w:spacing w:before="60" w:after="60"/>
              <w:jc w:val="left"/>
            </w:pPr>
            <w:r/>
            <w:r>
              <w:rPr>
                <w:rFonts w:ascii="Times New Roman" w:hAnsi="Times New Roman" w:cs="Times New Roman"/>
                <w:b w:val="0"/>
                <w:i w:val="0"/>
                <w:color w:val="111111"/>
                <w:sz w:val="20"/>
                <w:szCs w:val="20"/>
              </w:rPr>
              <w:t>Packaging-material classifier</w:t>
            </w:r>
          </w:p>
        </w:tc>
        <w:tc>
          <w:tcPr>
            <w:tcW w:type="dxa" w:w="2986"/>
          </w:tcPr>
          <w:p>
            <w:pPr>
              <w:spacing w:before="60" w:after="60"/>
              <w:jc w:val="left"/>
            </w:pPr>
            <w:r/>
            <w:r>
              <w:rPr>
                <w:rFonts w:ascii="Times New Roman" w:hAnsi="Times New Roman" w:cs="Times New Roman"/>
                <w:b w:val="0"/>
                <w:i w:val="0"/>
                <w:color w:val="111111"/>
                <w:sz w:val="20"/>
                <w:szCs w:val="20"/>
              </w:rPr>
              <w:t>7.0 min</w:t>
            </w:r>
          </w:p>
        </w:tc>
        <w:tc>
          <w:tcPr>
            <w:tcW w:type="dxa" w:w="2986"/>
          </w:tcPr>
          <w:p>
            <w:pPr>
              <w:spacing w:before="60" w:after="60"/>
              <w:jc w:val="left"/>
            </w:pPr>
            <w:r/>
            <w:r>
              <w:rPr>
                <w:rFonts w:ascii="Times New Roman" w:hAnsi="Times New Roman" w:cs="Times New Roman"/>
                <w:b w:val="0"/>
                <w:i w:val="0"/>
                <w:color w:val="111111"/>
                <w:sz w:val="20"/>
                <w:szCs w:val="20"/>
              </w:rPr>
              <w:t>0.23</w:t>
            </w:r>
          </w:p>
        </w:tc>
      </w:tr>
    </w:tbl>
    <w:p>
      <w:pPr>
        <w:spacing w:after="200" w:before="0"/>
      </w:pPr>
    </w:p>
    <w:p>
      <w:pPr>
        <w:keepNext w:val="0"/>
        <w:spacing w:after="160" w:before="0" w:line="348" w:lineRule="auto"/>
        <w:jc w:val="both"/>
      </w:pPr>
      <w:r>
        <w:rPr>
          <w:rFonts w:ascii="Times New Roman" w:hAnsi="Times New Roman" w:cs="Times New Roman"/>
          <w:b w:val="0"/>
          <w:i w:val="0"/>
          <w:color w:val="111111"/>
          <w:sz w:val="23"/>
          <w:szCs w:val="23"/>
        </w:rPr>
        <w:t>The full five-model stack has cost roughly 2.8 credits (under ninety minutes of GPU time) to train, ever — a small fraction of a single month's allowance on the cheapest paid plan. Current dollar pricing should always be checked directly against Roboflow's published rates rather than quoted here as fixed.</w:t>
      </w:r>
    </w:p>
    <w:p>
      <w:pPr>
        <w:keepNext w:val="0"/>
        <w:spacing w:after="160" w:before="0" w:line="348" w:lineRule="auto"/>
        <w:jc w:val="both"/>
      </w:pPr>
      <w:r>
        <w:rPr>
          <w:rFonts w:ascii="Times New Roman" w:hAnsi="Times New Roman" w:cs="Times New Roman"/>
          <w:b w:val="0"/>
          <w:i w:val="0"/>
          <w:color w:val="111111"/>
          <w:sz w:val="23"/>
          <w:szCs w:val="23"/>
        </w:rPr>
        <w:t>The more consequential number is the marginal cost of catalogue growth. Adding XL Energy variant differentiation cost the same shape of work Fanta did previously — labelling a few hundred already-available crops and training one small, routed classifier, with no change to the detector or brand classifier — completed within hours, not weeks. The same pattern applies to onboarding a new company: the database is multi-tenant by design, so a new customer is a data-entry operation, not a code change.</w:t>
      </w:r>
    </w:p>
    <w:p>
      <w:pPr>
        <w:keepNext w:val="0"/>
        <w:spacing w:after="160" w:before="0" w:line="348" w:lineRule="auto"/>
        <w:jc w:val="both"/>
      </w:pPr>
      <w:r>
        <w:rPr>
          <w:rFonts w:ascii="Times New Roman" w:hAnsi="Times New Roman" w:cs="Times New Roman"/>
          <w:b w:val="0"/>
          <w:i w:val="0"/>
          <w:color w:val="111111"/>
          <w:sz w:val="23"/>
          <w:szCs w:val="23"/>
        </w:rPr>
        <w:t>One cost is real and not yet measured: the pipeline now issues a brand call and an unconditional packaging call for every detected product, plus a variant call when routing fires. This should be measured from live usage before it is quoted as a number (Section 6).</w:t>
      </w:r>
    </w:p>
    <w:p>
      <w:pPr>
        <w:keepNext/>
        <w:spacing w:before="360" w:after="140"/>
        <w:jc w:val="left"/>
      </w:pPr>
      <w:r>
        <w:rPr>
          <w:rFonts w:ascii="Times New Roman" w:hAnsi="Times New Roman" w:cs="Times New Roman"/>
          <w:b/>
          <w:bCs w:val="1"/>
          <w:i w:val="0"/>
          <w:color w:val="1A3A5C"/>
          <w:sz w:val="28"/>
          <w:szCs w:val="28"/>
        </w:rPr>
        <w:t>5. The Application: Field-Proven</w:t>
      </w:r>
    </w:p>
    <w:p>
      <w:pPr>
        <w:keepNext w:val="0"/>
        <w:spacing w:after="160" w:before="0" w:line="348" w:lineRule="auto"/>
        <w:jc w:val="both"/>
      </w:pPr>
      <w:r>
        <w:rPr>
          <w:rFonts w:ascii="Times New Roman" w:hAnsi="Times New Roman" w:cs="Times New Roman"/>
          <w:b w:val="0"/>
          <w:i w:val="0"/>
          <w:color w:val="111111"/>
          <w:sz w:val="23"/>
          <w:szCs w:val="23"/>
        </w:rPr>
        <w:t>A cross-platform application, developed alongside the model architecture, turns model output into a usable business process rather than a research demo: it standardises field capture, runs the detection pipeline against each photograph, and interposes a human reviewer between raw model output and any figure reported as fact.</w:t>
      </w:r>
    </w:p>
    <w:p>
      <w:pPr>
        <w:keepNext w:val="0"/>
        <w:spacing w:after="160" w:before="0" w:line="348" w:lineRule="auto"/>
        <w:jc w:val="both"/>
      </w:pPr>
      <w:r>
        <w:rPr>
          <w:rFonts w:ascii="Times New Roman" w:hAnsi="Times New Roman" w:cs="Times New Roman"/>
          <w:b w:val="0"/>
          <w:i w:val="0"/>
          <w:color w:val="111111"/>
          <w:sz w:val="23"/>
          <w:szCs w:val="23"/>
        </w:rPr>
        <w:t>Since the previous revision the application has grown past initial capture-and-review into reporting the business actually asked for — a Submissions view so a company administrator can see what a field representative recorded, and a brand-to-variant Share-of-Shelf report — and packaging material now travels with the same detection the app displays and reports on, rather than sitting unused in a separate field. A low-quality capture warning was also upgraded from an easy-to-miss notification to a dialog the representative must actively dismiss.</w:t>
      </w:r>
    </w:p>
    <w:p>
      <w:pPr>
        <w:keepNext/>
        <w:spacing w:before="240" w:after="80"/>
        <w:jc w:val="center"/>
      </w:pPr>
      <w:r>
        <w:drawing>
          <wp:inline xmlns:a="http://schemas.openxmlformats.org/drawingml/2006/main" xmlns:pic="http://schemas.openxmlformats.org/drawingml/2006/picture">
            <wp:extent cx="3891120" cy="5580000"/>
            <wp:docPr id="1" name="Picture 1"/>
            <wp:cNvGraphicFramePr>
              <a:graphicFrameLocks noChangeAspect="1"/>
            </wp:cNvGraphicFramePr>
            <a:graphic>
              <a:graphicData uri="http://schemas.openxmlformats.org/drawingml/2006/picture">
                <pic:pic>
                  <pic:nvPicPr>
                    <pic:cNvPr id="0" name="fig4_app.jpg"/>
                    <pic:cNvPicPr/>
                  </pic:nvPicPr>
                  <pic:blipFill>
                    <a:blip r:embed="rId9"/>
                    <a:stretch>
                      <a:fillRect/>
                    </a:stretch>
                  </pic:blipFill>
                  <pic:spPr>
                    <a:xfrm>
                      <a:off x="0" y="0"/>
                      <a:ext cx="3891120" cy="5580000"/>
                    </a:xfrm>
                    <a:prstGeom prst="rect"/>
                  </pic:spPr>
                </pic:pic>
              </a:graphicData>
            </a:graphic>
          </wp:inline>
        </w:drawing>
      </w:r>
    </w:p>
    <w:p>
      <w:pPr>
        <w:spacing w:after="280"/>
        <w:jc w:val="center"/>
      </w:pPr>
      <w:r>
        <w:rPr>
          <w:rFonts w:ascii="Times New Roman" w:hAnsi="Times New Roman" w:cs="Times New Roman"/>
          <w:b/>
          <w:bCs w:val="1"/>
          <w:i w:val="0"/>
          <w:color w:val="555555"/>
          <w:sz w:val="19"/>
          <w:szCs w:val="19"/>
        </w:rPr>
        <w:t xml:space="preserve">Figure 1. </w:t>
      </w:r>
      <w:r>
        <w:rPr>
          <w:rFonts w:ascii="Times New Roman" w:hAnsi="Times New Roman" w:cs="Times New Roman"/>
          <w:b w:val="0"/>
          <w:i/>
          <w:iCs w:val="1"/>
          <w:color w:val="555555"/>
          <w:sz w:val="19"/>
          <w:szCs w:val="19"/>
        </w:rPr>
        <w:t>The application reviewing a live capture — 75 detections returned for one cooler, with brand-confidence shares computed beneath. The label crowding visible here is itself evidence for why a human-reviewed editor, not fully automated acceptance, is the right design for dense shelf scenes.</w:t>
      </w:r>
    </w:p>
    <w:p>
      <w:pPr>
        <w:keepNext/>
        <w:spacing w:before="360" w:after="140"/>
        <w:jc w:val="left"/>
      </w:pPr>
      <w:r>
        <w:rPr>
          <w:rFonts w:ascii="Times New Roman" w:hAnsi="Times New Roman" w:cs="Times New Roman"/>
          <w:b/>
          <w:bCs w:val="1"/>
          <w:i w:val="0"/>
          <w:color w:val="1A3A5C"/>
          <w:sz w:val="28"/>
          <w:szCs w:val="28"/>
        </w:rPr>
        <w:t>6. Risks and Open Gaps</w:t>
      </w:r>
    </w:p>
    <w:p>
      <w:pPr>
        <w:keepNext w:val="0"/>
        <w:spacing w:after="120" w:before="0" w:line="348" w:lineRule="auto"/>
        <w:jc w:val="both"/>
      </w:pPr>
      <w:r>
        <w:rPr>
          <w:rFonts w:ascii="Times New Roman" w:hAnsi="Times New Roman" w:cs="Times New Roman"/>
          <w:b w:val="0"/>
          <w:i w:val="0"/>
          <w:color w:val="111111"/>
          <w:sz w:val="23"/>
          <w:szCs w:val="23"/>
        </w:rPr>
        <w:t>1. Classifier accuracy is unmeasured, for a known reason. All four classifiers are live with no recorded evaluation because automatic evaluation is gated behind a plan tier this workspace does not have. Closing this needs a plan upgrade.</w:t>
      </w:r>
    </w:p>
    <w:p>
      <w:pPr>
        <w:keepNext w:val="0"/>
        <w:spacing w:after="120" w:before="0" w:line="348" w:lineRule="auto"/>
        <w:jc w:val="both"/>
      </w:pPr>
      <w:r>
        <w:rPr>
          <w:rFonts w:ascii="Times New Roman" w:hAnsi="Times New Roman" w:cs="Times New Roman"/>
          <w:b w:val="0"/>
          <w:i w:val="0"/>
          <w:color w:val="111111"/>
          <w:sz w:val="23"/>
          <w:szCs w:val="23"/>
        </w:rPr>
        <w:t>2. The detector's recall gap traces to a known cause: roughly 800 already-annotated images from the original project have not been migrated. Data-engineering work, not new research.</w:t>
      </w:r>
    </w:p>
    <w:p>
      <w:pPr>
        <w:keepNext w:val="0"/>
        <w:spacing w:after="120" w:before="0" w:line="348" w:lineRule="auto"/>
        <w:jc w:val="both"/>
      </w:pPr>
      <w:r>
        <w:rPr>
          <w:rFonts w:ascii="Times New Roman" w:hAnsi="Times New Roman" w:cs="Times New Roman"/>
          <w:b w:val="0"/>
          <w:i w:val="0"/>
          <w:color w:val="111111"/>
          <w:sz w:val="23"/>
          <w:szCs w:val="23"/>
        </w:rPr>
        <w:t>3. Coca-Cola flavour variety does not exist in the current data, confirmed twice, months apart. The fix is targeted new photography, not relabelling — already ruled out.</w:t>
      </w:r>
    </w:p>
    <w:p>
      <w:pPr>
        <w:keepNext w:val="0"/>
        <w:spacing w:after="120" w:before="0" w:line="348" w:lineRule="auto"/>
        <w:jc w:val="both"/>
      </w:pPr>
      <w:r>
        <w:rPr>
          <w:rFonts w:ascii="Times New Roman" w:hAnsi="Times New Roman" w:cs="Times New Roman"/>
          <w:b w:val="0"/>
          <w:i w:val="0"/>
          <w:color w:val="111111"/>
          <w:sz w:val="23"/>
          <w:szCs w:val="23"/>
        </w:rPr>
        <w:t>4. The XL Energy classifier is trained but heavily imbalanced: one class holds 85% of examples, three of five classes have under a dozen each. Live and usable, but would benefit from targeted photography of the underrepresented variants.</w:t>
      </w:r>
    </w:p>
    <w:p>
      <w:pPr>
        <w:keepNext w:val="0"/>
        <w:spacing w:after="120" w:before="0" w:line="348" w:lineRule="auto"/>
        <w:jc w:val="both"/>
      </w:pPr>
      <w:r>
        <w:rPr>
          <w:rFonts w:ascii="Times New Roman" w:hAnsi="Times New Roman" w:cs="Times New Roman"/>
          <w:b w:val="0"/>
          <w:i w:val="0"/>
          <w:color w:val="111111"/>
          <w:sz w:val="23"/>
          <w:szCs w:val="23"/>
        </w:rPr>
        <w:t>5. Per-product inference cost at scale has not been measured. The real cost impact should come from live usage before it is used in a projection.</w:t>
      </w:r>
    </w:p>
    <w:p>
      <w:pPr>
        <w:keepNext/>
        <w:spacing w:before="360" w:after="140"/>
        <w:jc w:val="left"/>
      </w:pPr>
      <w:r>
        <w:rPr>
          <w:rFonts w:ascii="Times New Roman" w:hAnsi="Times New Roman" w:cs="Times New Roman"/>
          <w:b/>
          <w:bCs w:val="1"/>
          <w:i w:val="0"/>
          <w:color w:val="1A3A5C"/>
          <w:sz w:val="28"/>
          <w:szCs w:val="28"/>
        </w:rPr>
        <w:t>7. Challenges Encountered</w:t>
      </w:r>
    </w:p>
    <w:p>
      <w:pPr>
        <w:keepNext w:val="0"/>
        <w:spacing w:after="160" w:before="0" w:line="348" w:lineRule="auto"/>
        <w:jc w:val="both"/>
      </w:pPr>
      <w:r>
        <w:rPr>
          <w:rFonts w:ascii="Times New Roman" w:hAnsi="Times New Roman" w:cs="Times New Roman"/>
          <w:b w:val="0"/>
          <w:i w:val="0"/>
          <w:color w:val="111111"/>
          <w:sz w:val="23"/>
          <w:szCs w:val="23"/>
        </w:rPr>
        <w:t>The hardest problem this period was diagnosing failures whose visible symptom pointed away from the real cause. The Coca-Cola flavour question looked, on the surface, like the classifier needed more training; the actual constraint was that the underlying photography does not contain the variants being asked for — visible only by auditing the training images directly, not by tuning the model.</w:t>
      </w:r>
    </w:p>
    <w:p>
      <w:pPr>
        <w:keepNext w:val="0"/>
        <w:spacing w:after="160" w:before="0" w:line="348" w:lineRule="auto"/>
        <w:jc w:val="both"/>
      </w:pPr>
      <w:r>
        <w:rPr>
          <w:rFonts w:ascii="Times New Roman" w:hAnsi="Times New Roman" w:cs="Times New Roman"/>
          <w:b w:val="0"/>
          <w:i w:val="0"/>
          <w:color w:val="111111"/>
          <w:sz w:val="23"/>
          <w:szCs w:val="23"/>
        </w:rPr>
        <w:t>The second was a genuine platform constraint rather than a bug in this project's own work: the training platform's per-classifier accuracy evaluation runs automatically at training time only, gated behind a paid plan tier this workspace does not hold, with no way to trigger it retroactively on a finished training. That is now a known, named constraint rather than an open question, but it directly limits what can be claimed about classifier accuracy in this report.</w:t>
      </w:r>
    </w:p>
    <w:p>
      <w:pPr>
        <w:keepNext/>
        <w:spacing w:before="360" w:after="140"/>
        <w:jc w:val="left"/>
      </w:pPr>
      <w:r>
        <w:rPr>
          <w:rFonts w:ascii="Times New Roman" w:hAnsi="Times New Roman" w:cs="Times New Roman"/>
          <w:b/>
          <w:bCs w:val="1"/>
          <w:i w:val="0"/>
          <w:color w:val="1A3A5C"/>
          <w:sz w:val="28"/>
          <w:szCs w:val="28"/>
        </w:rPr>
        <w:t>8. Recommendation, Next Steps, and What We Need</w:t>
      </w:r>
    </w:p>
    <w:p>
      <w:pPr>
        <w:keepNext w:val="0"/>
        <w:spacing w:after="160" w:before="0" w:line="348" w:lineRule="auto"/>
        <w:jc w:val="both"/>
      </w:pPr>
      <w:r>
        <w:rPr>
          <w:rFonts w:ascii="Times New Roman" w:hAnsi="Times New Roman" w:cs="Times New Roman"/>
          <w:b w:val="0"/>
          <w:i w:val="0"/>
          <w:color w:val="111111"/>
          <w:sz w:val="23"/>
          <w:szCs w:val="23"/>
        </w:rPr>
        <w:t>The recommendation is to continue the current architecture. It is measurably more accurate on a third of the training data, at a training-cost increase too small to matter across five models, and the routed-classifier pattern that keeps classifier calls from multiplying with catalogue size has now been proven twice. The open items below are specific and individually inexpensive; none point to a flaw in the underlying design.</w:t>
      </w:r>
    </w:p>
    <w:p>
      <w:pPr>
        <w:keepNext w:val="0"/>
        <w:spacing w:after="160" w:before="0" w:line="348" w:lineRule="auto"/>
        <w:jc w:val="both"/>
      </w:pPr>
      <w:r>
        <w:rPr>
          <w:rFonts w:ascii="Times New Roman" w:hAnsi="Times New Roman" w:cs="Times New Roman"/>
          <w:b w:val="0"/>
          <w:i w:val="0"/>
          <w:color w:val="111111"/>
          <w:sz w:val="23"/>
          <w:szCs w:val="23"/>
        </w:rPr>
        <w:t>Proposed order of work: first, run the missing classifier evaluations and migrate the roughly 800 unmigrated detector images, retraining the detector against the fuller dataset — days of work, no new data collection required, closing items 1 and 2 in Section 6. Second, measure real per-photograph inference cost from live usage once volume justifies it, to keep Section 4 current rather than assumed.</w:t>
      </w:r>
    </w:p>
    <w:p>
      <w:pPr>
        <w:keepNext w:val="0"/>
        <w:spacing w:after="160" w:before="0" w:line="348" w:lineRule="auto"/>
        <w:jc w:val="both"/>
      </w:pPr>
      <w:r>
        <w:rPr>
          <w:rFonts w:ascii="Times New Roman" w:hAnsi="Times New Roman" w:cs="Times New Roman"/>
          <w:b w:val="0"/>
          <w:i w:val="0"/>
          <w:color w:val="111111"/>
          <w:sz w:val="23"/>
          <w:szCs w:val="23"/>
        </w:rPr>
        <w:t>What would materially help: a decision on whether to fund a short, targeted photography pass — genuine Coca-Cola flavour variants and the underrepresented XL Energy variants — since both gaps are blocked by data that does not yet exist, not by engineering effort. Separately, a decision on upgrading the Roboflow plan tier that gates automatic classifier evaluation would let every classifier trained from that point forward carry a real accuracy number instead of an unmeasured one, which is currently the largest gap between what this system does and what can be formally reported about how well it does it. Guidance on what accuracy bar should count as production-ready would also directly shape the next round of tuning work.</w:t>
      </w:r>
    </w:p>
    <w:sectPr w:rsidR="00FC693F" w:rsidRPr="0006063C" w:rsidSect="00034616">
      <w:pgSz w:w="11906" w:h="16838"/>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