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keepNext w:val="0"/>
        <w:bidi/>
        <w:spacing w:after="800" w:before="0" w:line="348" w:lineRule="auto"/>
        <w:jc w:val="center"/>
      </w:pPr>
      <w:r>
        <w:rPr>
          <w:rFonts w:ascii="Times New Roman" w:hAnsi="Times New Roman" w:cs="Noto Naskh Arabic"/>
          <w:b/>
          <w:bCs w:val="1"/>
          <w:i w:val="0"/>
          <w:color w:val="555555"/>
          <w:sz w:val="26"/>
          <w:szCs w:val="26"/>
          <w:rtl/>
          <w:cs/>
        </w:rPr>
        <w:t>شركة Aystro</w:t>
      </w:r>
    </w:p>
    <w:p>
      <w:pPr>
        <w:keepNext w:val="0"/>
        <w:bidi/>
        <w:spacing w:after="200" w:before="0" w:line="300" w:lineRule="auto"/>
        <w:jc w:val="center"/>
      </w:pPr>
      <w:r>
        <w:rPr>
          <w:rFonts w:ascii="Times New Roman" w:hAnsi="Times New Roman" w:cs="Noto Naskh Arabic"/>
          <w:b/>
          <w:bCs w:val="1"/>
          <w:i w:val="0"/>
          <w:color w:val="1A3A5C"/>
          <w:sz w:val="42"/>
          <w:szCs w:val="42"/>
          <w:rtl/>
          <w:cs/>
        </w:rPr>
        <w:t>الرؤية الحاسوبية التطبيقية في التدقيق الآلي للرفوف التجارية</w:t>
      </w:r>
    </w:p>
    <w:p>
      <w:pPr>
        <w:keepNext w:val="0"/>
        <w:bidi/>
        <w:spacing w:after="1280" w:before="0" w:line="348" w:lineRule="auto"/>
        <w:jc w:val="center"/>
      </w:pPr>
      <w:r>
        <w:rPr>
          <w:rFonts w:ascii="Times New Roman" w:hAnsi="Times New Roman" w:cs="Noto Naskh Arabic"/>
          <w:b w:val="0"/>
          <w:i w:val="0"/>
          <w:color w:val="555555"/>
          <w:sz w:val="28"/>
          <w:szCs w:val="28"/>
          <w:rtl/>
          <w:cs/>
        </w:rPr>
        <w:t>تقرير تدريب ميداني</w:t>
      </w:r>
    </w:p>
    <w:p>
      <w:pPr>
        <w:bidi/>
        <w:spacing w:after="140"/>
        <w:jc w:val="center"/>
      </w:pPr>
      <w:r>
        <w:rPr>
          <w:rFonts w:ascii="Times New Roman" w:hAnsi="Times New Roman" w:cs="Noto Naskh Arabic"/>
          <w:b/>
          <w:bCs w:val="1"/>
          <w:i w:val="0"/>
          <w:color w:val="555555"/>
          <w:sz w:val="23"/>
          <w:szCs w:val="23"/>
          <w:rtl/>
          <w:cs/>
        </w:rPr>
        <w:t xml:space="preserve">المتدرب:  </w:t>
      </w:r>
      <w:r>
        <w:rPr>
          <w:rFonts w:ascii="Times New Roman" w:hAnsi="Times New Roman" w:cs="Noto Naskh Arabic"/>
          <w:b w:val="0"/>
          <w:i w:val="0"/>
          <w:color w:val="111111"/>
          <w:sz w:val="23"/>
          <w:szCs w:val="23"/>
          <w:rtl/>
          <w:cs/>
        </w:rPr>
        <w:t>محمود فراس فنون</w:t>
      </w:r>
    </w:p>
    <w:p>
      <w:pPr>
        <w:bidi/>
        <w:spacing w:after="140"/>
        <w:jc w:val="center"/>
      </w:pPr>
      <w:r>
        <w:rPr>
          <w:rFonts w:ascii="Times New Roman" w:hAnsi="Times New Roman" w:cs="Noto Naskh Arabic"/>
          <w:b/>
          <w:bCs w:val="1"/>
          <w:i w:val="0"/>
          <w:color w:val="555555"/>
          <w:sz w:val="23"/>
          <w:szCs w:val="23"/>
          <w:rtl/>
          <w:cs/>
        </w:rPr>
        <w:t xml:space="preserve">الجهة المستضيفة:  </w:t>
      </w:r>
      <w:r>
        <w:rPr>
          <w:rFonts w:ascii="Times New Roman" w:hAnsi="Times New Roman" w:cs="Noto Naskh Arabic"/>
          <w:b w:val="0"/>
          <w:i w:val="0"/>
          <w:color w:val="111111"/>
          <w:sz w:val="23"/>
          <w:szCs w:val="23"/>
          <w:rtl/>
          <w:cs/>
        </w:rPr>
        <w:t>شركة Aystro</w:t>
      </w:r>
    </w:p>
    <w:p>
      <w:pPr>
        <w:bidi/>
        <w:spacing w:after="140"/>
        <w:jc w:val="center"/>
      </w:pPr>
      <w:r>
        <w:rPr>
          <w:rFonts w:ascii="Times New Roman" w:hAnsi="Times New Roman" w:cs="Noto Naskh Arabic"/>
          <w:b/>
          <w:bCs w:val="1"/>
          <w:i w:val="0"/>
          <w:color w:val="555555"/>
          <w:sz w:val="23"/>
          <w:szCs w:val="23"/>
          <w:rtl/>
          <w:cs/>
        </w:rPr>
        <w:t xml:space="preserve">فترة التدريب:  </w:t>
      </w:r>
      <w:r>
        <w:rPr>
          <w:rFonts w:ascii="Times New Roman" w:hAnsi="Times New Roman" w:cs="Noto Naskh Arabic"/>
          <w:b w:val="0"/>
          <w:i w:val="0"/>
          <w:color w:val="111111"/>
          <w:sz w:val="23"/>
          <w:szCs w:val="23"/>
          <w:rtl/>
          <w:cs/>
        </w:rPr>
        <w:t>٢٧ تموز ٢٠٢٦ – ٦ آب ٢٠٢٦</w:t>
      </w:r>
    </w:p>
    <w:p>
      <w:pPr>
        <w:bidi/>
        <w:spacing w:after="140"/>
        <w:jc w:val="center"/>
      </w:pPr>
      <w:r>
        <w:rPr>
          <w:rFonts w:ascii="Times New Roman" w:hAnsi="Times New Roman" w:cs="Noto Naskh Arabic"/>
          <w:b/>
          <w:bCs w:val="1"/>
          <w:i w:val="0"/>
          <w:color w:val="555555"/>
          <w:sz w:val="23"/>
          <w:szCs w:val="23"/>
          <w:rtl/>
          <w:cs/>
        </w:rPr>
        <w:t xml:space="preserve">تاريخ التسليم:  </w:t>
      </w:r>
      <w:r>
        <w:rPr>
          <w:rFonts w:ascii="Times New Roman" w:hAnsi="Times New Roman" w:cs="Noto Naskh Arabic"/>
          <w:b w:val="0"/>
          <w:i w:val="0"/>
          <w:color w:val="111111"/>
          <w:sz w:val="23"/>
          <w:szCs w:val="23"/>
          <w:rtl/>
          <w:cs/>
        </w:rPr>
        <w:t>٨ آب ٢٠٢٦</w:t>
      </w:r>
    </w:p>
    <w:p>
      <w:r>
        <w:br w:type="page"/>
      </w:r>
    </w:p>
    <w:p>
      <w:pPr>
        <w:keepNext/>
        <w:bidi/>
        <w:spacing w:before="360" w:after="140"/>
        <w:jc w:val="right"/>
      </w:pPr>
      <w:r>
        <w:rPr>
          <w:rFonts w:ascii="Times New Roman" w:hAnsi="Times New Roman" w:cs="Noto Naskh Arabic"/>
          <w:b/>
          <w:bCs w:val="1"/>
          <w:i w:val="0"/>
          <w:color w:val="1A3A5C"/>
          <w:sz w:val="28"/>
          <w:szCs w:val="28"/>
          <w:rtl/>
          <w:cs/>
        </w:rPr>
        <w:t>الملخص</w:t>
      </w:r>
    </w:p>
    <w:p>
      <w:pPr>
        <w:keepNext w:val="0"/>
        <w:bidi/>
        <w:spacing w:after="160" w:before="0" w:line="348" w:lineRule="auto"/>
        <w:jc w:val="both"/>
      </w:pPr>
      <w:r>
        <w:rPr>
          <w:rFonts w:ascii="Times New Roman" w:hAnsi="Times New Roman" w:cs="Noto Naskh Arabic"/>
          <w:b w:val="0"/>
          <w:i w:val="0"/>
          <w:color w:val="111111"/>
          <w:sz w:val="22"/>
          <w:szCs w:val="22"/>
          <w:rtl/>
          <w:cs/>
        </w:rPr>
        <w:t>يوثّق هذا التقرير المفاهيم التقنية المكتسبة والأعمال المُنفَّذة خلال فترة تدريب ميداني استمرت أسبوعين في شركة Aystro، وتركّزت على أنظمة الرؤية الحاسوبية للتدقيق الآلي لرفوف المتاجر. وقد تألف العمل من مسارين متكاملين: مسار تحليلي، جرى فيه تدقيق مجموعة بيانات قائمة للكشف عن الكائنات تضم ٢١٣ صورة لرفوف تجارية تحتوي على ٤٬٦٤١ صندوق إحاطة مُعلَّماً يدوياً، واشتقاق معمارية نظام مُنقَّحة؛ ومسار تنفيذي، طُوِّر فيه تطبيق متعدد المنصّات لجمع البيانات يدعم الالتقاط الميداني والتحليل الآلي والتحقق البشري من مُخرَجات النموذج.</w:t>
      </w:r>
    </w:p>
    <w:p>
      <w:pPr>
        <w:keepNext w:val="0"/>
        <w:bidi/>
        <w:spacing w:after="160" w:before="0" w:line="348" w:lineRule="auto"/>
        <w:jc w:val="both"/>
      </w:pPr>
      <w:r>
        <w:rPr>
          <w:rFonts w:ascii="Times New Roman" w:hAnsi="Times New Roman" w:cs="Noto Naskh Arabic"/>
          <w:b w:val="0"/>
          <w:i w:val="0"/>
          <w:color w:val="111111"/>
          <w:sz w:val="22"/>
          <w:szCs w:val="22"/>
          <w:rtl/>
          <w:cs/>
        </w:rPr>
        <w:t>ويفحص التقرير النمط المعماري «الكشف ثم التمييز»، الذي يُفصل فيه عمداً بين التوطين المكاني وتصنيف الهوية، ويوثّق قيداً بنيوياً في التصنيف البصري القائم على التشابه: إذ إن نموذج التمثيل المتجهي يعيد تحجيم كل قصاصة إلى مربع ثابت قبل ترميزها، فتُهدَر نسبة الأبعاد وتغدو العبوات المتطابقة في الملصق والمختلفة في النسبة الفيزيائية غير قابلة للتمييز. وقد عولج هذا القيد بدمج هندسة صندوق الإحاطة — وهي مُنتَجة سلفاً في مرحلة الكشف — مع الإشارة البصرية، وهو نهج جرى تنفيذه والتحقق منه في التطبيق المُسلَّم.</w:t>
      </w:r>
    </w:p>
    <w:p>
      <w:r>
        <w:br w:type="page"/>
      </w:r>
    </w:p>
    <w:p>
      <w:pPr>
        <w:keepNext/>
        <w:bidi/>
        <w:spacing w:before="360" w:after="140"/>
        <w:jc w:val="right"/>
      </w:pPr>
      <w:r>
        <w:rPr>
          <w:rFonts w:ascii="Times New Roman" w:hAnsi="Times New Roman" w:cs="Noto Naskh Arabic"/>
          <w:b/>
          <w:bCs w:val="1"/>
          <w:i w:val="0"/>
          <w:color w:val="1A3A5C"/>
          <w:sz w:val="28"/>
          <w:szCs w:val="28"/>
          <w:rtl/>
          <w:cs/>
        </w:rPr>
        <w:t>١. المقدمة وسياق المشكلة</w:t>
      </w:r>
    </w:p>
    <w:p>
      <w:pPr>
        <w:keepNext w:val="0"/>
        <w:bidi/>
        <w:spacing w:after="160" w:before="0" w:line="348" w:lineRule="auto"/>
        <w:jc w:val="both"/>
      </w:pPr>
      <w:r>
        <w:rPr>
          <w:rFonts w:ascii="Times New Roman" w:hAnsi="Times New Roman" w:cs="Noto Naskh Arabic"/>
          <w:b w:val="0"/>
          <w:i w:val="0"/>
          <w:color w:val="111111"/>
          <w:sz w:val="23"/>
          <w:szCs w:val="23"/>
          <w:rtl/>
          <w:cs/>
        </w:rPr>
        <w:t>يُعد الكشف عن الكائنات مهمة تأسيسية في الرؤية الحاسوبية، تجيب عن سؤالين مترابطين حول الصورة: أين يقع الكائن (التوطين)، وما هو هذا الكائن (التصنيف). وفي مجال تدقيق الرفوف التجارية، يتمثل الهدف العملي في تحويل صورة فوتوغرافية لرف في متجر إلى بيانات تجارية مُهيكلة — أي عدد الوحدات الموجودة من كل منتج، وكيفية ترتيبها، وحصة كل علامة تجارية من مساحة الرف المرئية. ويستلزم ذلك الإجابتين معاً، إذ إن العدّ من دون مواضع لا يصف تخطيط الرف، والمواضع من دون هويات لا تصف المخزون.</w:t>
      </w:r>
    </w:p>
    <w:p>
      <w:pPr>
        <w:keepNext w:val="0"/>
        <w:bidi/>
        <w:spacing w:after="160" w:before="0" w:line="348" w:lineRule="auto"/>
        <w:jc w:val="both"/>
      </w:pPr>
      <w:r>
        <w:rPr>
          <w:rFonts w:ascii="Times New Roman" w:hAnsi="Times New Roman" w:cs="Noto Naskh Arabic"/>
          <w:b w:val="0"/>
          <w:i w:val="0"/>
          <w:color w:val="111111"/>
          <w:sz w:val="23"/>
          <w:szCs w:val="23"/>
          <w:rtl/>
          <w:cs/>
        </w:rPr>
        <w:t>كانت مجموعة البيانات المفحوصة في مستهل التدريب مُعلَّمة وفقاً للعلامة التجارية المُصنِّعة، بحيث يُسنَد إلى كل صندوق إحاطة صنف مثل coca-cola أو pepsi. وقد كشف هذا المخطط التعليمي — رغم بداهته — عن مجموعة من المشكلات البنيوية التي شكّلت الجوهر التحليلي لفترة التدريب، وتُفحص في الأقسام التالية.</w:t>
      </w:r>
    </w:p>
    <w:p>
      <w:pPr>
        <w:keepNext/>
        <w:spacing w:before="240" w:after="80"/>
        <w:jc w:val="center"/>
      </w:pPr>
      <w:r>
        <w:drawing>
          <wp:inline xmlns:a="http://schemas.openxmlformats.org/drawingml/2006/main" xmlns:pic="http://schemas.openxmlformats.org/drawingml/2006/picture">
            <wp:extent cx="5544000" cy="1601600"/>
            <wp:docPr id="1" name="Picture 1"/>
            <wp:cNvGraphicFramePr>
              <a:graphicFrameLocks noChangeAspect="1"/>
            </wp:cNvGraphicFramePr>
            <a:graphic>
              <a:graphicData uri="http://schemas.openxmlformats.org/drawingml/2006/picture">
                <pic:pic>
                  <pic:nvPicPr>
                    <pic:cNvPr id="0" name="fig1_placeholder.png"/>
                    <pic:cNvPicPr/>
                  </pic:nvPicPr>
                  <pic:blipFill>
                    <a:blip r:embed="rId9"/>
                    <a:stretch>
                      <a:fillRect/>
                    </a:stretch>
                  </pic:blipFill>
                  <pic:spPr>
                    <a:xfrm>
                      <a:off x="0" y="0"/>
                      <a:ext cx="5544000" cy="1601600"/>
                    </a:xfrm>
                    <a:prstGeom prst="rect"/>
                  </pic:spPr>
                </pic:pic>
              </a:graphicData>
            </a:graphic>
          </wp:inline>
        </w:drawing>
      </w:r>
    </w:p>
    <w:p>
      <w:pPr>
        <w:bidi/>
        <w:spacing w:after="280"/>
        <w:jc w:val="center"/>
      </w:pPr>
      <w:r>
        <w:rPr>
          <w:rFonts w:ascii="Times New Roman" w:hAnsi="Times New Roman" w:cs="Noto Naskh Arabic"/>
          <w:b/>
          <w:bCs w:val="1"/>
          <w:i w:val="0"/>
          <w:color w:val="555555"/>
          <w:sz w:val="19"/>
          <w:szCs w:val="19"/>
          <w:rtl/>
          <w:cs/>
        </w:rPr>
        <w:t xml:space="preserve">الشكل ١. </w:t>
      </w:r>
      <w:r>
        <w:rPr>
          <w:rFonts w:ascii="Times New Roman" w:hAnsi="Times New Roman" w:cs="Noto Naskh Arabic"/>
          <w:b w:val="0"/>
          <w:i w:val="0"/>
          <w:color w:val="555555"/>
          <w:sz w:val="19"/>
          <w:szCs w:val="19"/>
          <w:rtl/>
          <w:cs/>
        </w:rPr>
        <w:t>صورة تمثيلية لرف من مجموعة البيانات مع صناديق الإحاطة المُعلَّمة مركّبة عليها، توضح كثافة الكائنات وصيغ التعبئة قيد الدراسة.</w:t>
      </w:r>
    </w:p>
    <w:p>
      <w:pPr>
        <w:keepNext/>
        <w:bidi/>
        <w:spacing w:before="360" w:after="140"/>
        <w:jc w:val="right"/>
      </w:pPr>
      <w:r>
        <w:rPr>
          <w:rFonts w:ascii="Times New Roman" w:hAnsi="Times New Roman" w:cs="Noto Naskh Arabic"/>
          <w:b/>
          <w:bCs w:val="1"/>
          <w:i w:val="0"/>
          <w:color w:val="1A3A5C"/>
          <w:sz w:val="28"/>
          <w:szCs w:val="28"/>
          <w:rtl/>
          <w:cs/>
        </w:rPr>
        <w:t>٢. المنهجية ونطاق العمل</w:t>
      </w:r>
    </w:p>
    <w:p>
      <w:pPr>
        <w:keepNext w:val="0"/>
        <w:bidi/>
        <w:spacing w:after="160" w:before="0" w:line="348" w:lineRule="auto"/>
        <w:jc w:val="both"/>
      </w:pPr>
      <w:r>
        <w:rPr>
          <w:rFonts w:ascii="Times New Roman" w:hAnsi="Times New Roman" w:cs="Noto Naskh Arabic"/>
          <w:b w:val="0"/>
          <w:i w:val="0"/>
          <w:color w:val="111111"/>
          <w:sz w:val="23"/>
          <w:szCs w:val="23"/>
          <w:rtl/>
          <w:cs/>
        </w:rPr>
        <w:t>اتّبع التدريب نهجاً استقصائياً لا تنفيذياً محضاً. فقد جرى تدقيق مجموعة بيانات مُعلَّمة قائمة، وتشخيص حدودها، واشتقاق معمارية مُنقَّحة والتحقق من جدواها في مواجهة المنصة الإنتاجية، وتطوير تطبيق ميداني داعم واختباره.</w:t>
      </w:r>
    </w:p>
    <w:p>
      <w:pPr>
        <w:keepNext/>
        <w:bidi/>
        <w:spacing w:before="240" w:after="140"/>
        <w:jc w:val="right"/>
      </w:pPr>
      <w:r>
        <w:rPr>
          <w:rFonts w:ascii="Times New Roman" w:hAnsi="Times New Roman" w:cs="Noto Naskh Arabic"/>
          <w:b/>
          <w:bCs w:val="1"/>
          <w:i w:val="0"/>
          <w:color w:val="1A3A5C"/>
          <w:sz w:val="24"/>
          <w:szCs w:val="24"/>
          <w:rtl/>
          <w:cs/>
        </w:rPr>
        <w:t>٢.١ تدقيق مجموعة البيانات</w:t>
      </w:r>
    </w:p>
    <w:p>
      <w:pPr>
        <w:keepNext w:val="0"/>
        <w:bidi/>
        <w:spacing w:after="160" w:before="0" w:line="348" w:lineRule="auto"/>
        <w:jc w:val="both"/>
      </w:pPr>
      <w:r>
        <w:rPr>
          <w:rFonts w:ascii="Times New Roman" w:hAnsi="Times New Roman" w:cs="Noto Naskh Arabic"/>
          <w:b w:val="0"/>
          <w:i w:val="0"/>
          <w:color w:val="111111"/>
          <w:sz w:val="23"/>
          <w:szCs w:val="23"/>
          <w:rtl/>
          <w:cs/>
        </w:rPr>
        <w:t>حُلِّل تصدير المشروع القائم برمجياً. وقد ضم ٢١٣ صورة لرفوف تجارية، موزّعة على أقسام التدريب (١٧٣) والتحقق (٢٤) والاختبار (١٦)، وتحتوي على ٤٬٦٤١ صندوق إحاطة مرسوماً يدوياً عبر ستة أصناف للشركات المصنِّعة: coca-cola وcappy وxl_energy وsprite وfanta وpepsi. وقد نما المشروع تدريجياً، إذ بدأ بصنفَي coca-cola وxl_energy قبل أن تُستحدَث العلامات الأربع المتبقية — وهو نمط توسّع يُجسّد بذاته مشكلةَ نموّ الكتالوج المفحوصة في القسم الثالث.</w:t>
      </w:r>
    </w:p>
    <w:p>
      <w:pPr>
        <w:keepNext w:val="0"/>
        <w:bidi/>
        <w:spacing w:after="160" w:before="0" w:line="348" w:lineRule="auto"/>
        <w:jc w:val="both"/>
      </w:pPr>
      <w:r>
        <w:rPr>
          <w:rFonts w:ascii="Times New Roman" w:hAnsi="Times New Roman" w:cs="Noto Naskh Arabic"/>
          <w:b w:val="0"/>
          <w:i w:val="0"/>
          <w:color w:val="111111"/>
          <w:sz w:val="23"/>
          <w:szCs w:val="23"/>
          <w:rtl/>
          <w:cs/>
        </w:rPr>
        <w:t>وكشف تحليل توزيع الأصناف عن اختلال بيّن: إذ استأثر الصنف الأكبر بنسبة ٤٢٫٢٪ من مجموع التعليقات، بينما استأثر الأصغر بنسبة ٢٫٨٪، أي بنسبة تقارب ١٥:١. ويقدّم هذا التركّز تفسيراً إحصائياً مباشراً لانخفاض الاستدعاء الملاحَظ على العلامات ضعيفة التمثيل.</w:t>
      </w:r>
    </w:p>
    <w:p>
      <w:pPr>
        <w:keepNext/>
        <w:bidi/>
        <w:spacing w:before="240" w:after="140"/>
        <w:jc w:val="right"/>
      </w:pPr>
      <w:r>
        <w:rPr>
          <w:rFonts w:ascii="Times New Roman" w:hAnsi="Times New Roman" w:cs="Noto Naskh Arabic"/>
          <w:b/>
          <w:bCs w:val="1"/>
          <w:i w:val="0"/>
          <w:color w:val="1A3A5C"/>
          <w:sz w:val="24"/>
          <w:szCs w:val="24"/>
          <w:rtl/>
          <w:cs/>
        </w:rPr>
        <w:t>٢.٢ إعادة التعليم الهندسي</w:t>
      </w:r>
    </w:p>
    <w:p>
      <w:pPr>
        <w:keepNext w:val="0"/>
        <w:bidi/>
        <w:spacing w:after="160" w:before="0" w:line="348" w:lineRule="auto"/>
        <w:jc w:val="both"/>
      </w:pPr>
      <w:r>
        <w:rPr>
          <w:rFonts w:ascii="Times New Roman" w:hAnsi="Times New Roman" w:cs="Noto Naskh Arabic"/>
          <w:b w:val="0"/>
          <w:i w:val="0"/>
          <w:color w:val="111111"/>
          <w:sz w:val="23"/>
          <w:szCs w:val="23"/>
          <w:rtl/>
          <w:cs/>
        </w:rPr>
        <w:t>اشتُقّ مخطط لإعادة التعليم قائم على صيغة التعبئة الفيزيائية بدلاً من العلامة التجارية. فلكل تعليق، حُسبت نسبة الأبعاد من إحداثيات الصندوق المخزَّنة، وأُسنِدت إلى واحد من أربعة أصناف للصيغة — can-std-330 وcan-slim وbottle-pet وunknown-package — باستخدام نطاقات نسبية مُحدَّدة تجريبياً. وأُعيد توليد التعليقات برمجياً بصيغة Pascal VOC XML ورُحِّلت إلى مشروع منفصل.</w:t>
      </w:r>
    </w:p>
    <w:p>
      <w:pPr>
        <w:keepNext/>
        <w:bidi/>
        <w:spacing w:before="240" w:after="140"/>
        <w:jc w:val="right"/>
      </w:pPr>
      <w:r>
        <w:rPr>
          <w:rFonts w:ascii="Times New Roman" w:hAnsi="Times New Roman" w:cs="Noto Naskh Arabic"/>
          <w:b/>
          <w:bCs w:val="1"/>
          <w:i w:val="0"/>
          <w:color w:val="1A3A5C"/>
          <w:sz w:val="24"/>
          <w:szCs w:val="24"/>
          <w:rtl/>
          <w:cs/>
        </w:rPr>
        <w:t>٢.٣ وسم الالتباس</w:t>
      </w:r>
    </w:p>
    <w:p>
      <w:pPr>
        <w:keepNext w:val="0"/>
        <w:bidi/>
        <w:spacing w:after="160" w:before="0" w:line="348" w:lineRule="auto"/>
        <w:jc w:val="both"/>
      </w:pPr>
      <w:r>
        <w:rPr>
          <w:rFonts w:ascii="Times New Roman" w:hAnsi="Times New Roman" w:cs="Noto Naskh Arabic"/>
          <w:b w:val="0"/>
          <w:i w:val="0"/>
          <w:color w:val="111111"/>
          <w:sz w:val="23"/>
          <w:szCs w:val="23"/>
          <w:rtl/>
          <w:cs/>
        </w:rPr>
        <w:t>بدلاً من افتراض أن كل صندوق يقبل إسناد صيغة بثقة، جرى تقييم كل تعليق من حيث موثوقية الدليل أثناء إعادة التعليم، ووُسِم حيثما كان منقوصاً. فمن أصل ٤٬٦٤١ تعليقاً، وُسِم ١٩٤ (٤٫٢٪) بأنه مقطوع — أي أن الكائن يتقاطع مع حدّ الإطار أو يمتد خارج لقطة قريبة — ووُسِم ١٬٩٥٤ (٤٢٫١٪) بأنه صعب، دلالةً على حجب أو منظور مائل أو تداخل انعكاسي يكفي لجعل الهندسة المشتقّة غير موثوقة.</w:t>
      </w:r>
    </w:p>
    <w:p>
      <w:pPr>
        <w:keepNext w:val="0"/>
        <w:bidi/>
        <w:spacing w:after="160" w:before="0" w:line="348" w:lineRule="auto"/>
        <w:jc w:val="both"/>
      </w:pPr>
      <w:r>
        <w:rPr>
          <w:rFonts w:ascii="Times New Roman" w:hAnsi="Times New Roman" w:cs="Noto Naskh Arabic"/>
          <w:b w:val="0"/>
          <w:i w:val="0"/>
          <w:color w:val="111111"/>
          <w:sz w:val="23"/>
          <w:szCs w:val="23"/>
          <w:rtl/>
          <w:cs/>
        </w:rPr>
        <w:t>وكون ما يزيد على خُمسَي المدوَّنة قد استلزم وسماً بالالتباس هو بذاته من النتائج التجريبية الرئيسة لهذا التدريب. إذ يُثبت أن الالتباس في الصور الميدانية بنيويٌّ لا استثنائي، وأن النظام المنشور يجب تبعاً لذلك أن يتضمّن آليةَ تحقق بحكم التصميم، لا أن يعامل التصحيح كمسار استرداد استثنائي.</w:t>
      </w:r>
    </w:p>
    <w:p>
      <w:pPr>
        <w:keepNext/>
        <w:bidi/>
        <w:spacing w:before="240" w:after="140"/>
        <w:jc w:val="right"/>
      </w:pPr>
      <w:r>
        <w:rPr>
          <w:rFonts w:ascii="Times New Roman" w:hAnsi="Times New Roman" w:cs="Noto Naskh Arabic"/>
          <w:b/>
          <w:bCs w:val="1"/>
          <w:i w:val="0"/>
          <w:color w:val="1A3A5C"/>
          <w:sz w:val="24"/>
          <w:szCs w:val="24"/>
          <w:rtl/>
          <w:cs/>
        </w:rPr>
        <w:t>٢.٤ تقييم الجدوى على المنصة</w:t>
      </w:r>
    </w:p>
    <w:p>
      <w:pPr>
        <w:keepNext w:val="0"/>
        <w:bidi/>
        <w:spacing w:after="160" w:before="0" w:line="348" w:lineRule="auto"/>
        <w:jc w:val="both"/>
      </w:pPr>
      <w:r>
        <w:rPr>
          <w:rFonts w:ascii="Times New Roman" w:hAnsi="Times New Roman" w:cs="Noto Naskh Arabic"/>
          <w:b w:val="0"/>
          <w:i w:val="0"/>
          <w:color w:val="111111"/>
          <w:sz w:val="23"/>
          <w:szCs w:val="23"/>
          <w:rtl/>
          <w:cs/>
        </w:rPr>
        <w:t>قُيِّمت المعمارية المقترحة كتلةً بكتلة في مواجهة كتالوج المكوّنات في منصة Roboflow Workflows، للتأكد من إمكانية تحقيق كل مرحلة أصلياً داخل المنصة. وتُعرض النتائج في القسم التاسع.</w:t>
      </w:r>
    </w:p>
    <w:p>
      <w:pPr>
        <w:keepNext/>
        <w:bidi/>
        <w:spacing w:before="240" w:after="140"/>
        <w:jc w:val="right"/>
      </w:pPr>
      <w:r>
        <w:rPr>
          <w:rFonts w:ascii="Times New Roman" w:hAnsi="Times New Roman" w:cs="Noto Naskh Arabic"/>
          <w:b/>
          <w:bCs w:val="1"/>
          <w:i w:val="0"/>
          <w:color w:val="1A3A5C"/>
          <w:sz w:val="24"/>
          <w:szCs w:val="24"/>
          <w:rtl/>
          <w:cs/>
        </w:rPr>
        <w:t>٢.٥ تطوير التطبيق</w:t>
      </w:r>
    </w:p>
    <w:p>
      <w:pPr>
        <w:keepNext w:val="0"/>
        <w:bidi/>
        <w:spacing w:after="160" w:before="0" w:line="348" w:lineRule="auto"/>
        <w:jc w:val="both"/>
      </w:pPr>
      <w:r>
        <w:rPr>
          <w:rFonts w:ascii="Times New Roman" w:hAnsi="Times New Roman" w:cs="Noto Naskh Arabic"/>
          <w:b w:val="0"/>
          <w:i w:val="0"/>
          <w:color w:val="111111"/>
          <w:sz w:val="23"/>
          <w:szCs w:val="23"/>
          <w:rtl/>
          <w:cs/>
        </w:rPr>
        <w:t>نُفِّذ تطبيق متعدد المنصّات لجمع البيانات باستخدام إطار Flutter، لدعم الالتقاط الميداني المُهيكل والتحليل الآلي والتحقق البشري. وتُوصف معماريته والمسوّغات الكامنة خلفها في القسم العاشر.</w:t>
      </w:r>
    </w:p>
    <w:p>
      <w:pPr>
        <w:keepNext/>
        <w:bidi/>
        <w:spacing w:before="360" w:after="140"/>
        <w:jc w:val="right"/>
      </w:pPr>
      <w:r>
        <w:rPr>
          <w:rFonts w:ascii="Times New Roman" w:hAnsi="Times New Roman" w:cs="Noto Naskh Arabic"/>
          <w:b/>
          <w:bCs w:val="1"/>
          <w:i w:val="0"/>
          <w:color w:val="1A3A5C"/>
          <w:sz w:val="28"/>
          <w:szCs w:val="28"/>
          <w:rtl/>
          <w:cs/>
        </w:rPr>
        <w:t>٣. مشكلة توسّع الكتالوج</w:t>
      </w:r>
    </w:p>
    <w:p>
      <w:pPr>
        <w:keepNext w:val="0"/>
        <w:bidi/>
        <w:spacing w:after="160" w:before="0" w:line="348" w:lineRule="auto"/>
        <w:jc w:val="both"/>
      </w:pPr>
      <w:r>
        <w:rPr>
          <w:rFonts w:ascii="Times New Roman" w:hAnsi="Times New Roman" w:cs="Noto Naskh Arabic"/>
          <w:b w:val="0"/>
          <w:i w:val="0"/>
          <w:color w:val="111111"/>
          <w:sz w:val="23"/>
          <w:szCs w:val="23"/>
          <w:rtl/>
          <w:cs/>
        </w:rPr>
        <w:t>يرث الكاشف أحادي المرحلة، الذي يُصنّف كل منتج مباشرةً بحسب هويته، عبئاً صيانياً جسيماً: فكتالوج التجزئة ليس ثابتاً. إذ تدخل وحدات حفظ المخزون الجديدة إلى السوق باستمرار، وفي ظل التصميم الأحادي فإن كل إضافة تستوجب إعادة تدريب نموذج الكشف بالكامل — وهو أمر مكلف حسابياً، وعلى مستوى جهد التعليم اليدوي، وزمنياً، كما أنه يُدهور نظاماً كان يعمل بصورة صحيحة سابقاً بالنسبة لجميع المنتجات القائمة.</w:t>
      </w:r>
    </w:p>
    <w:p>
      <w:pPr>
        <w:keepNext w:val="0"/>
        <w:bidi/>
        <w:spacing w:after="160" w:before="0" w:line="348" w:lineRule="auto"/>
        <w:jc w:val="both"/>
      </w:pPr>
      <w:r>
        <w:rPr>
          <w:rFonts w:ascii="Times New Roman" w:hAnsi="Times New Roman" w:cs="Noto Naskh Arabic"/>
          <w:b w:val="0"/>
          <w:i w:val="0"/>
          <w:color w:val="111111"/>
          <w:sz w:val="23"/>
          <w:szCs w:val="23"/>
          <w:rtl/>
          <w:cs/>
        </w:rPr>
        <w:t>كما لوحظت مشكلة إحصائية ثانية في مجموعة البيانات مباشرةً. فحين تُقسَّم مدوَّنة ثابتة تضم ٢١٣ صورة على عدد كبير من أصناف العلامات التجارية، لا ينال كل صنف سوى حصة ضئيلة من الأمثلة المتاحة. وبالتالي يتعلم النموذج جيداً على الأصناف كثيفة التمثيل، ويؤدي أداءً ضعيفاً على ما تبقّى، مما يُنتج انخفاض الاستدعاء — أي وجود منتجات على الرف من دون أن تُكتشف أبداً — وهو ما لوحظ في النموذج القائم.</w:t>
      </w:r>
    </w:p>
    <w:p>
      <w:pPr>
        <w:keepNext w:val="0"/>
        <w:bidi/>
        <w:spacing w:after="160" w:before="0" w:line="348" w:lineRule="auto"/>
        <w:jc w:val="both"/>
      </w:pPr>
      <w:r>
        <w:rPr>
          <w:rFonts w:ascii="Times New Roman" w:hAnsi="Times New Roman" w:cs="Noto Naskh Arabic"/>
          <w:b w:val="0"/>
          <w:i w:val="0"/>
          <w:color w:val="111111"/>
          <w:sz w:val="23"/>
          <w:szCs w:val="23"/>
          <w:rtl/>
          <w:cs/>
        </w:rPr>
        <w:t>ويوضّح تاريخ المشروع ذاته هذه الآلية مباشرةً: إذ دُرِّبت النسخة الأولى من النموذج على ٢٧ صورة فقط، قبل وجود معظم الأصناف، وظلّت مع ذلك هي النسخة الافتراضية لسير العمل بعد أن نما الكتالوج متجاوزاً إياها بوقت طويل. ومن ثمّ فإن تغطية العلامات الأحدث لم تكن محكومة بقصور في منهج الكشف، بل بالنسخة التي صادف أن يستدعيها خط المعالجة.</w:t>
      </w:r>
    </w:p>
    <w:p>
      <w:pPr>
        <w:keepNext/>
        <w:spacing w:before="240" w:after="80"/>
        <w:jc w:val="center"/>
      </w:pPr>
      <w:r>
        <w:drawing>
          <wp:inline xmlns:a="http://schemas.openxmlformats.org/drawingml/2006/main" xmlns:pic="http://schemas.openxmlformats.org/drawingml/2006/picture">
            <wp:extent cx="5544000" cy="2464000"/>
            <wp:docPr id="2" name="Picture 2"/>
            <wp:cNvGraphicFramePr>
              <a:graphicFrameLocks noChangeAspect="1"/>
            </wp:cNvGraphicFramePr>
            <a:graphic>
              <a:graphicData uri="http://schemas.openxmlformats.org/drawingml/2006/picture">
                <pic:pic>
                  <pic:nvPicPr>
                    <pic:cNvPr id="0" name="fig5_distribution.png"/>
                    <pic:cNvPicPr/>
                  </pic:nvPicPr>
                  <pic:blipFill>
                    <a:blip r:embed="rId10"/>
                    <a:stretch>
                      <a:fillRect/>
                    </a:stretch>
                  </pic:blipFill>
                  <pic:spPr>
                    <a:xfrm>
                      <a:off x="0" y="0"/>
                      <a:ext cx="5544000" cy="2464000"/>
                    </a:xfrm>
                    <a:prstGeom prst="rect"/>
                  </pic:spPr>
                </pic:pic>
              </a:graphicData>
            </a:graphic>
          </wp:inline>
        </w:drawing>
      </w:r>
    </w:p>
    <w:p>
      <w:pPr>
        <w:bidi/>
        <w:spacing w:after="280"/>
        <w:jc w:val="center"/>
      </w:pPr>
      <w:r>
        <w:rPr>
          <w:rFonts w:ascii="Times New Roman" w:hAnsi="Times New Roman" w:cs="Noto Naskh Arabic"/>
          <w:b/>
          <w:bCs w:val="1"/>
          <w:i w:val="0"/>
          <w:color w:val="555555"/>
          <w:sz w:val="19"/>
          <w:szCs w:val="19"/>
          <w:rtl/>
          <w:cs/>
        </w:rPr>
        <w:t xml:space="preserve">الشكل ٢. </w:t>
      </w:r>
      <w:r>
        <w:rPr>
          <w:rFonts w:ascii="Times New Roman" w:hAnsi="Times New Roman" w:cs="Noto Naskh Arabic"/>
          <w:b w:val="0"/>
          <w:i w:val="0"/>
          <w:color w:val="555555"/>
          <w:sz w:val="19"/>
          <w:szCs w:val="19"/>
          <w:rtl/>
          <w:cs/>
        </w:rPr>
        <w:t>توزيع التعليقات قبل إعادة التعليم الهندسي وبعده. الصناديق الـ٤٬٦٤١ ذاتها مقسّمة بحسب العلامة التجارية المصنِّعة (يسار) وبحسب صيغة التعبئة الفيزيائية (يمين).</w:t>
      </w:r>
    </w:p>
    <w:p>
      <w:pPr>
        <w:keepNext/>
        <w:bidi/>
        <w:spacing w:before="360" w:after="140"/>
        <w:jc w:val="right"/>
      </w:pPr>
      <w:r>
        <w:rPr>
          <w:rFonts w:ascii="Times New Roman" w:hAnsi="Times New Roman" w:cs="Noto Naskh Arabic"/>
          <w:b/>
          <w:bCs w:val="1"/>
          <w:i w:val="0"/>
          <w:color w:val="1A3A5C"/>
          <w:sz w:val="28"/>
          <w:szCs w:val="28"/>
          <w:rtl/>
          <w:cs/>
        </w:rPr>
        <w:t>٤. الكشف المحايد صنفياً</w:t>
      </w:r>
    </w:p>
    <w:p>
      <w:pPr>
        <w:keepNext w:val="0"/>
        <w:bidi/>
        <w:spacing w:after="160" w:before="0" w:line="348" w:lineRule="auto"/>
        <w:jc w:val="both"/>
      </w:pPr>
      <w:r>
        <w:rPr>
          <w:rFonts w:ascii="Times New Roman" w:hAnsi="Times New Roman" w:cs="Noto Naskh Arabic"/>
          <w:b w:val="0"/>
          <w:i w:val="0"/>
          <w:color w:val="111111"/>
          <w:sz w:val="23"/>
          <w:szCs w:val="23"/>
          <w:rtl/>
          <w:cs/>
        </w:rPr>
        <w:t>تتمثل الاستجابة لكلتا المشكلتين في تجريد مرحلة الكشف من معلومات الهوية كلياً. ففي الكاشف المحايد صنفياً، يُسنَد إلى كل منتج صنف عام واحد — product — بصرف النظر عن العلامة التجارية أو النكهة أو نوع العبوة، ويُدرَّب النموذج للإجابة عن سؤال واحد فقط هو ما إذا كان ثمة منتج في موضع بعينه.</w:t>
      </w:r>
    </w:p>
    <w:p>
      <w:pPr>
        <w:keepNext w:val="0"/>
        <w:bidi/>
        <w:spacing w:after="160" w:before="0" w:line="348" w:lineRule="auto"/>
        <w:jc w:val="both"/>
      </w:pPr>
      <w:r>
        <w:rPr>
          <w:rFonts w:ascii="Times New Roman" w:hAnsi="Times New Roman" w:cs="Noto Naskh Arabic"/>
          <w:b w:val="0"/>
          <w:i w:val="0"/>
          <w:color w:val="111111"/>
          <w:sz w:val="23"/>
          <w:szCs w:val="23"/>
          <w:rtl/>
          <w:cs/>
        </w:rPr>
        <w:t>ويحقّق ذلك فائدتين متمايزتين. فمن الناحية الإحصائية، تُسهم المدوَّنة كاملةً في صنف واحد بدلاً من تجزئتها، مما يزيد إشارة التدريب الفعّالة زيادةً جوهرية من دون جمع أي صورة إضافية. ومن الناحية المعمارية، تصبح طبقة الكشف مستقرة: فلأنها لا تحمل معرفة بهوية المنتج، لا يُبطلها استحداث وحدة مخزون جديدة ولا تستوجب إعادة تدريبها.</w:t>
      </w:r>
    </w:p>
    <w:p>
      <w:pPr>
        <w:keepNext w:val="0"/>
        <w:bidi/>
        <w:spacing w:after="160" w:before="0" w:line="348" w:lineRule="auto"/>
        <w:jc w:val="both"/>
      </w:pPr>
      <w:r>
        <w:rPr>
          <w:rFonts w:ascii="Times New Roman" w:hAnsi="Times New Roman" w:cs="Noto Naskh Arabic"/>
          <w:b w:val="0"/>
          <w:i w:val="0"/>
          <w:color w:val="111111"/>
          <w:sz w:val="23"/>
          <w:szCs w:val="23"/>
          <w:rtl/>
          <w:cs/>
        </w:rPr>
        <w:t>وقد تقرّر خلال التدريب تحفّظ عملي مهم: إن إعادة تعليم التعليقات القائمة إلى صنف عام تُصحّح الصناديق المُعلَّمة خطأً، لكنها لا تستطيع استرداد المنتجات التي لم تُعلَّم أصلاً. فالتعليقات المفقودة تظل مهمة منفصلة تتعلق باكتمال البيانات، ولا تغني عنها أي إعادة تنظيم لفضاء التسميات.</w:t>
      </w:r>
    </w:p>
    <w:p>
      <w:pPr>
        <w:keepNext/>
        <w:bidi/>
        <w:spacing w:before="360" w:after="140"/>
        <w:jc w:val="right"/>
      </w:pPr>
      <w:r>
        <w:rPr>
          <w:rFonts w:ascii="Times New Roman" w:hAnsi="Times New Roman" w:cs="Noto Naskh Arabic"/>
          <w:b/>
          <w:bCs w:val="1"/>
          <w:i w:val="0"/>
          <w:color w:val="1A3A5C"/>
          <w:sz w:val="28"/>
          <w:szCs w:val="28"/>
          <w:rtl/>
          <w:cs/>
        </w:rPr>
        <w:t>٥. التمييز عبر تشابه التمثيلات المتجهية</w:t>
      </w:r>
    </w:p>
    <w:p>
      <w:pPr>
        <w:keepNext w:val="0"/>
        <w:bidi/>
        <w:spacing w:after="160" w:before="0" w:line="348" w:lineRule="auto"/>
        <w:jc w:val="both"/>
      </w:pPr>
      <w:r>
        <w:rPr>
          <w:rFonts w:ascii="Times New Roman" w:hAnsi="Times New Roman" w:cs="Noto Naskh Arabic"/>
          <w:b w:val="0"/>
          <w:i w:val="0"/>
          <w:color w:val="111111"/>
          <w:sz w:val="23"/>
          <w:szCs w:val="23"/>
          <w:rtl/>
          <w:cs/>
        </w:rPr>
        <w:t>بمجرد فصل التوطين، يجب تحديد الهوية على نحو مستقل. ويستبدل النهج المدروس التصنيفَ الخاضع للإشراف التقليدي بالاسترجاع القائم على التمثيلات المتجهية: إذ تُقتطع كل منطقة مكتشَفة وتُمرَّر عبر نموذج بصري-لغوي — هو CLIP — يقوم بإسقاط الصورة في متجه رقمي عالي الأبعاد. ويُنفَّذ التصنيف بإيجاد أقرب جار ضمن معرض مرجعي من صور المنتجات النظيفة والمعروفة.</w:t>
      </w:r>
    </w:p>
    <w:p>
      <w:pPr>
        <w:keepNext w:val="0"/>
        <w:bidi/>
        <w:spacing w:after="160" w:before="0" w:line="348" w:lineRule="auto"/>
        <w:jc w:val="both"/>
      </w:pPr>
      <w:r>
        <w:rPr>
          <w:rFonts w:ascii="Times New Roman" w:hAnsi="Times New Roman" w:cs="Noto Naskh Arabic"/>
          <w:b w:val="0"/>
          <w:i w:val="0"/>
          <w:color w:val="111111"/>
          <w:sz w:val="23"/>
          <w:szCs w:val="23"/>
          <w:rtl/>
          <w:cs/>
        </w:rPr>
        <w:t>والخاصية الحاسمة في هذا النهج هي أن إضافة منتج جديد لا تتطلب سوى إضافة صورته المرجعية إلى المعرض، من دون حدوث أي إعادة تدريب. وهذا يُحوّل صيانة الكتالوج من عملية تدريب نموذج إلى عملية إدخال بيانات، وهو السبب المحوري لتفضيل هذا النمط في أنظمة التجزئة الإنتاجية.</w:t>
      </w:r>
    </w:p>
    <w:p>
      <w:pPr>
        <w:keepNext/>
        <w:bidi/>
        <w:spacing w:before="360" w:after="140"/>
        <w:jc w:val="right"/>
      </w:pPr>
      <w:r>
        <w:rPr>
          <w:rFonts w:ascii="Times New Roman" w:hAnsi="Times New Roman" w:cs="Noto Naskh Arabic"/>
          <w:b/>
          <w:bCs w:val="1"/>
          <w:i w:val="0"/>
          <w:color w:val="1A3A5C"/>
          <w:sz w:val="28"/>
          <w:szCs w:val="28"/>
          <w:rtl/>
          <w:cs/>
        </w:rPr>
        <w:t>٦. القيد الهندسي للتشابه البصري</w:t>
      </w:r>
    </w:p>
    <w:p>
      <w:pPr>
        <w:keepNext w:val="0"/>
        <w:bidi/>
        <w:spacing w:after="160" w:before="0" w:line="348" w:lineRule="auto"/>
        <w:jc w:val="both"/>
      </w:pPr>
      <w:r>
        <w:rPr>
          <w:rFonts w:ascii="Times New Roman" w:hAnsi="Times New Roman" w:cs="Noto Naskh Arabic"/>
          <w:b w:val="0"/>
          <w:i w:val="0"/>
          <w:color w:val="111111"/>
          <w:sz w:val="23"/>
          <w:szCs w:val="23"/>
          <w:rtl/>
          <w:cs/>
        </w:rPr>
        <w:t>جرى خلال التدريب تحديد قيد جوهري في التمييز القائم على التمثيلات المتجهية، وتحديد آليته بدقة. فنموذج CLIP يعيد تحجيم كل قصاصة إلى مدخل مربع ثابت — ٢٢٤ × ٢٢٤ بكسل — قبل ترميزها. وهذه العملية تُهدر نسبة الأبعاد بحكم بنيتها: إذ تصل العبوة الطويلة النحيفة والعبوة الأقصر الأعرض إلى المُرمِّز وقد مُطّتا إلى الشكل نفسه. ومن ثمّ فالنموذج ليس قليل الحساسية للنسبة الفيزيائية فحسب، بل إن هذه المعلومة قد أُزيلت قبل أن يبدأ الاستدلال.</w:t>
      </w:r>
    </w:p>
    <w:p>
      <w:pPr>
        <w:keepNext w:val="0"/>
        <w:bidi/>
        <w:spacing w:after="160" w:before="0" w:line="348" w:lineRule="auto"/>
        <w:jc w:val="both"/>
      </w:pPr>
      <w:r>
        <w:rPr>
          <w:rFonts w:ascii="Times New Roman" w:hAnsi="Times New Roman" w:cs="Noto Naskh Arabic"/>
          <w:b w:val="0"/>
          <w:i w:val="0"/>
          <w:color w:val="111111"/>
          <w:sz w:val="23"/>
          <w:szCs w:val="23"/>
          <w:rtl/>
          <w:cs/>
        </w:rPr>
        <w:t>وتكون النتيجة حادّة بالنسبة للمنتجات التي لا تختلف إلا في صيغة التعبئة. فالعلبة القياسية سعة ٣٣٠ مل تبلغ نحو ٦٦ ملم قُطراً في ١١٥ ملم ارتفاعاً، أي بنسبة تقارب ١٫٧٤؛ بينما تبلغ العلبة النحيفة سعة ٣٣٠ مل نحو ٥٣ ملم في ١٤٥ ملم، أي بنسبة تقارب ٢٫٧. وكلتاهما تحوي المحتوى ذاته وتحمل الهوية البصرية ذاتها، فتغدو النسبةُ الإشارةَ التمييزية الموثوقة الوحيدة — وهي بالضبط الإشارة التي يعجز التمثيل المتجهي عن رؤيتها.</w:t>
      </w:r>
    </w:p>
    <w:p>
      <w:pPr>
        <w:keepNext w:val="0"/>
        <w:bidi/>
        <w:spacing w:after="160" w:before="0" w:line="348" w:lineRule="auto"/>
        <w:jc w:val="both"/>
      </w:pPr>
      <w:r>
        <w:rPr>
          <w:rFonts w:ascii="Times New Roman" w:hAnsi="Times New Roman" w:cs="Noto Naskh Arabic"/>
          <w:b w:val="0"/>
          <w:i w:val="0"/>
          <w:color w:val="111111"/>
          <w:sz w:val="23"/>
          <w:szCs w:val="23"/>
          <w:rtl/>
          <w:cs/>
        </w:rPr>
        <w:t>وقد تأكّد ذلك تجريبياً. ففي صورة رف تحوي الصيغتين جنباً إلى جنب، أسنَد المُصنِّف البصري العلب العشر جميعها إلى صنف واحد، بينما فصلت صناديقُ الكاشف ذاتها العنقودين فصلاً نظيفاً: إذ قاست العلب القياسية بين ١٫٧٢ و١٫٨٢، والعلب النحيفة بين ٢٫٣٠ و٢٫٥٨، وبينهما نطاق خالٍ. وتقع عتبة القرار البالغة ٢٫٠٥ داخل ذلك النطاق الخالي، فلا يقترب منها أيٌّ من العنقودين.</w:t>
      </w:r>
    </w:p>
    <w:p>
      <w:pPr>
        <w:keepNext w:val="0"/>
        <w:bidi/>
        <w:spacing w:after="160" w:before="0" w:line="348" w:lineRule="auto"/>
        <w:jc w:val="both"/>
      </w:pPr>
      <w:r>
        <w:rPr>
          <w:rFonts w:ascii="Times New Roman" w:hAnsi="Times New Roman" w:cs="Noto Naskh Arabic"/>
          <w:b w:val="0"/>
          <w:i w:val="0"/>
          <w:color w:val="111111"/>
          <w:sz w:val="23"/>
          <w:szCs w:val="23"/>
          <w:rtl/>
          <w:cs/>
        </w:rPr>
        <w:t>ويُدرك الحل المعتمَد أن المعلومة التمييزية المطلوبة قد أُنتجت سلفاً في مرحلة الكشف. فنسبة أبعاد صندوق الإحاطة نتيجة هندسية مباشرة للشكل الفيزيائي للعبوة، وهي ثابتة تقريباً بالنسبة لبُعد الكاميرا، إذ إن التقريب يُحجّم البُعدين تناسبياً ويُبقي نسبتهما من دون تغيير. ولا يكفي أيٌّ من الإشارتين بمفرده: فالتمثيل البصري يحدد أي منتج هو الكائن، بينما تحدد هندسة الصندوق أي صيغة فيزيائية يتخذها.</w:t>
      </w:r>
    </w:p>
    <w:p>
      <w:pPr>
        <w:keepNext/>
        <w:spacing w:before="240" w:after="80"/>
        <w:jc w:val="center"/>
      </w:pPr>
      <w:r>
        <w:drawing>
          <wp:inline xmlns:a="http://schemas.openxmlformats.org/drawingml/2006/main" xmlns:pic="http://schemas.openxmlformats.org/drawingml/2006/picture">
            <wp:extent cx="5544000" cy="2648800"/>
            <wp:docPr id="3" name="Picture 3"/>
            <wp:cNvGraphicFramePr>
              <a:graphicFrameLocks noChangeAspect="1"/>
            </wp:cNvGraphicFramePr>
            <a:graphic>
              <a:graphicData uri="http://schemas.openxmlformats.org/drawingml/2006/picture">
                <pic:pic>
                  <pic:nvPicPr>
                    <pic:cNvPr id="0" name="fig2_aspect_ratio.png"/>
                    <pic:cNvPicPr/>
                  </pic:nvPicPr>
                  <pic:blipFill>
                    <a:blip r:embed="rId11"/>
                    <a:stretch>
                      <a:fillRect/>
                    </a:stretch>
                  </pic:blipFill>
                  <pic:spPr>
                    <a:xfrm>
                      <a:off x="0" y="0"/>
                      <a:ext cx="5544000" cy="2648800"/>
                    </a:xfrm>
                    <a:prstGeom prst="rect"/>
                  </pic:spPr>
                </pic:pic>
              </a:graphicData>
            </a:graphic>
          </wp:inline>
        </w:drawing>
      </w:r>
    </w:p>
    <w:p>
      <w:pPr>
        <w:bidi/>
        <w:spacing w:after="280"/>
        <w:jc w:val="center"/>
      </w:pPr>
      <w:r>
        <w:rPr>
          <w:rFonts w:ascii="Times New Roman" w:hAnsi="Times New Roman" w:cs="Noto Naskh Arabic"/>
          <w:b/>
          <w:bCs w:val="1"/>
          <w:i w:val="0"/>
          <w:color w:val="555555"/>
          <w:sz w:val="19"/>
          <w:szCs w:val="19"/>
          <w:rtl/>
          <w:cs/>
        </w:rPr>
        <w:t xml:space="preserve">الشكل ٣. </w:t>
      </w:r>
      <w:r>
        <w:rPr>
          <w:rFonts w:ascii="Times New Roman" w:hAnsi="Times New Roman" w:cs="Noto Naskh Arabic"/>
          <w:b w:val="0"/>
          <w:i w:val="0"/>
          <w:color w:val="555555"/>
          <w:sz w:val="19"/>
          <w:szCs w:val="19"/>
          <w:rtl/>
          <w:cs/>
        </w:rPr>
        <w:t>التمييز الهندسي لصيغة التعبئة. يساراً: عبوتان متطابقتان في الملصق ومتساويتان في الحجم لكنهما مختلفتان في النسبة. يميناً: توزيع نسبة الأبعاد الملاحَظ عبر التعليقات الـ٤٬٦٤١ جميعها، مُظهِراً نطاقات متلاصقة غير متداخلة.</w:t>
      </w:r>
    </w:p>
    <w:p>
      <w:pPr>
        <w:keepNext/>
        <w:bidi/>
        <w:spacing w:before="360" w:after="140"/>
        <w:jc w:val="right"/>
      </w:pPr>
      <w:r>
        <w:rPr>
          <w:rFonts w:ascii="Times New Roman" w:hAnsi="Times New Roman" w:cs="Noto Naskh Arabic"/>
          <w:b/>
          <w:bCs w:val="1"/>
          <w:i w:val="0"/>
          <w:color w:val="1A3A5C"/>
          <w:sz w:val="28"/>
          <w:szCs w:val="28"/>
          <w:rtl/>
          <w:cs/>
        </w:rPr>
        <w:t>٧. عوامل جودة البيانات في الصور غير المضبوطة</w:t>
      </w:r>
    </w:p>
    <w:p>
      <w:pPr>
        <w:keepNext w:val="0"/>
        <w:bidi/>
        <w:spacing w:after="160" w:before="0" w:line="348" w:lineRule="auto"/>
        <w:jc w:val="both"/>
      </w:pPr>
      <w:r>
        <w:rPr>
          <w:rFonts w:ascii="Times New Roman" w:hAnsi="Times New Roman" w:cs="Noto Naskh Arabic"/>
          <w:b w:val="0"/>
          <w:i w:val="0"/>
          <w:color w:val="111111"/>
          <w:sz w:val="23"/>
          <w:szCs w:val="23"/>
          <w:rtl/>
          <w:cs/>
        </w:rPr>
        <w:t>لمّا كانت إشارة نسبة الأبعاد مشتقّة من هندسة الصندوق المُعلَّم، فإن موثوقيتها تعتمد اعتماداً مباشراً على مدى مطابقة ذلك الصندوق للكائن الحقيقي. وقد جرى تصنيف عدة أنماط للإخفاق خلال التدريب، يُدهور كلٌّ منها هذه المطابقة على نحو متمايز.</w:t>
      </w:r>
    </w:p>
    <w:p>
      <w:pPr>
        <w:keepNext w:val="0"/>
        <w:bidi/>
        <w:spacing w:after="120" w:before="0" w:line="348" w:lineRule="auto"/>
        <w:jc w:val="both"/>
      </w:pPr>
      <w:r>
        <w:rPr>
          <w:rFonts w:ascii="Times New Roman" w:hAnsi="Times New Roman" w:cs="Noto Naskh Arabic"/>
          <w:b w:val="0"/>
          <w:i w:val="0"/>
          <w:color w:val="111111"/>
          <w:sz w:val="23"/>
          <w:szCs w:val="23"/>
          <w:rtl/>
          <w:cs/>
        </w:rPr>
        <w:t>القطع. إن الكائنات التي تتقاطع مع حدّ الإطار، والصور القريبة التي تمتد فيها العبوة خارج المنطقة المرئية، تُنتج صناديق جزئية. ويغدو الارتفاع المقيس عندئذٍ حدّاً أدنى لا قياساً، فتُقرأ العلبة النحيفة على أنها قياسية. وهذا النمط ليس نظرياً فحسب: فقد شكّل ٤٫٢٪ من المدوَّنة واستوجب حارساً صريحاً في قاعدة القرار المُنفَّذة.</w:t>
      </w:r>
    </w:p>
    <w:p>
      <w:pPr>
        <w:keepNext w:val="0"/>
        <w:bidi/>
        <w:spacing w:after="120" w:before="0" w:line="348" w:lineRule="auto"/>
        <w:jc w:val="both"/>
      </w:pPr>
      <w:r>
        <w:rPr>
          <w:rFonts w:ascii="Times New Roman" w:hAnsi="Times New Roman" w:cs="Noto Naskh Arabic"/>
          <w:b w:val="0"/>
          <w:i w:val="0"/>
          <w:color w:val="111111"/>
          <w:sz w:val="23"/>
          <w:szCs w:val="23"/>
          <w:rtl/>
          <w:cs/>
        </w:rPr>
        <w:t>التشوّه المنظوري. إن العبوة المصوَّرة من زاوية مائلة أو من أعلى تُسقَط على مستوى الصورة بنِسَب مُغيَّرة، فيمكن للمنتج الفيزيائي ذاته أن يُنتج نِسَب أبعاد مختلفة اختلافاً جوهرياً عبر وجهات النظر.</w:t>
      </w:r>
    </w:p>
    <w:p>
      <w:pPr>
        <w:keepNext w:val="0"/>
        <w:bidi/>
        <w:spacing w:after="120" w:before="0" w:line="348" w:lineRule="auto"/>
        <w:jc w:val="both"/>
      </w:pPr>
      <w:r>
        <w:rPr>
          <w:rFonts w:ascii="Times New Roman" w:hAnsi="Times New Roman" w:cs="Noto Naskh Arabic"/>
          <w:b w:val="0"/>
          <w:i w:val="0"/>
          <w:color w:val="111111"/>
          <w:sz w:val="23"/>
          <w:szCs w:val="23"/>
          <w:rtl/>
          <w:cs/>
        </w:rPr>
        <w:t>الحجب والتراص الكثيف. إن المنتجات المرتّبة في صفوف متلاصقة تحجب بعضها بعضاً جزئياً، مما يجعل الحدود ملتبسة ويؤدي أحياناً إلى أن يُحيط صندوق واحد بأجزاء من وحدتين متجاورتين.</w:t>
      </w:r>
    </w:p>
    <w:p>
      <w:pPr>
        <w:keepNext w:val="0"/>
        <w:bidi/>
        <w:spacing w:after="120" w:before="0" w:line="348" w:lineRule="auto"/>
        <w:jc w:val="both"/>
      </w:pPr>
      <w:r>
        <w:rPr>
          <w:rFonts w:ascii="Times New Roman" w:hAnsi="Times New Roman" w:cs="Noto Naskh Arabic"/>
          <w:b w:val="0"/>
          <w:i w:val="0"/>
          <w:color w:val="111111"/>
          <w:sz w:val="23"/>
          <w:szCs w:val="23"/>
          <w:rtl/>
          <w:cs/>
        </w:rPr>
        <w:t>الانعكاس المرآوي. إن الأسطح المعدنية العاكسة لعلب المشروبات تُشتّت الضوء وتُضبّب الحواف المُدرَكة، مما يُقلّل الدقة التي يمكن بها تحديد مواضع الحدود.</w:t>
      </w:r>
    </w:p>
    <w:p>
      <w:pPr>
        <w:keepNext w:val="0"/>
        <w:bidi/>
        <w:spacing w:after="120" w:before="0" w:line="348" w:lineRule="auto"/>
        <w:jc w:val="both"/>
      </w:pPr>
      <w:r>
        <w:rPr>
          <w:rFonts w:ascii="Times New Roman" w:hAnsi="Times New Roman" w:cs="Noto Naskh Arabic"/>
          <w:b w:val="0"/>
          <w:i w:val="0"/>
          <w:color w:val="111111"/>
          <w:sz w:val="23"/>
          <w:szCs w:val="23"/>
          <w:rtl/>
          <w:cs/>
        </w:rPr>
        <w:t>الخطأ المُتوارَث في التعليم. حيثما رُسم الصندوق الأصلي على نحو فضفاض أو ضيّق بالقياس إلى الحدّ الحقيقي للمنتج، فإن أي كمية هندسية تُشتق منه ترث ذلك الخطأ من دون تغيير.</w:t>
      </w:r>
    </w:p>
    <w:p>
      <w:pPr>
        <w:keepNext w:val="0"/>
        <w:bidi/>
        <w:spacing w:after="160" w:before="0" w:line="348" w:lineRule="auto"/>
        <w:jc w:val="both"/>
      </w:pPr>
      <w:r>
        <w:rPr>
          <w:rFonts w:ascii="Times New Roman" w:hAnsi="Times New Roman" w:cs="Noto Naskh Arabic"/>
          <w:b w:val="0"/>
          <w:i w:val="0"/>
          <w:color w:val="111111"/>
          <w:sz w:val="23"/>
          <w:szCs w:val="23"/>
          <w:rtl/>
          <w:cs/>
        </w:rPr>
        <w:t>ويترتب على ذلك مبدأ منهجي مباشر: حين تكون الأدلة الهندسية منقوصة، فإن النتيجة الصحيحة هي الامتناع الصريح عن الحكم بدلاً من تخمين منخفض الثقة، لأن التسمية الخاطئة تنتشر ضمنياً إلى التقارير التجارية اللاحقة. وقد نُفِّذ هذا المبدأ حرفياً — إذ تمتنع القاعدة الهندسية عن الحكم على أي صندوق يلامس حدّ الإطار، فتُبقي تسمية المُصنِّف الأصلية — كما كان الدافعَ وراء واجهة التحقق البشري الموصوفة في القسم العاشر.</w:t>
      </w:r>
    </w:p>
    <w:p>
      <w:pPr>
        <w:keepNext/>
        <w:bidi/>
        <w:spacing w:before="360" w:after="140"/>
        <w:jc w:val="right"/>
      </w:pPr>
      <w:r>
        <w:rPr>
          <w:rFonts w:ascii="Times New Roman" w:hAnsi="Times New Roman" w:cs="Noto Naskh Arabic"/>
          <w:b/>
          <w:bCs w:val="1"/>
          <w:i w:val="0"/>
          <w:color w:val="1A3A5C"/>
          <w:sz w:val="28"/>
          <w:szCs w:val="28"/>
          <w:rtl/>
          <w:cs/>
        </w:rPr>
        <w:t>٨. معمارية خط المعالجة الهرمي</w:t>
      </w:r>
    </w:p>
    <w:p>
      <w:pPr>
        <w:keepNext w:val="0"/>
        <w:bidi/>
        <w:spacing w:after="160" w:before="0" w:line="348" w:lineRule="auto"/>
        <w:jc w:val="both"/>
      </w:pPr>
      <w:r>
        <w:rPr>
          <w:rFonts w:ascii="Times New Roman" w:hAnsi="Times New Roman" w:cs="Noto Naskh Arabic"/>
          <w:b w:val="0"/>
          <w:i w:val="0"/>
          <w:color w:val="111111"/>
          <w:sz w:val="23"/>
          <w:szCs w:val="23"/>
          <w:rtl/>
          <w:cs/>
        </w:rPr>
        <w:t>تتركّب المفاهيم السابقة في معمارية ثلاثية المراحل، تُضيّق فيها كل مرحلة فضاء القرار المعروض على المرحلة التالية.</w:t>
      </w:r>
    </w:p>
    <w:p>
      <w:pPr>
        <w:keepNext w:val="0"/>
        <w:bidi/>
        <w:spacing w:after="160" w:before="0" w:line="348" w:lineRule="auto"/>
        <w:jc w:val="both"/>
      </w:pPr>
      <w:r>
        <w:rPr>
          <w:rFonts w:ascii="Times New Roman" w:hAnsi="Times New Roman" w:cs="Noto Naskh Arabic"/>
          <w:b w:val="0"/>
          <w:i w:val="0"/>
          <w:color w:val="111111"/>
          <w:sz w:val="23"/>
          <w:szCs w:val="23"/>
          <w:rtl/>
          <w:cs/>
        </w:rPr>
        <w:t>فالمرحلة الأولى، وهي الكشف المحايد صنفياً، تُحدّد موضع كل منتج على الرف تحت صنف عام واحد، مُنتجةً صناديق الإحاطة وأعداد الوحدات والمواضع المكانية والقياسات الهندسية المطلوبة لاحقاً. والمرحلة الثانية، وهي تصنيف الشركة المصنِّعة، تُطابق كل منطقة مقتطعة بشركة مصنِّعة عبر تشابه التمثيلات المتجهية؛ وهذه الطبقة صغيرة ومستقرة، إذ إن مجموعة الشركات المصنِّعة في سوق ما تتغير ببطء أشد كثيراً من تغيّر مجموعة المنتجات، مما يجعلها ملائمة لنهج لا يتطلب تدريباً. والمرحلة الثالثة، وهي تصنيف المنتج والصيغة، تعمل ضمن مجموعة المرشحين المُضيَّقة التي أرستها المرحلة الثانية: فيحدد مُصنِّف مُدرَّب المتغيّرَ النوعي للعلامة، بينما تحدد هندسة الصندوق صيغةَ العبوة.</w:t>
      </w:r>
    </w:p>
    <w:p>
      <w:pPr>
        <w:keepNext w:val="0"/>
        <w:bidi/>
        <w:spacing w:after="160" w:before="0" w:line="348" w:lineRule="auto"/>
        <w:jc w:val="both"/>
      </w:pPr>
      <w:r>
        <w:rPr>
          <w:rFonts w:ascii="Times New Roman" w:hAnsi="Times New Roman" w:cs="Noto Naskh Arabic"/>
          <w:b w:val="0"/>
          <w:i w:val="0"/>
          <w:color w:val="111111"/>
          <w:sz w:val="23"/>
          <w:szCs w:val="23"/>
          <w:rtl/>
          <w:cs/>
        </w:rPr>
        <w:t>وحصر المقارنة في كتالوج شركة مصنِّعة واحدة بدلاً من السوق بأكمله يُقلّل الالتباس البصري بين المرشحين تقليلاً جوهرياً. وتجدر الإشارة إلى أن جميع المراحل بعد الأولى هي عمليات تصنيف: فخط المعالجة هو كشف ثم تصنيف ثم تصنيف، لا كشف متكرر. إذ يُحسَب التوطين مرة واحدة ويُعاد استخدامه، لأن الإحداثيات المكانية لا تتغير بين المراحل.</w:t>
      </w:r>
    </w:p>
    <w:p>
      <w:pPr>
        <w:keepNext w:val="0"/>
        <w:bidi/>
        <w:spacing w:after="160" w:before="0" w:line="348" w:lineRule="auto"/>
        <w:jc w:val="both"/>
      </w:pPr>
      <w:r>
        <w:rPr>
          <w:rFonts w:ascii="Times New Roman" w:hAnsi="Times New Roman" w:cs="Noto Naskh Arabic"/>
          <w:b w:val="0"/>
          <w:i w:val="0"/>
          <w:color w:val="111111"/>
          <w:sz w:val="23"/>
          <w:szCs w:val="23"/>
          <w:rtl/>
          <w:cs/>
        </w:rPr>
        <w:t>ويوضّح تسلسلٌ هرمي تمثيلي للأصناف هذا الفصلَ بين المسؤوليات. فالمرحلة الأولى تُسنِد product؛ والثانية تُسنِد coca-cola؛ أما الثالثة فتُسنِد مُعرِّف وحدة المخزون الكامل، حيث يُوفّر المُصنِّف البصري المتغيّرَ النوعي للعلامة، وتُوفّر القاعدة الهندسية التمييزَ بين الصيغتين.</w:t>
      </w:r>
    </w:p>
    <w:p>
      <w:pPr>
        <w:keepNext/>
        <w:spacing w:before="240" w:after="80"/>
        <w:jc w:val="center"/>
      </w:pPr>
      <w:r>
        <w:drawing>
          <wp:inline xmlns:a="http://schemas.openxmlformats.org/drawingml/2006/main" xmlns:pic="http://schemas.openxmlformats.org/drawingml/2006/picture">
            <wp:extent cx="5544000" cy="2895200"/>
            <wp:docPr id="4" name="Picture 4"/>
            <wp:cNvGraphicFramePr>
              <a:graphicFrameLocks noChangeAspect="1"/>
            </wp:cNvGraphicFramePr>
            <a:graphic>
              <a:graphicData uri="http://schemas.openxmlformats.org/drawingml/2006/picture">
                <pic:pic>
                  <pic:nvPicPr>
                    <pic:cNvPr id="0" name="fig3_pipeline.png"/>
                    <pic:cNvPicPr/>
                  </pic:nvPicPr>
                  <pic:blipFill>
                    <a:blip r:embed="rId12"/>
                    <a:stretch>
                      <a:fillRect/>
                    </a:stretch>
                  </pic:blipFill>
                  <pic:spPr>
                    <a:xfrm>
                      <a:off x="0" y="0"/>
                      <a:ext cx="5544000" cy="2895200"/>
                    </a:xfrm>
                    <a:prstGeom prst="rect"/>
                  </pic:spPr>
                </pic:pic>
              </a:graphicData>
            </a:graphic>
          </wp:inline>
        </w:drawing>
      </w:r>
    </w:p>
    <w:p>
      <w:pPr>
        <w:bidi/>
        <w:spacing w:after="280"/>
        <w:jc w:val="center"/>
      </w:pPr>
      <w:r>
        <w:rPr>
          <w:rFonts w:ascii="Times New Roman" w:hAnsi="Times New Roman" w:cs="Noto Naskh Arabic"/>
          <w:b/>
          <w:bCs w:val="1"/>
          <w:i w:val="0"/>
          <w:color w:val="555555"/>
          <w:sz w:val="19"/>
          <w:szCs w:val="19"/>
          <w:rtl/>
          <w:cs/>
        </w:rPr>
        <w:t xml:space="preserve">الشكل ٤. </w:t>
      </w:r>
      <w:r>
        <w:rPr>
          <w:rFonts w:ascii="Times New Roman" w:hAnsi="Times New Roman" w:cs="Noto Naskh Arabic"/>
          <w:b w:val="0"/>
          <w:i w:val="0"/>
          <w:color w:val="555555"/>
          <w:sz w:val="19"/>
          <w:szCs w:val="19"/>
          <w:rtl/>
          <w:cs/>
        </w:rPr>
        <w:t>مخطط كتلي لخط المعالجة الثلاثي، يُظهر التدفق من صورة الرف الخام مروراً بالكشف المحايد صنفياً واقتطاع المناطق وتصنيف الشركة المصنِّعة، وصولاً إلى دمج الأدلة البصرية والهندسية على مستوى وحدة المخزون.</w:t>
      </w:r>
    </w:p>
    <w:p>
      <w:pPr>
        <w:keepNext/>
        <w:bidi/>
        <w:spacing w:before="360" w:after="140"/>
        <w:jc w:val="right"/>
      </w:pPr>
      <w:r>
        <w:rPr>
          <w:rFonts w:ascii="Times New Roman" w:hAnsi="Times New Roman" w:cs="Noto Naskh Arabic"/>
          <w:b/>
          <w:bCs w:val="1"/>
          <w:i w:val="0"/>
          <w:color w:val="1A3A5C"/>
          <w:sz w:val="28"/>
          <w:szCs w:val="28"/>
          <w:rtl/>
          <w:cs/>
        </w:rPr>
        <w:t>٩. التنفيذ على المنصة</w:t>
      </w:r>
    </w:p>
    <w:p>
      <w:pPr>
        <w:keepNext w:val="0"/>
        <w:bidi/>
        <w:spacing w:after="160" w:before="0" w:line="348" w:lineRule="auto"/>
        <w:jc w:val="both"/>
      </w:pPr>
      <w:r>
        <w:rPr>
          <w:rFonts w:ascii="Times New Roman" w:hAnsi="Times New Roman" w:cs="Noto Naskh Arabic"/>
          <w:b w:val="0"/>
          <w:i w:val="0"/>
          <w:color w:val="111111"/>
          <w:sz w:val="23"/>
          <w:szCs w:val="23"/>
          <w:rtl/>
          <w:cs/>
        </w:rPr>
        <w:t>جرى إسقاط المعمارية المقترحة على منصة Roboflow Workflows، وهي المنصة المستخدمة تشغيلياً. وقد أكّد التحقق من وثائق المنصة أن كل مُكوِّن مطلوب موجود فيها أصلاً، باستثناء واحد.</w:t>
      </w:r>
    </w:p>
    <w:p>
      <w:pPr>
        <w:keepNext/>
        <w:bidi/>
        <w:spacing w:before="240" w:after="100"/>
        <w:jc w:val="center"/>
      </w:pPr>
      <w:r>
        <w:rPr>
          <w:rFonts w:ascii="Times New Roman" w:hAnsi="Times New Roman" w:cs="Noto Naskh Arabic"/>
          <w:b/>
          <w:bCs w:val="1"/>
          <w:i w:val="0"/>
          <w:color w:val="555555"/>
          <w:sz w:val="19"/>
          <w:szCs w:val="19"/>
          <w:rtl/>
          <w:cs/>
        </w:rPr>
        <w:t xml:space="preserve">الجدول ١. </w:t>
      </w:r>
      <w:r>
        <w:rPr>
          <w:rFonts w:ascii="Times New Roman" w:hAnsi="Times New Roman" w:cs="Noto Naskh Arabic"/>
          <w:b w:val="0"/>
          <w:i w:val="0"/>
          <w:color w:val="555555"/>
          <w:sz w:val="19"/>
          <w:szCs w:val="19"/>
          <w:rtl/>
          <w:cs/>
        </w:rPr>
        <w:t>إسقاط مراحل خط المعالجة على مكوّنات المنصة الأصلية.</w:t>
      </w:r>
    </w:p>
    <w:tbl>
      <w:tblPr>
        <w:tblStyle w:val="TableGrid"/>
        <w:bidiVisual/>
        <w:tblW w:type="auto" w:w="0"/>
        <w:jc w:val="right"/>
        <w:tblLook w:firstColumn="1" w:firstRow="1" w:lastColumn="0" w:lastRow="0" w:noHBand="0" w:noVBand="1" w:val="04A0"/>
      </w:tblPr>
      <w:tblGrid>
        <w:gridCol w:w="2986"/>
        <w:gridCol w:w="2986"/>
        <w:gridCol w:w="2986"/>
      </w:tblGrid>
      <w:tr>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وظيفة خط المعالجة</w:t>
            </w:r>
          </w:p>
        </w:tc>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مكوّن المنصة</w:t>
            </w:r>
          </w:p>
        </w:tc>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يتطلب تدريباً</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الكشف المحايد صنفياً</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Object Detection Model</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نعم</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اقتطاع المناطق</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Dynamic Crop</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لا</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تصنيف الشركة المصنِّعة</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CLIP Comparison</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لا (من دون تدريب)</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تصنيف المنتج / المتغيّر</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Single-Label Classification Model</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نعم</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تمييز الصيغة هندسياً</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Dynamic Python Block</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لا (قائم على قاعدة)</w:t>
            </w:r>
          </w:p>
        </w:tc>
      </w:tr>
    </w:tbl>
    <w:p>
      <w:pPr>
        <w:spacing w:after="200" w:before="0"/>
      </w:pPr>
    </w:p>
    <w:p>
      <w:pPr>
        <w:keepNext w:val="0"/>
        <w:bidi/>
        <w:spacing w:after="160" w:before="0" w:line="348" w:lineRule="auto"/>
        <w:jc w:val="both"/>
      </w:pPr>
      <w:r>
        <w:rPr>
          <w:rFonts w:ascii="Times New Roman" w:hAnsi="Times New Roman" w:cs="Noto Naskh Arabic"/>
          <w:b w:val="0"/>
          <w:i w:val="0"/>
          <w:color w:val="111111"/>
          <w:sz w:val="23"/>
          <w:szCs w:val="23"/>
          <w:rtl/>
          <w:cs/>
        </w:rPr>
        <w:t>وقاعدة القرار الهندسي هي المُكوِّن الوحيد الذي لا يوجد له مُكافئ جاهز. وتُنفَّذ عبر كتلة Dynamic Python Block، التي تسمح لمنطق مخصص باستهلاك مخرجات الكتل السابقة — بقراءة أبعاد صندوق الإحاطة وتطبيق عتبة نسبة الأبعاد الفاصلة بين صيغ التعبئة. ويمثل ذلك كمية ضئيلة من الشيفرة البرمجية لا نموذجاً مُدرَّباً إضافياً. وفي التطبيق المُسلَّم نُفِّذت القاعدة ذاتها على جانب العميل، بما يُبرهن على قابلية خطوة الدمج للنقل عبر سياقات تنفيذ مختلفة.</w:t>
      </w:r>
    </w:p>
    <w:p>
      <w:pPr>
        <w:keepNext w:val="0"/>
        <w:bidi/>
        <w:spacing w:after="160" w:before="0" w:line="348" w:lineRule="auto"/>
        <w:jc w:val="both"/>
      </w:pPr>
      <w:r>
        <w:rPr>
          <w:rFonts w:ascii="Times New Roman" w:hAnsi="Times New Roman" w:cs="Noto Naskh Arabic"/>
          <w:b w:val="0"/>
          <w:i w:val="0"/>
          <w:color w:val="111111"/>
          <w:sz w:val="23"/>
          <w:szCs w:val="23"/>
          <w:rtl/>
          <w:cs/>
        </w:rPr>
        <w:t>كما يُتيح سير العمل معاملات زمن تشغيل — عتبة الثقة، وعتبة التقاطع على الاتحاد، وكبح القيم غير العظمى المحايد صنفياً، والحد الأقصى لعدد الاكتشافات، ونسخة النموذج — يعرضها التطبيق للمُشغِّل، بحيث يمكن ضبط سلوك الكشف ميدانياً من دون إعادة نشر.</w:t>
      </w:r>
    </w:p>
    <w:p>
      <w:pPr>
        <w:keepNext/>
        <w:bidi/>
        <w:spacing w:before="360" w:after="140"/>
        <w:jc w:val="right"/>
      </w:pPr>
      <w:r>
        <w:rPr>
          <w:rFonts w:ascii="Times New Roman" w:hAnsi="Times New Roman" w:cs="Noto Naskh Arabic"/>
          <w:b/>
          <w:bCs w:val="1"/>
          <w:i w:val="0"/>
          <w:color w:val="1A3A5C"/>
          <w:sz w:val="28"/>
          <w:szCs w:val="28"/>
          <w:rtl/>
          <w:cs/>
        </w:rPr>
        <w:t>١٠. تطبيق جمع البيانات الميداني</w:t>
      </w:r>
    </w:p>
    <w:p>
      <w:pPr>
        <w:keepNext w:val="0"/>
        <w:bidi/>
        <w:spacing w:after="160" w:before="0" w:line="348" w:lineRule="auto"/>
        <w:jc w:val="both"/>
      </w:pPr>
      <w:r>
        <w:rPr>
          <w:rFonts w:ascii="Times New Roman" w:hAnsi="Times New Roman" w:cs="Noto Naskh Arabic"/>
          <w:b w:val="0"/>
          <w:i w:val="0"/>
          <w:color w:val="111111"/>
          <w:sz w:val="23"/>
          <w:szCs w:val="23"/>
          <w:rtl/>
          <w:cs/>
        </w:rPr>
        <w:t>من الموضوعات المتكررة في التحليل أن مُخرَجات النموذج على الصور غير المضبوطة لا يمكن اعتبارها نهائية: فالحالات الملتبسة تنشأ بنيوياً لا عرَضياً. ولذلك طُوِّر تطبيق متعدد المنصّات باستخدام إطار Flutter ليؤدي ثلاثة أدوار — توحيد معايير الالتقاط الميداني عند نقطة الجمع، وتشغيل خط المعالجة التحليلي على الصورة الملتقَطة، وإقحام التحقق البشري بين استدلال النموذج وبين البيانات المُثبَتة.</w:t>
      </w:r>
    </w:p>
    <w:p>
      <w:pPr>
        <w:keepNext w:val="0"/>
        <w:bidi/>
        <w:spacing w:after="160" w:before="0" w:line="348" w:lineRule="auto"/>
        <w:jc w:val="both"/>
      </w:pPr>
      <w:r>
        <w:rPr>
          <w:rFonts w:ascii="Times New Roman" w:hAnsi="Times New Roman" w:cs="Noto Naskh Arabic"/>
          <w:b w:val="0"/>
          <w:i w:val="0"/>
          <w:color w:val="111111"/>
          <w:sz w:val="23"/>
          <w:szCs w:val="23"/>
          <w:rtl/>
          <w:cs/>
        </w:rPr>
        <w:t>ويتألف التطبيق المُسلَّم من ٦٠ ملفاً مصدرياً بلغة Dart يبلغ مجموعها نحو ١٠٬٨٠٠ سطر، منظّمة في ست طبقات، ويصحبها ٢٠ ملف اختبار يبلغ مجموعها نحو ٤٬١٠٠ سطر.</w:t>
      </w:r>
    </w:p>
    <w:p>
      <w:pPr>
        <w:keepNext/>
        <w:bidi/>
        <w:spacing w:before="240" w:after="100"/>
        <w:jc w:val="center"/>
      </w:pPr>
      <w:r>
        <w:rPr>
          <w:rFonts w:ascii="Times New Roman" w:hAnsi="Times New Roman" w:cs="Noto Naskh Arabic"/>
          <w:b/>
          <w:bCs w:val="1"/>
          <w:i w:val="0"/>
          <w:color w:val="555555"/>
          <w:sz w:val="19"/>
          <w:szCs w:val="19"/>
          <w:rtl/>
          <w:cs/>
        </w:rPr>
        <w:t xml:space="preserve">الجدول ٢. </w:t>
      </w:r>
      <w:r>
        <w:rPr>
          <w:rFonts w:ascii="Times New Roman" w:hAnsi="Times New Roman" w:cs="Noto Naskh Arabic"/>
          <w:b w:val="0"/>
          <w:i w:val="0"/>
          <w:color w:val="555555"/>
          <w:sz w:val="19"/>
          <w:szCs w:val="19"/>
          <w:rtl/>
          <w:cs/>
        </w:rPr>
        <w:t>تركيب التطبيق المُسلَّم بحسب الطبقة المعمارية.</w:t>
      </w:r>
    </w:p>
    <w:tbl>
      <w:tblPr>
        <w:tblStyle w:val="TableGrid"/>
        <w:bidiVisual/>
        <w:tblW w:type="auto" w:w="0"/>
        <w:jc w:val="right"/>
        <w:tblLook w:firstColumn="1" w:firstRow="1" w:lastColumn="0" w:lastRow="0" w:noHBand="0" w:noVBand="1" w:val="04A0"/>
      </w:tblPr>
      <w:tblGrid>
        <w:gridCol w:w="2986"/>
        <w:gridCol w:w="2986"/>
        <w:gridCol w:w="2986"/>
      </w:tblGrid>
      <w:tr>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الطبقة</w:t>
            </w:r>
          </w:p>
        </w:tc>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عدد الوحدات</w:t>
            </w:r>
          </w:p>
        </w:tc>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المسؤولية</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الشاشات</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١٢</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المصادقة والالتقاط والمراجعة والإدارة وسير الزيارة</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الخدمات</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١٤</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الكشف والكاميرا والمصادقة وحفظ الأسواق والزيارات</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النماذج</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١٣</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الاكتشافات وصناديق الإحاطة وقواعد الشكل وحصة الرف وملفات المستخدمين</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الودجات</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١٧</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طبقات عرض الاكتشافات والمحرِّرات والتخطيط المتكيّف ولوحات النتائج</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الإعداد والسمة</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٤</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إعدادات زمن التشغيل ورموز العرض</w:t>
            </w:r>
          </w:p>
        </w:tc>
      </w:tr>
    </w:tbl>
    <w:p>
      <w:pPr>
        <w:spacing w:after="200" w:before="0"/>
      </w:pPr>
    </w:p>
    <w:p>
      <w:pPr>
        <w:keepNext/>
        <w:bidi/>
        <w:spacing w:before="240" w:after="140"/>
        <w:jc w:val="right"/>
      </w:pPr>
      <w:r>
        <w:rPr>
          <w:rFonts w:ascii="Times New Roman" w:hAnsi="Times New Roman" w:cs="Noto Naskh Arabic"/>
          <w:b/>
          <w:bCs w:val="1"/>
          <w:i w:val="0"/>
          <w:color w:val="1A3A5C"/>
          <w:sz w:val="24"/>
          <w:szCs w:val="24"/>
          <w:rtl/>
          <w:cs/>
        </w:rPr>
        <w:t>١٠.١ الالتقاط المُهيكل</w:t>
      </w:r>
    </w:p>
    <w:p>
      <w:pPr>
        <w:keepNext w:val="0"/>
        <w:bidi/>
        <w:spacing w:after="160" w:before="0" w:line="348" w:lineRule="auto"/>
        <w:jc w:val="both"/>
      </w:pPr>
      <w:r>
        <w:rPr>
          <w:rFonts w:ascii="Times New Roman" w:hAnsi="Times New Roman" w:cs="Noto Naskh Arabic"/>
          <w:b w:val="0"/>
          <w:i w:val="0"/>
          <w:color w:val="111111"/>
          <w:sz w:val="23"/>
          <w:szCs w:val="23"/>
          <w:rtl/>
          <w:cs/>
        </w:rPr>
        <w:t>يُنفِّذ التطبيق سير عمل مُفرَّقاً بحسب الأدوار. إذ يُعرِّف مسؤولو الشركة مجموعة الأسواق الخاضعة للتدقيق ويديرونها، ويراجعون طلبات وصول الفريق؛ بينما يختار المندوبون الميدانيون سوقاً، ويلتقطون صور الرفوف عبر واجهة كاميرا مخصصة بنسبة أبعاد قابلة للاختيار، ويحفظون النتيجة منسوبةً إلى ذلك السوق ضمن زيارة مُسجَّلة. وربط كل صورة بسوق معلوم لحظةَ الالتقاط يضمن أن البيانات المجموعة تحمل البيانات الوصفية السياقية اللازمة للتحليل التجاري اللاحق، بدلاً من أن تَرِد كصور غير منسوبة.</w:t>
      </w:r>
    </w:p>
    <w:p>
      <w:pPr>
        <w:keepNext/>
        <w:bidi/>
        <w:spacing w:before="240" w:after="140"/>
        <w:jc w:val="right"/>
      </w:pPr>
      <w:r>
        <w:rPr>
          <w:rFonts w:ascii="Times New Roman" w:hAnsi="Times New Roman" w:cs="Noto Naskh Arabic"/>
          <w:b/>
          <w:bCs w:val="1"/>
          <w:i w:val="0"/>
          <w:color w:val="1A3A5C"/>
          <w:sz w:val="24"/>
          <w:szCs w:val="24"/>
          <w:rtl/>
          <w:cs/>
        </w:rPr>
        <w:t>١٠.٢ التحقق بمشاركة العنصر البشري</w:t>
      </w:r>
    </w:p>
    <w:p>
      <w:pPr>
        <w:keepNext w:val="0"/>
        <w:bidi/>
        <w:spacing w:after="160" w:before="0" w:line="348" w:lineRule="auto"/>
        <w:jc w:val="both"/>
      </w:pPr>
      <w:r>
        <w:rPr>
          <w:rFonts w:ascii="Times New Roman" w:hAnsi="Times New Roman" w:cs="Noto Naskh Arabic"/>
          <w:b w:val="0"/>
          <w:i w:val="0"/>
          <w:color w:val="111111"/>
          <w:sz w:val="23"/>
          <w:szCs w:val="23"/>
          <w:rtl/>
          <w:cs/>
        </w:rPr>
        <w:t>يتيح محرِّر الكشف للمُشغِّل مراجعة الاكتشافات التي أنتجها النموذج وتصحيحها قبل الإرسال. ويعالج هذا المكوّن أنماطَ الإخفاق الواردة في القسم السابع معالجةً تشغيلية: فحيثما يجعل القطعُ أو الحجبُ أو المنظورُ التصنيفَ الآلي غير موثوق، يحسمه المُشغِّل بدلاً من السماح لتسمية منخفضة الثقة بالانتشار. كما تشكّل التصحيحات إشارةً خاضعة للإشراف صالحة لإعادة التدريب لاحقاً، بحيث يُولّد الاستخدام الميداني الاعتيادي بياناتِ تدريبٍ كناتج عرَضي للتشغيل الطبيعي.</w:t>
      </w:r>
    </w:p>
    <w:p>
      <w:pPr>
        <w:keepNext/>
        <w:bidi/>
        <w:spacing w:before="240" w:after="140"/>
        <w:jc w:val="right"/>
      </w:pPr>
      <w:r>
        <w:rPr>
          <w:rFonts w:ascii="Times New Roman" w:hAnsi="Times New Roman" w:cs="Noto Naskh Arabic"/>
          <w:b/>
          <w:bCs w:val="1"/>
          <w:i w:val="0"/>
          <w:color w:val="1A3A5C"/>
          <w:sz w:val="24"/>
          <w:szCs w:val="24"/>
          <w:rtl/>
          <w:cs/>
        </w:rPr>
        <w:t>١٠.٣ القياس التجاري</w:t>
      </w:r>
    </w:p>
    <w:p>
      <w:pPr>
        <w:keepNext w:val="0"/>
        <w:bidi/>
        <w:spacing w:after="160" w:before="0" w:line="348" w:lineRule="auto"/>
        <w:jc w:val="both"/>
      </w:pPr>
      <w:r>
        <w:rPr>
          <w:rFonts w:ascii="Times New Roman" w:hAnsi="Times New Roman" w:cs="Noto Naskh Arabic"/>
          <w:b w:val="0"/>
          <w:i w:val="0"/>
          <w:color w:val="111111"/>
          <w:sz w:val="23"/>
          <w:szCs w:val="23"/>
          <w:rtl/>
          <w:cs/>
        </w:rPr>
        <w:t>يُحوّل التطبيق الاكتشافات المُتحقَّق منها إلى مقياس «حصة الرف»: إذ تُجمَع مساحات صناديق الإحاطة لكل صنف وتُقسَم على مجموع المساحة المكتشَفة عبر الأصناف كافة. والمقياس بسيط عن قصد، وهو موثَّق بوصفه مؤشراً نسبياً لمساحة الواجهة لا قياساً حقيقياً للإشغال، لأن الصناديق المتداخلة لا تُزال ازدواجيتها. وتصريحُ هذا القيد صراحةً، بدلاً من تقديم الرقم بوصفه دقيقاً، هو بذاته جزء من التصميم.</w:t>
      </w:r>
    </w:p>
    <w:p>
      <w:pPr>
        <w:keepNext/>
        <w:bidi/>
        <w:spacing w:before="240" w:after="140"/>
        <w:jc w:val="right"/>
      </w:pPr>
      <w:r>
        <w:rPr>
          <w:rFonts w:ascii="Times New Roman" w:hAnsi="Times New Roman" w:cs="Noto Naskh Arabic"/>
          <w:b/>
          <w:bCs w:val="1"/>
          <w:i w:val="0"/>
          <w:color w:val="1A3A5C"/>
          <w:sz w:val="24"/>
          <w:szCs w:val="24"/>
          <w:rtl/>
          <w:cs/>
        </w:rPr>
        <w:t>١٠.٤ التسليم متعدد المنصّات</w:t>
      </w:r>
    </w:p>
    <w:p>
      <w:pPr>
        <w:keepNext w:val="0"/>
        <w:bidi/>
        <w:spacing w:after="160" w:before="0" w:line="348" w:lineRule="auto"/>
        <w:jc w:val="both"/>
      </w:pPr>
      <w:r>
        <w:rPr>
          <w:rFonts w:ascii="Times New Roman" w:hAnsi="Times New Roman" w:cs="Noto Naskh Arabic"/>
          <w:b w:val="0"/>
          <w:i w:val="0"/>
          <w:color w:val="111111"/>
          <w:sz w:val="23"/>
          <w:szCs w:val="23"/>
          <w:rtl/>
          <w:cs/>
        </w:rPr>
        <w:t>نُفِّذت الواجهة على نحو مُستجيب لكلٍّ من منافذ العرض المحمولة والمكتبية، مع العناية بتباين السمة ووضوح القراءة، بما يعكس الواقع التشغيلي المتمثل في أن الالتقاط يجري على أجهزة محمولة في إضاءة متغيرة داخل المتاجر، بينما تجري المراجعة والإدارة على الحاسوب المكتبي.</w:t>
      </w:r>
    </w:p>
    <w:p>
      <w:pPr>
        <w:keepNext/>
        <w:spacing w:before="240" w:after="80"/>
        <w:jc w:val="center"/>
      </w:pPr>
      <w:r>
        <w:drawing>
          <wp:inline xmlns:a="http://schemas.openxmlformats.org/drawingml/2006/main" xmlns:pic="http://schemas.openxmlformats.org/drawingml/2006/picture">
            <wp:extent cx="5544000" cy="1601600"/>
            <wp:docPr id="5" name="Picture 5"/>
            <wp:cNvGraphicFramePr>
              <a:graphicFrameLocks noChangeAspect="1"/>
            </wp:cNvGraphicFramePr>
            <a:graphic>
              <a:graphicData uri="http://schemas.openxmlformats.org/drawingml/2006/picture">
                <pic:pic>
                  <pic:nvPicPr>
                    <pic:cNvPr id="0" name="fig4_placeholder.png"/>
                    <pic:cNvPicPr/>
                  </pic:nvPicPr>
                  <pic:blipFill>
                    <a:blip r:embed="rId13"/>
                    <a:stretch>
                      <a:fillRect/>
                    </a:stretch>
                  </pic:blipFill>
                  <pic:spPr>
                    <a:xfrm>
                      <a:off x="0" y="0"/>
                      <a:ext cx="5544000" cy="1601600"/>
                    </a:xfrm>
                    <a:prstGeom prst="rect"/>
                  </pic:spPr>
                </pic:pic>
              </a:graphicData>
            </a:graphic>
          </wp:inline>
        </w:drawing>
      </w:r>
    </w:p>
    <w:p>
      <w:pPr>
        <w:bidi/>
        <w:spacing w:after="280"/>
        <w:jc w:val="center"/>
      </w:pPr>
      <w:r>
        <w:rPr>
          <w:rFonts w:ascii="Times New Roman" w:hAnsi="Times New Roman" w:cs="Noto Naskh Arabic"/>
          <w:b/>
          <w:bCs w:val="1"/>
          <w:i w:val="0"/>
          <w:color w:val="555555"/>
          <w:sz w:val="19"/>
          <w:szCs w:val="19"/>
          <w:rtl/>
          <w:cs/>
        </w:rPr>
        <w:t xml:space="preserve">الشكل ٥. </w:t>
      </w:r>
      <w:r>
        <w:rPr>
          <w:rFonts w:ascii="Times New Roman" w:hAnsi="Times New Roman" w:cs="Noto Naskh Arabic"/>
          <w:b w:val="0"/>
          <w:i w:val="0"/>
          <w:color w:val="555555"/>
          <w:sz w:val="19"/>
          <w:szCs w:val="19"/>
          <w:rtl/>
          <w:cs/>
        </w:rPr>
        <w:t>لقطات شاشة من التطبيق: شاشتا اختيار السوق والالتقاط، ومحرِّر الكشف وهو يعرض تنبؤاً للنموذج قيد مراجعة المُشغِّل.</w:t>
      </w:r>
    </w:p>
    <w:p>
      <w:pPr>
        <w:keepNext/>
        <w:bidi/>
        <w:spacing w:before="360" w:after="140"/>
        <w:jc w:val="right"/>
      </w:pPr>
      <w:r>
        <w:rPr>
          <w:rFonts w:ascii="Times New Roman" w:hAnsi="Times New Roman" w:cs="Noto Naskh Arabic"/>
          <w:b/>
          <w:bCs w:val="1"/>
          <w:i w:val="0"/>
          <w:color w:val="1A3A5C"/>
          <w:sz w:val="28"/>
          <w:szCs w:val="28"/>
          <w:rtl/>
          <w:cs/>
        </w:rPr>
        <w:t>١١. النتائج والمُخرَجات</w:t>
      </w:r>
    </w:p>
    <w:p>
      <w:pPr>
        <w:keepNext/>
        <w:bidi/>
        <w:spacing w:before="240" w:after="100"/>
        <w:jc w:val="center"/>
      </w:pPr>
      <w:r>
        <w:rPr>
          <w:rFonts w:ascii="Times New Roman" w:hAnsi="Times New Roman" w:cs="Noto Naskh Arabic"/>
          <w:b/>
          <w:bCs w:val="1"/>
          <w:i w:val="0"/>
          <w:color w:val="555555"/>
          <w:sz w:val="19"/>
          <w:szCs w:val="19"/>
          <w:rtl/>
          <w:cs/>
        </w:rPr>
        <w:t xml:space="preserve">الجدول ٣. </w:t>
      </w:r>
      <w:r>
        <w:rPr>
          <w:rFonts w:ascii="Times New Roman" w:hAnsi="Times New Roman" w:cs="Noto Naskh Arabic"/>
          <w:b w:val="0"/>
          <w:i w:val="0"/>
          <w:color w:val="555555"/>
          <w:sz w:val="19"/>
          <w:szCs w:val="19"/>
          <w:rtl/>
          <w:cs/>
        </w:rPr>
        <w:t>أثر إعادة التعليم ودمج الأصناف على مدوَّنة التدريب.</w:t>
      </w:r>
    </w:p>
    <w:tbl>
      <w:tblPr>
        <w:tblStyle w:val="TableGrid"/>
        <w:bidiVisual/>
        <w:tblW w:type="auto" w:w="0"/>
        <w:jc w:val="right"/>
        <w:tblLook w:firstColumn="1" w:firstRow="1" w:lastColumn="0" w:lastRow="0" w:noHBand="0" w:noVBand="1" w:val="04A0"/>
      </w:tblPr>
      <w:tblGrid>
        <w:gridCol w:w="2986"/>
        <w:gridCol w:w="2986"/>
        <w:gridCol w:w="2986"/>
      </w:tblGrid>
      <w:tr>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المقياس</w:t>
            </w:r>
          </w:p>
        </w:tc>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قبل</w:t>
            </w:r>
          </w:p>
        </w:tc>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بعد</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صور الرفوف</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٢١٣</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٢١٣</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صناديق الإحاطة</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٤٬٦٤١</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٤٬٦٤١</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أصناف التصنيف</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٦ (علامة تجارية)</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٤ (صيغة)</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أصناف الكشف</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٦</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١ (product)</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نسبة الأكبر إلى الأصغر</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١٥ : ١</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١٢ : ١</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تعليقات لكل صنف كشف</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٧٧٤ (متوسط)</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٤٬٦٤١</w:t>
            </w:r>
          </w:p>
        </w:tc>
      </w:tr>
    </w:tbl>
    <w:p>
      <w:pPr>
        <w:spacing w:after="200" w:before="0"/>
      </w:pPr>
    </w:p>
    <w:p>
      <w:pPr>
        <w:keepNext w:val="0"/>
        <w:bidi/>
        <w:spacing w:after="160" w:before="0" w:line="348" w:lineRule="auto"/>
        <w:jc w:val="both"/>
      </w:pPr>
      <w:r>
        <w:rPr>
          <w:rFonts w:ascii="Times New Roman" w:hAnsi="Times New Roman" w:cs="Noto Naskh Arabic"/>
          <w:b w:val="0"/>
          <w:i w:val="0"/>
          <w:color w:val="111111"/>
          <w:sz w:val="23"/>
          <w:szCs w:val="23"/>
          <w:rtl/>
          <w:cs/>
        </w:rPr>
        <w:t>وتتمثل النتيجة الكمّية الأبلغ أثراً في الزيادة السداسية في عدد التعليقات المُسهِمة في صنف كشف واحد، وقد تحققت من دون جمع صور إضافية. فبموجب المخطط الأصلي كان الكاشف يتلقى ما متوسطه ٧٧٤ مثالاً لكل صنف، بينما لم يكن الصنف الأندر مدعوماً إلا بـ ١٣١ مثالاً؛ أما بموجب المخطط المحايد صنفياً فإن المدوَّنة الكاملة البالغة ٤٬٦٤١ صندوقاً تدعم هدف الكشف الواحد.</w:t>
      </w:r>
    </w:p>
    <w:p>
      <w:pPr>
        <w:keepNext w:val="0"/>
        <w:bidi/>
        <w:spacing w:after="160" w:before="0" w:line="348" w:lineRule="auto"/>
        <w:jc w:val="both"/>
      </w:pPr>
      <w:r>
        <w:rPr>
          <w:rFonts w:ascii="Times New Roman" w:hAnsi="Times New Roman" w:cs="Noto Naskh Arabic"/>
          <w:b w:val="0"/>
          <w:i w:val="0"/>
          <w:color w:val="111111"/>
          <w:sz w:val="23"/>
          <w:szCs w:val="23"/>
          <w:rtl/>
          <w:cs/>
        </w:rPr>
        <w:t>كما أثبت تحليل نسبة الأبعاد أن صيغ التعبئة الأربع تشغل نطاقات نسبية متلاصقة وغير متداخلة — unknown-package دون ١٫٠، وcan-std-330 بين ١٫٠ و٢٫١، وcan-slim بين ٢٫١ و٢٫٩، وbottle-pet فوق ٢٫٩ — بوسائط للأصناف تبلغ ٠٫٥٤ و١٫٧٣ و٢٫٥٧ و٣٫٢٦ على التوالي. وهذا الفصل هو الأساس التجريبي لاعتماد هندسة الصندوق إشارةً تمييزية صالحة للاستخدام.</w:t>
      </w:r>
    </w:p>
    <w:p>
      <w:pPr>
        <w:keepNext w:val="0"/>
        <w:bidi/>
        <w:spacing w:after="160" w:before="0" w:line="348" w:lineRule="auto"/>
        <w:jc w:val="both"/>
      </w:pPr>
      <w:r>
        <w:rPr>
          <w:rFonts w:ascii="Times New Roman" w:hAnsi="Times New Roman" w:cs="Noto Naskh Arabic"/>
          <w:b w:val="0"/>
          <w:i w:val="0"/>
          <w:color w:val="111111"/>
          <w:sz w:val="23"/>
          <w:szCs w:val="23"/>
          <w:rtl/>
          <w:cs/>
        </w:rPr>
        <w:t>وقد تمثّلت المُخرَجات الملموسة لفترة التدريب في: مجموعة تعليقات مُعاد تعليمها هندسياً ومُشتقَّة برمجياً من المدوَّنة الأصلية المُعلَّمة بالعلامات التجارية؛ ومعمارية نظام ثلاثية المراحل موثَّقة مع إسقاط مُتحقَّق منه على مستوى المكوّنات في المنصة الإنتاجية؛ وتطبيق ميداني عامل متعدد المنصّات يدعم الالتقاط المُهيكل والتحليل الآلي والتحقق البشري وإعداد تقارير حصة الرف.</w:t>
      </w:r>
    </w:p>
    <w:p>
      <w:pPr>
        <w:keepNext/>
        <w:bidi/>
        <w:spacing w:before="360" w:after="140"/>
        <w:jc w:val="right"/>
      </w:pPr>
      <w:r>
        <w:rPr>
          <w:rFonts w:ascii="Times New Roman" w:hAnsi="Times New Roman" w:cs="Noto Naskh Arabic"/>
          <w:b/>
          <w:bCs w:val="1"/>
          <w:i w:val="0"/>
          <w:color w:val="1A3A5C"/>
          <w:sz w:val="28"/>
          <w:szCs w:val="28"/>
          <w:rtl/>
          <w:cs/>
        </w:rPr>
        <w:t>١٢. تأمل في مُخرَجات التعلّم</w:t>
      </w:r>
    </w:p>
    <w:p>
      <w:pPr>
        <w:keepNext w:val="0"/>
        <w:bidi/>
        <w:spacing w:after="160" w:before="0" w:line="348" w:lineRule="auto"/>
        <w:jc w:val="both"/>
      </w:pPr>
      <w:r>
        <w:rPr>
          <w:rFonts w:ascii="Times New Roman" w:hAnsi="Times New Roman" w:cs="Noto Naskh Arabic"/>
          <w:b w:val="0"/>
          <w:i w:val="0"/>
          <w:color w:val="111111"/>
          <w:sz w:val="23"/>
          <w:szCs w:val="23"/>
          <w:rtl/>
          <w:cs/>
        </w:rPr>
        <w:t>كان الدرس الأبلغ أثراً في هذا التدريب أن السؤال الحاسم في نظام رؤية تطبيقي كثيراً ما لا يكون أي نموذج يؤدي أفضل، بل كيف ينبغي توزيع المسؤولية بين المكوّنات. فقد وُجِّه وقت غير قليل في البداية نحو تحسين دقة التصنيف داخل تصميم أحادي المرحلة، قبل أن يتبيّن أن سقف الدقة تفرضه المعماريةُ لا النموذج.</w:t>
      </w:r>
    </w:p>
    <w:p>
      <w:pPr>
        <w:keepNext w:val="0"/>
        <w:bidi/>
        <w:spacing w:after="160" w:before="0" w:line="348" w:lineRule="auto"/>
        <w:jc w:val="both"/>
      </w:pPr>
      <w:r>
        <w:rPr>
          <w:rFonts w:ascii="Times New Roman" w:hAnsi="Times New Roman" w:cs="Noto Naskh Arabic"/>
          <w:b w:val="0"/>
          <w:i w:val="0"/>
          <w:color w:val="111111"/>
          <w:sz w:val="23"/>
          <w:szCs w:val="23"/>
          <w:rtl/>
          <w:cs/>
        </w:rPr>
        <w:t>وتعلّق درس ثانٍ بقيمة تحديد الحدّ التمثيلي للنموذج بدلاً من محاولة تجاوزه بالتدريب. فإثبات أن CLIP لم يعجز عن التمييز بين صيغتَي العلبة فحسب، بل معرفةُ السبب — وهو أن التحجيم المربّع يُهدر نسبة الأبعاد قبل الترميز — قد حوّل مشكلةَ دقةٍ بدت مستعصية إلى مشكلة محلولة، وبقاعدة من بضعة أسطر لا بجمع بيانات إضافية.</w:t>
      </w:r>
    </w:p>
    <w:p>
      <w:pPr>
        <w:keepNext w:val="0"/>
        <w:bidi/>
        <w:spacing w:after="160" w:before="0" w:line="348" w:lineRule="auto"/>
        <w:jc w:val="both"/>
      </w:pPr>
      <w:r>
        <w:rPr>
          <w:rFonts w:ascii="Times New Roman" w:hAnsi="Times New Roman" w:cs="Noto Naskh Arabic"/>
          <w:b w:val="0"/>
          <w:i w:val="0"/>
          <w:color w:val="111111"/>
          <w:sz w:val="23"/>
          <w:szCs w:val="23"/>
          <w:rtl/>
          <w:cs/>
        </w:rPr>
        <w:t>ونشأ درس ثالث من عمل التعليم: إذ يُستهان عادةً بالجهد اللازم لإنتاج تعليقات موثوقة على نطاق واسع، وقد تُحسِّن القراراتُ التصميمية التي تُخفّف عبء التعليم — كدمج أصناف عديدة في صنف واحد — مُخرَجاتِ النظام أكثر مما تُحسّنها التحسينات الخوارزمية. وعلى صلة بذلك، كان اكتشافُ أن نسخة نموذج افتراضية قديمة هي التي تحكم السلوك الحي تذكيراً بأن الإعداد في الأنظمة المنشورة لا يقل أثراً عن النمذجة، وهو أيسر إغفالاً بكثير.</w:t>
      </w:r>
    </w:p>
    <w:p>
      <w:pPr>
        <w:keepNext/>
        <w:bidi/>
        <w:spacing w:before="360" w:after="140"/>
        <w:jc w:val="right"/>
      </w:pPr>
      <w:r>
        <w:rPr>
          <w:rFonts w:ascii="Times New Roman" w:hAnsi="Times New Roman" w:cs="Noto Naskh Arabic"/>
          <w:b/>
          <w:bCs w:val="1"/>
          <w:i w:val="0"/>
          <w:color w:val="1A3A5C"/>
          <w:sz w:val="28"/>
          <w:szCs w:val="28"/>
          <w:rtl/>
          <w:cs/>
        </w:rPr>
        <w:t>١٣. الاستنتاجات</w:t>
      </w:r>
    </w:p>
    <w:p>
      <w:pPr>
        <w:keepNext w:val="0"/>
        <w:bidi/>
        <w:spacing w:after="160" w:before="0" w:line="348" w:lineRule="auto"/>
        <w:jc w:val="both"/>
      </w:pPr>
      <w:r>
        <w:rPr>
          <w:rFonts w:ascii="Times New Roman" w:hAnsi="Times New Roman" w:cs="Noto Naskh Arabic"/>
          <w:b w:val="0"/>
          <w:i w:val="0"/>
          <w:color w:val="111111"/>
          <w:sz w:val="23"/>
          <w:szCs w:val="23"/>
          <w:rtl/>
          <w:cs/>
        </w:rPr>
        <w:t>إن الاستبصار الرئيس لفترة التدريب استبصار معماري لا خوارزمي: فقابلية الصيانة في مجال ذي كتالوج آخذ في التوسع باستمرار تتحدد بمدى توزيع المسؤوليات بين المكوّنات أكثر مما تتحدد بدقة أي نموذج منفرد. ذلك أن عزل الجزء المتقلّب من المشكلة — هوية المنتج — عن الجزء المستقر — وجود الكائن — يتيح للنظام استيعاب نموّ الكتالوج عبر تحديثات البيانات بدلاً من إعادة تدريب النماذج.</w:t>
      </w:r>
    </w:p>
    <w:p>
      <w:pPr>
        <w:keepNext w:val="0"/>
        <w:bidi/>
        <w:spacing w:after="160" w:before="0" w:line="348" w:lineRule="auto"/>
        <w:jc w:val="both"/>
      </w:pPr>
      <w:r>
        <w:rPr>
          <w:rFonts w:ascii="Times New Roman" w:hAnsi="Times New Roman" w:cs="Noto Naskh Arabic"/>
          <w:b w:val="0"/>
          <w:i w:val="0"/>
          <w:color w:val="111111"/>
          <w:sz w:val="23"/>
          <w:szCs w:val="23"/>
          <w:rtl/>
          <w:cs/>
        </w:rPr>
        <w:t>ويتعلق استنتاج ثانٍ بتكامل أنواع الأدلة. فالتمثيلات البصرية المُتعلَّمة والقياسات الهندسية الصريحة تُخفق وتنجح في ظروف مختلفة؛ والنظام الذي يدمج كليهما أمتن جوهرياً من النظام المعتمد على أحدهما منفرداً. وقد تبيّن أن إدراك حدود ما يمكن للتمثيل المُتعلَّم أن يُرمّزه، وتوفير المعلومة الناقصة بوسائل أخرى، كان أجدى من محاولة تدريب القيد بعيداً.</w:t>
      </w:r>
    </w:p>
    <w:p>
      <w:pPr>
        <w:keepNext w:val="0"/>
        <w:bidi/>
        <w:spacing w:after="160" w:before="0" w:line="348" w:lineRule="auto"/>
        <w:jc w:val="both"/>
      </w:pPr>
      <w:r>
        <w:rPr>
          <w:rFonts w:ascii="Times New Roman" w:hAnsi="Times New Roman" w:cs="Noto Naskh Arabic"/>
          <w:b w:val="0"/>
          <w:i w:val="0"/>
          <w:color w:val="111111"/>
          <w:sz w:val="23"/>
          <w:szCs w:val="23"/>
          <w:rtl/>
          <w:cs/>
        </w:rPr>
        <w:t>وأخيراً، أظهر التدريب أن جودة البيانات تُقيّد السقف الممكن بلوغه لأي معمارية، وأن النظام التشغيلي ينبغي بالتالي أن يُصمَّم متوقعاً الالتباسَ لا مفترضاً غيابَه. وكون ما يزيد على خُمسَي التعليقات قد استلزم وسماً بالالتباس يُقيم الحجة كمّياً على ذلك. وتُجسّد واجهةُ التحقق التي طُوِّرت خلال الفترة المبدأَ الناتج: فهي لا تعامل التصحيح البشري بوصفه حلاً احتياطياً لإخفاق النموذج، بل بوصفه مكوّناً دائماً في خط معالجة البيانات ومصدراً مستمراً لإشارة تدريب خاضعة للإشراف.</w:t>
      </w:r>
    </w:p>
    <w:p>
      <w:r>
        <w:br w:type="page"/>
      </w:r>
    </w:p>
    <w:p>
      <w:pPr>
        <w:keepNext/>
        <w:bidi/>
        <w:spacing w:before="360" w:after="140"/>
        <w:jc w:val="right"/>
      </w:pPr>
      <w:r>
        <w:rPr>
          <w:rFonts w:ascii="Times New Roman" w:hAnsi="Times New Roman" w:cs="Noto Naskh Arabic"/>
          <w:b/>
          <w:bCs w:val="1"/>
          <w:i w:val="0"/>
          <w:color w:val="1A3A5C"/>
          <w:sz w:val="28"/>
          <w:szCs w:val="28"/>
          <w:rtl/>
          <w:cs/>
        </w:rPr>
        <w:t>المراجع</w:t>
      </w:r>
    </w:p>
    <w:p>
      <w:pPr>
        <w:spacing w:after="160" w:line="312" w:lineRule="auto"/>
        <w:ind w:left="510" w:hanging="510"/>
        <w:jc w:val="left"/>
      </w:pPr>
      <w:r>
        <w:rPr>
          <w:rFonts w:ascii="Times New Roman" w:hAnsi="Times New Roman" w:cs="Times New Roman"/>
          <w:b w:val="0"/>
          <w:i w:val="0"/>
          <w:color w:val="111111"/>
          <w:sz w:val="21"/>
          <w:szCs w:val="21"/>
        </w:rPr>
        <w:t>[1]  Radford, A., Kim, J. W., Hallacy, C., et al. (2021). Learning Transferable Visual Models From Natural Language Supervision. Proceedings of the 38th International Conference on Machine Learning (ICML).</w:t>
      </w:r>
    </w:p>
    <w:p>
      <w:pPr>
        <w:spacing w:after="160" w:line="312" w:lineRule="auto"/>
        <w:ind w:left="510" w:hanging="510"/>
        <w:jc w:val="left"/>
      </w:pPr>
      <w:r>
        <w:rPr>
          <w:rFonts w:ascii="Times New Roman" w:hAnsi="Times New Roman" w:cs="Times New Roman"/>
          <w:b w:val="0"/>
          <w:i w:val="0"/>
          <w:color w:val="111111"/>
          <w:sz w:val="21"/>
          <w:szCs w:val="21"/>
        </w:rPr>
        <w:t>[2]  Goldman, E., Herzig, R., Eisenschtat, A., Goldberger, J., &amp; Hassner, T. (2019). Precise Detection in Densely Packed Scenes. IEEE Conference on Computer Vision and Pattern Recognition (CVPR).</w:t>
      </w:r>
    </w:p>
    <w:p>
      <w:pPr>
        <w:spacing w:after="160" w:line="312" w:lineRule="auto"/>
        <w:ind w:left="510" w:hanging="510"/>
        <w:jc w:val="left"/>
      </w:pPr>
      <w:r>
        <w:rPr>
          <w:rFonts w:ascii="Times New Roman" w:hAnsi="Times New Roman" w:cs="Times New Roman"/>
          <w:b w:val="0"/>
          <w:i w:val="0"/>
          <w:color w:val="111111"/>
          <w:sz w:val="21"/>
          <w:szCs w:val="21"/>
        </w:rPr>
        <w:t>[3]  Ren, S., He, K., Girshick, R., &amp; Sun, J. (2015). Faster R-CNN: Towards Real-Time Object Detection with Region Proposal Networks. Advances in Neural Information Processing Systems (NeurIPS).</w:t>
      </w:r>
    </w:p>
    <w:p>
      <w:pPr>
        <w:spacing w:after="160" w:line="312" w:lineRule="auto"/>
        <w:ind w:left="510" w:hanging="510"/>
        <w:jc w:val="left"/>
      </w:pPr>
      <w:r>
        <w:rPr>
          <w:rFonts w:ascii="Times New Roman" w:hAnsi="Times New Roman" w:cs="Times New Roman"/>
          <w:b w:val="0"/>
          <w:i w:val="0"/>
          <w:color w:val="111111"/>
          <w:sz w:val="21"/>
          <w:szCs w:val="21"/>
        </w:rPr>
        <w:t>[4]  Redmon, J., Divvala, S., Girshick, R., &amp; Farhadi, A. (2016). You Only Look Once: Unified, Real-Time Object Detection. IEEE Conference on Computer Vision and Pattern Recognition (CVPR).</w:t>
      </w:r>
    </w:p>
    <w:p>
      <w:pPr>
        <w:spacing w:after="160" w:line="312" w:lineRule="auto"/>
        <w:ind w:left="510" w:hanging="510"/>
        <w:jc w:val="left"/>
      </w:pPr>
      <w:r>
        <w:rPr>
          <w:rFonts w:ascii="Times New Roman" w:hAnsi="Times New Roman" w:cs="Times New Roman"/>
          <w:b w:val="0"/>
          <w:i w:val="0"/>
          <w:color w:val="111111"/>
          <w:sz w:val="21"/>
          <w:szCs w:val="21"/>
        </w:rPr>
        <w:t>[5]  Schroff, F., Kalenichenko, D., &amp; Philbin, J. (2015). FaceNet: A Unified Embedding for Face Recognition and Clustering. IEEE Conference on Computer Vision and Pattern Recognition (CVPR).</w:t>
      </w:r>
    </w:p>
    <w:p>
      <w:pPr>
        <w:spacing w:after="160" w:line="312" w:lineRule="auto"/>
        <w:ind w:left="510" w:hanging="510"/>
        <w:jc w:val="left"/>
      </w:pPr>
      <w:r>
        <w:rPr>
          <w:rFonts w:ascii="Times New Roman" w:hAnsi="Times New Roman" w:cs="Times New Roman"/>
          <w:b w:val="0"/>
          <w:i w:val="0"/>
          <w:color w:val="111111"/>
          <w:sz w:val="21"/>
          <w:szCs w:val="21"/>
        </w:rPr>
        <w:t>[6]  Deng, J., Guo, J., Xue, N., &amp; Zafeiriou, S. (2019). ArcFace: Additive Angular Margin Loss for Deep Face Recognition. IEEE Conference on Computer Vision and Pattern Recognition (CVPR).</w:t>
      </w:r>
    </w:p>
    <w:p>
      <w:pPr>
        <w:spacing w:after="160" w:line="312" w:lineRule="auto"/>
        <w:ind w:left="510" w:hanging="510"/>
        <w:jc w:val="left"/>
      </w:pPr>
      <w:r>
        <w:rPr>
          <w:rFonts w:ascii="Times New Roman" w:hAnsi="Times New Roman" w:cs="Times New Roman"/>
          <w:b w:val="0"/>
          <w:i w:val="0"/>
          <w:color w:val="111111"/>
          <w:sz w:val="21"/>
          <w:szCs w:val="21"/>
        </w:rPr>
        <w:t>[7]  Everingham, M., Van Gool, L., Williams, C. K. I., Winn, J., &amp; Zisserman, A. (2010). The PASCAL Visual Object Classes (VOC) Challenge. International Journal of Computer Vision, 88(2), 303–338.</w:t>
      </w:r>
    </w:p>
    <w:p>
      <w:pPr>
        <w:spacing w:after="160" w:line="312" w:lineRule="auto"/>
        <w:ind w:left="510" w:hanging="510"/>
        <w:jc w:val="left"/>
      </w:pPr>
      <w:r>
        <w:rPr>
          <w:rFonts w:ascii="Times New Roman" w:hAnsi="Times New Roman" w:cs="Times New Roman"/>
          <w:b w:val="0"/>
          <w:i w:val="0"/>
          <w:color w:val="111111"/>
          <w:sz w:val="21"/>
          <w:szCs w:val="21"/>
        </w:rPr>
        <w:t>[8]  Lin, T.-Y., Maire, M., Belongie, S., et al. (2014). Microsoft COCO: Common Objects in Context. European Conference on Computer Vision (ECCV).</w:t>
      </w:r>
    </w:p>
    <w:p>
      <w:pPr>
        <w:spacing w:after="160" w:line="312" w:lineRule="auto"/>
        <w:ind w:left="510" w:hanging="510"/>
        <w:jc w:val="left"/>
      </w:pPr>
      <w:r>
        <w:rPr>
          <w:rFonts w:ascii="Times New Roman" w:hAnsi="Times New Roman" w:cs="Times New Roman"/>
          <w:b w:val="0"/>
          <w:i w:val="0"/>
          <w:color w:val="111111"/>
          <w:sz w:val="21"/>
          <w:szCs w:val="21"/>
        </w:rPr>
        <w:t>[9]  Oquab, M., Darcet, T., Moutakanni, T., et al. (2023). DINOv2: Learning Robust Visual Features without Supervision. Transactions on Machine Learning Research (TMLR).</w:t>
      </w:r>
    </w:p>
    <w:p>
      <w:pPr>
        <w:spacing w:after="160" w:line="312" w:lineRule="auto"/>
        <w:ind w:left="510" w:hanging="510"/>
        <w:jc w:val="left"/>
      </w:pPr>
      <w:r>
        <w:rPr>
          <w:rFonts w:ascii="Times New Roman" w:hAnsi="Times New Roman" w:cs="Times New Roman"/>
          <w:b w:val="0"/>
          <w:i w:val="0"/>
          <w:color w:val="111111"/>
          <w:sz w:val="21"/>
          <w:szCs w:val="21"/>
        </w:rPr>
        <w:t>[10]  Roboflow. Workflows Documentation. https://inference.roboflow.com/workflows/ (accessed August 2026).</w:t>
      </w:r>
    </w:p>
    <w:sectPr w:rsidR="00FC693F" w:rsidRPr="0006063C" w:rsidSect="00034616">
      <w:pgSz w:w="11906" w:h="16838"/>
      <w:pgMar w:top="1361" w:right="1474" w:bottom="1361" w:left="1474"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