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keepNext w:val="0"/>
        <w:bidi/>
        <w:spacing w:after="800" w:before="0" w:line="348" w:lineRule="auto"/>
        <w:jc w:val="center"/>
      </w:pPr>
      <w:r>
        <w:rPr>
          <w:rFonts w:ascii="Times New Roman" w:hAnsi="Times New Roman" w:cs="Noto Naskh Arabic"/>
          <w:b/>
          <w:bCs w:val="1"/>
          <w:i w:val="0"/>
          <w:color w:val="555555"/>
          <w:sz w:val="26"/>
          <w:szCs w:val="26"/>
          <w:rtl/>
          <w:cs/>
        </w:rPr>
        <w:t>شركة Aystro</w:t>
      </w:r>
    </w:p>
    <w:p>
      <w:pPr>
        <w:keepNext w:val="0"/>
        <w:bidi/>
        <w:spacing w:after="200" w:before="0" w:line="300" w:lineRule="auto"/>
        <w:jc w:val="center"/>
      </w:pPr>
      <w:r>
        <w:rPr>
          <w:rFonts w:ascii="Times New Roman" w:hAnsi="Times New Roman" w:cs="Noto Naskh Arabic"/>
          <w:b/>
          <w:bCs w:val="1"/>
          <w:i w:val="0"/>
          <w:color w:val="1A3A5C"/>
          <w:sz w:val="42"/>
          <w:szCs w:val="42"/>
          <w:rtl/>
          <w:cs/>
        </w:rPr>
        <w:t>فصل التوطين عن الهوية في التدقيق الآلي لرفوف التجزئة</w:t>
      </w:r>
    </w:p>
    <w:p>
      <w:pPr>
        <w:keepNext w:val="0"/>
        <w:bidi/>
        <w:spacing w:after="1280" w:before="0" w:line="348" w:lineRule="auto"/>
        <w:jc w:val="center"/>
      </w:pPr>
      <w:r>
        <w:rPr>
          <w:rFonts w:ascii="Times New Roman" w:hAnsi="Times New Roman" w:cs="Noto Naskh Arabic"/>
          <w:b w:val="0"/>
          <w:i w:val="0"/>
          <w:color w:val="555555"/>
          <w:sz w:val="28"/>
          <w:szCs w:val="28"/>
          <w:rtl/>
          <w:cs/>
        </w:rPr>
        <w:t>دراسة تطبيقية في معمارية أنظمة الرؤية الحاسوبية القابلة للتوسّع</w:t>
      </w:r>
    </w:p>
    <w:p>
      <w:pPr>
        <w:bidi/>
        <w:spacing w:after="140"/>
        <w:jc w:val="center"/>
      </w:pPr>
      <w:r>
        <w:rPr>
          <w:rFonts w:ascii="Times New Roman" w:hAnsi="Times New Roman" w:cs="Noto Naskh Arabic"/>
          <w:b/>
          <w:bCs w:val="1"/>
          <w:i w:val="0"/>
          <w:color w:val="555555"/>
          <w:sz w:val="23"/>
          <w:szCs w:val="23"/>
          <w:rtl/>
          <w:cs/>
        </w:rPr>
        <w:t xml:space="preserve">إعداد:  </w:t>
      </w:r>
      <w:r>
        <w:rPr>
          <w:rFonts w:ascii="Times New Roman" w:hAnsi="Times New Roman" w:cs="Noto Naskh Arabic"/>
          <w:b w:val="0"/>
          <w:i w:val="0"/>
          <w:color w:val="111111"/>
          <w:sz w:val="23"/>
          <w:szCs w:val="23"/>
          <w:rtl/>
          <w:cs/>
        </w:rPr>
        <w:t>محمود فراس فنون</w:t>
      </w:r>
    </w:p>
    <w:p>
      <w:pPr>
        <w:bidi/>
        <w:spacing w:after="140"/>
        <w:jc w:val="center"/>
      </w:pPr>
      <w:r>
        <w:rPr>
          <w:rFonts w:ascii="Times New Roman" w:hAnsi="Times New Roman" w:cs="Noto Naskh Arabic"/>
          <w:b/>
          <w:bCs w:val="1"/>
          <w:i w:val="0"/>
          <w:color w:val="555555"/>
          <w:sz w:val="23"/>
          <w:szCs w:val="23"/>
          <w:rtl/>
          <w:cs/>
        </w:rPr>
        <w:t xml:space="preserve">الجهة المستضيفة:  </w:t>
      </w:r>
      <w:r>
        <w:rPr>
          <w:rFonts w:ascii="Times New Roman" w:hAnsi="Times New Roman" w:cs="Noto Naskh Arabic"/>
          <w:b w:val="0"/>
          <w:i w:val="0"/>
          <w:color w:val="111111"/>
          <w:sz w:val="23"/>
          <w:szCs w:val="23"/>
          <w:rtl/>
          <w:cs/>
        </w:rPr>
        <w:t>شركة Aystro</w:t>
      </w:r>
    </w:p>
    <w:p>
      <w:pPr>
        <w:bidi/>
        <w:spacing w:after="140"/>
        <w:jc w:val="center"/>
      </w:pPr>
      <w:r>
        <w:rPr>
          <w:rFonts w:ascii="Times New Roman" w:hAnsi="Times New Roman" w:cs="Noto Naskh Arabic"/>
          <w:b/>
          <w:bCs w:val="1"/>
          <w:i w:val="0"/>
          <w:color w:val="555555"/>
          <w:sz w:val="23"/>
          <w:szCs w:val="23"/>
          <w:rtl/>
          <w:cs/>
        </w:rPr>
        <w:t xml:space="preserve">فترة البحث:  </w:t>
      </w:r>
      <w:r>
        <w:rPr>
          <w:rFonts w:ascii="Times New Roman" w:hAnsi="Times New Roman" w:cs="Noto Naskh Arabic"/>
          <w:b w:val="0"/>
          <w:i w:val="0"/>
          <w:color w:val="111111"/>
          <w:sz w:val="23"/>
          <w:szCs w:val="23"/>
          <w:rtl/>
          <w:cs/>
        </w:rPr>
        <w:t>٢٧ تموز ٢٠٢٦ – ١٨ آب ٢٠٢٦</w:t>
      </w:r>
    </w:p>
    <w:p>
      <w:pPr>
        <w:bidi/>
        <w:spacing w:after="140"/>
        <w:jc w:val="center"/>
      </w:pPr>
      <w:r>
        <w:rPr>
          <w:rFonts w:ascii="Times New Roman" w:hAnsi="Times New Roman" w:cs="Noto Naskh Arabic"/>
          <w:b/>
          <w:bCs w:val="1"/>
          <w:i w:val="0"/>
          <w:color w:val="555555"/>
          <w:sz w:val="23"/>
          <w:szCs w:val="23"/>
          <w:rtl/>
          <w:cs/>
        </w:rPr>
        <w:t xml:space="preserve">تاريخ التسليم:  </w:t>
      </w:r>
      <w:r>
        <w:rPr>
          <w:rFonts w:ascii="Times New Roman" w:hAnsi="Times New Roman" w:cs="Noto Naskh Arabic"/>
          <w:b w:val="0"/>
          <w:i w:val="0"/>
          <w:color w:val="111111"/>
          <w:sz w:val="23"/>
          <w:szCs w:val="23"/>
          <w:rtl/>
          <w:cs/>
        </w:rPr>
        <w:t>١٨ آب ٢٠٢٦</w:t>
      </w:r>
    </w:p>
    <w:p>
      <w:r>
        <w:br w:type="page"/>
      </w:r>
    </w:p>
    <w:p>
      <w:pPr>
        <w:keepNext/>
        <w:bidi/>
        <w:spacing w:before="360" w:after="140"/>
        <w:jc w:val="right"/>
      </w:pPr>
      <w:r>
        <w:rPr>
          <w:rFonts w:ascii="Times New Roman" w:hAnsi="Times New Roman" w:cs="Noto Naskh Arabic"/>
          <w:b/>
          <w:bCs w:val="1"/>
          <w:i w:val="0"/>
          <w:color w:val="1A3A5C"/>
          <w:sz w:val="28"/>
          <w:szCs w:val="28"/>
          <w:rtl/>
          <w:cs/>
        </w:rPr>
        <w:t>الملخص</w:t>
      </w:r>
    </w:p>
    <w:p>
      <w:pPr>
        <w:keepNext w:val="0"/>
        <w:bidi/>
        <w:spacing w:after="160" w:before="0" w:line="348" w:lineRule="auto"/>
        <w:jc w:val="both"/>
      </w:pPr>
      <w:r>
        <w:rPr>
          <w:rFonts w:ascii="Times New Roman" w:hAnsi="Times New Roman" w:cs="Noto Naskh Arabic"/>
          <w:b w:val="0"/>
          <w:i w:val="0"/>
          <w:color w:val="111111"/>
          <w:sz w:val="22"/>
          <w:szCs w:val="22"/>
          <w:rtl/>
          <w:cs/>
        </w:rPr>
        <w:t>تتناول هذه الدراسة مسألة معمارية في أنظمة الرؤية الحاسوبية التطبيقية: كيف تُوزَّع مسؤوليتا تحديد موضع الجسم وتحديد هويته على مكوّنات النظام، وما أثر هذا التوزيع في الدقة وفي كلفة التوسّع. والمجال التطبيقي هو التدقيق الآلي لرفوف التجزئة، حيث تُحوَّل صورة فوتوغرافية لرفّ تجاري إلى جرد مُهيكل للمنتجات وحصص العلامات التجارية.</w:t>
      </w:r>
    </w:p>
    <w:p>
      <w:pPr>
        <w:keepNext w:val="0"/>
        <w:bidi/>
        <w:spacing w:after="160" w:before="0" w:line="348" w:lineRule="auto"/>
        <w:jc w:val="both"/>
      </w:pPr>
      <w:r>
        <w:rPr>
          <w:rFonts w:ascii="Times New Roman" w:hAnsi="Times New Roman" w:cs="Noto Naskh Arabic"/>
          <w:b w:val="0"/>
          <w:i w:val="0"/>
          <w:color w:val="111111"/>
          <w:sz w:val="22"/>
          <w:szCs w:val="22"/>
          <w:rtl/>
          <w:cs/>
        </w:rPr>
        <w:t>يقارن البحث نهجين. النهج الأول ‏(v1)‎ طبقة واحدة لكشف الكائنات، أصنافها هي العلامات التجارية مباشرةً — أي نموذج واحد يجيب عن السؤالين معاً. والنهج الثاني ‏(v2)‎ معمارية متعددة الطبقات تفصلهما: كاشف محايد صنفياً يحدد المواضع دون معرفة بالهوية، تليه مُصنِّفات مستقلة موجَّهة شرطياً تحدد العلامة ثم المتغيّر ثم مادة التعبئة. وقُيِّم النهجان تحت البروتوكول ذاته وعلى معمارية النموذج ذاتها، انطلاقاً من مجموعة الصور المصدرية نفسها.</w:t>
      </w:r>
    </w:p>
    <w:p>
      <w:pPr>
        <w:keepNext w:val="0"/>
        <w:bidi/>
        <w:spacing w:after="160" w:before="0" w:line="348" w:lineRule="auto"/>
        <w:jc w:val="both"/>
      </w:pPr>
      <w:r>
        <w:rPr>
          <w:rFonts w:ascii="Times New Roman" w:hAnsi="Times New Roman" w:cs="Noto Naskh Arabic"/>
          <w:b w:val="0"/>
          <w:i w:val="0"/>
          <w:color w:val="111111"/>
          <w:sz w:val="22"/>
          <w:szCs w:val="22"/>
          <w:rtl/>
          <w:cs/>
        </w:rPr>
        <w:t>وتفوّق النهج متعدد الطبقات في كل مقاييس الكشف: متوسط دقة ٩٣٫٣٣٪ مقابل ٨٨٫٦٢٪، وmAP50-95 يبلغ ٧٦٫٤٩٪ مقابل ٧٠٫٠٩٪، واستدعاء ٩٠٫٩٪ مقابل ٨٤٫٩٪ — وذلك رغم أن النهج الأحادي قُيِّم على قصاصات مُكبَّرة تمثّل الظرف الأيسر للكشف. ويُظهر التفصيل الصنفي للنهج الأحادي تضوّراً في الإشارة: تفاوت يبلغ ٦٫٣٥ نقطة بين أصنافه المُمثَّلة، وانهيار كامل لصنف غير مُمثَّل.</w:t>
      </w:r>
    </w:p>
    <w:p>
      <w:pPr>
        <w:keepNext w:val="0"/>
        <w:bidi/>
        <w:spacing w:after="160" w:before="0" w:line="348" w:lineRule="auto"/>
        <w:jc w:val="both"/>
      </w:pPr>
      <w:r>
        <w:rPr>
          <w:rFonts w:ascii="Times New Roman" w:hAnsi="Times New Roman" w:cs="Noto Naskh Arabic"/>
          <w:b w:val="0"/>
          <w:i w:val="0"/>
          <w:color w:val="111111"/>
          <w:sz w:val="22"/>
          <w:szCs w:val="22"/>
          <w:rtl/>
          <w:cs/>
        </w:rPr>
        <w:t>كما خُفِّض التعقيد الحسابي لطبقة تصنيف المتغيّرات من ‎O(N×K)‎ إلى ‎O(N)‎ بإدخال توجيه شرطي، وقِيس أثر ذلك مباشرةً بانخفاض زمن المعالجة ٦٥٪ مع تطابق تام في المُخرَجات. وبلغت الكلفة الحدّية لإضافة علامة جديدة إلى الكتالوج نحو أربع دقائق من زمن معالج الرسوميات، وقد تكرّر قياسها أربع مرات. والنتيجة الجامعة أن كل ضعف مُقاس في المنظومة يرتد إلى ندرة بيانات محدّدة قابلة للعدّ، لا إلى قصور في المعمارية أو في اختيار النموذج.</w:t>
      </w:r>
    </w:p>
    <w:p>
      <w:r>
        <w:br w:type="page"/>
      </w:r>
    </w:p>
    <w:p>
      <w:pPr>
        <w:keepNext/>
        <w:bidi/>
        <w:spacing w:before="360" w:after="140"/>
        <w:jc w:val="right"/>
      </w:pPr>
      <w:r>
        <w:rPr>
          <w:rFonts w:ascii="Times New Roman" w:hAnsi="Times New Roman" w:cs="Noto Naskh Arabic"/>
          <w:b/>
          <w:bCs w:val="1"/>
          <w:i w:val="0"/>
          <w:color w:val="1A3A5C"/>
          <w:sz w:val="28"/>
          <w:szCs w:val="28"/>
          <w:rtl/>
          <w:cs/>
        </w:rPr>
        <w:t>١. المقدمة</w:t>
      </w:r>
    </w:p>
    <w:p>
      <w:pPr>
        <w:keepNext/>
        <w:bidi/>
        <w:spacing w:before="240" w:after="140"/>
        <w:jc w:val="right"/>
      </w:pPr>
      <w:r>
        <w:rPr>
          <w:rFonts w:ascii="Times New Roman" w:hAnsi="Times New Roman" w:cs="Noto Naskh Arabic"/>
          <w:b/>
          <w:bCs w:val="1"/>
          <w:i w:val="0"/>
          <w:color w:val="1A3A5C"/>
          <w:sz w:val="24"/>
          <w:szCs w:val="24"/>
          <w:rtl/>
          <w:cs/>
        </w:rPr>
        <w:t>١٫١ المشكلة التطبيقية</w:t>
      </w:r>
    </w:p>
    <w:p>
      <w:pPr>
        <w:keepNext w:val="0"/>
        <w:bidi/>
        <w:spacing w:after="160" w:before="0" w:line="348" w:lineRule="auto"/>
        <w:jc w:val="both"/>
      </w:pPr>
      <w:r>
        <w:rPr>
          <w:rFonts w:ascii="Times New Roman" w:hAnsi="Times New Roman" w:cs="Noto Naskh Arabic"/>
          <w:b w:val="0"/>
          <w:i w:val="0"/>
          <w:color w:val="111111"/>
          <w:sz w:val="23"/>
          <w:szCs w:val="23"/>
          <w:rtl/>
          <w:cs/>
        </w:rPr>
        <w:t>حصة العلامة التجارية على الرف — عدد الوحدات المعروضة ونصيبها من المساحة المرئية — مؤشر تجاري يدفع المصنِّعون وتجار التجزئة ثمن معرفته. ويُجمَع اليوم يدوياً عبر مندوبين يجولون المتاجر ويسجّلون ما يرونه، وهي عملية بطيئة ومكلفة عند التوسّع ومتفاوتة الجودة بحسب انتباه القائم بها.</w:t>
      </w:r>
    </w:p>
    <w:p>
      <w:pPr>
        <w:keepNext w:val="0"/>
        <w:bidi/>
        <w:spacing w:after="160" w:before="0" w:line="348" w:lineRule="auto"/>
        <w:jc w:val="both"/>
      </w:pPr>
      <w:r>
        <w:rPr>
          <w:rFonts w:ascii="Times New Roman" w:hAnsi="Times New Roman" w:cs="Noto Naskh Arabic"/>
          <w:b w:val="0"/>
          <w:i w:val="0"/>
          <w:color w:val="111111"/>
          <w:sz w:val="23"/>
          <w:szCs w:val="23"/>
          <w:rtl/>
          <w:cs/>
        </w:rPr>
        <w:t>وأتمتة هذه العملية تتطلب من النظام أن يميّز كل منتج معروض عن جاره تمييزاً منفصلاً — إذ لا يكفي معرفة أن العلامة حاضرة، بل يجب عدّ وحداتها. ومن هنا يلزم التوطين: لا بوصفه ناتجاً مطلوباً في ذاته، بل بوصفه الوسيلة التي تفصل النسخ المتشابهة بعضها عن بعض فيصبح العدّ ممكناً.</w:t>
      </w:r>
    </w:p>
    <w:p>
      <w:pPr>
        <w:keepNext/>
        <w:bidi/>
        <w:spacing w:before="240" w:after="140"/>
        <w:jc w:val="right"/>
      </w:pPr>
      <w:r>
        <w:rPr>
          <w:rFonts w:ascii="Times New Roman" w:hAnsi="Times New Roman" w:cs="Noto Naskh Arabic"/>
          <w:b/>
          <w:bCs w:val="1"/>
          <w:i w:val="0"/>
          <w:color w:val="1A3A5C"/>
          <w:sz w:val="24"/>
          <w:szCs w:val="24"/>
          <w:rtl/>
          <w:cs/>
        </w:rPr>
        <w:t>١٫٢ الفرضية</w:t>
      </w:r>
    </w:p>
    <w:p>
      <w:pPr>
        <w:keepNext w:val="0"/>
        <w:bidi/>
        <w:spacing w:after="160" w:before="0" w:line="348" w:lineRule="auto"/>
        <w:jc w:val="both"/>
      </w:pPr>
      <w:r>
        <w:rPr>
          <w:rFonts w:ascii="Times New Roman" w:hAnsi="Times New Roman" w:cs="Noto Naskh Arabic"/>
          <w:b w:val="0"/>
          <w:i w:val="0"/>
          <w:color w:val="111111"/>
          <w:sz w:val="23"/>
          <w:szCs w:val="23"/>
          <w:rtl/>
          <w:cs/>
        </w:rPr>
        <w:t>تنطلق الدراسة من ملاحظة أن للسؤالين — أين، وما هو — خصائص مختلفة جوهرياً. فالتوطين مسألة مستقرة: «هل يوجد جسم معروض هنا؟» سؤال بصري عام لا تتغيّر إجابته بتغيّر كتالوج المنتجات، وقابل للتعلّم من أي مجموعة منتجات. أما الهوية فمسألة متقلّبة: كتالوج السوق يتغيّر باستمرار، فمنتجات تدخل وأخرى تخرج ونكهات تُستحدث.</w:t>
      </w:r>
    </w:p>
    <w:p>
      <w:pPr>
        <w:keepNext w:val="0"/>
        <w:bidi/>
        <w:spacing w:after="160" w:before="0" w:line="348" w:lineRule="auto"/>
        <w:jc w:val="both"/>
      </w:pPr>
      <w:r>
        <w:rPr>
          <w:rFonts w:ascii="Times New Roman" w:hAnsi="Times New Roman" w:cs="Noto Naskh Arabic"/>
          <w:b w:val="0"/>
          <w:i w:val="0"/>
          <w:color w:val="111111"/>
          <w:sz w:val="23"/>
          <w:szCs w:val="23"/>
          <w:rtl/>
          <w:cs/>
        </w:rPr>
        <w:t>والفرضية أن كَبْل هاتين المسألتين في نموذج واحد يفرض كلفة مضاعفة: كلفة اقتصادية، إذ يستوجب كل تغيّر في الكتالوج إعادة تدريب النموذج كله؛ وكلفة إحصائية، إذ تُقسَّم إشارة تدريب محدودة على أصناف متعددة فيتضوّر كلٌّ منها.</w:t>
      </w:r>
    </w:p>
    <w:p>
      <w:pPr>
        <w:keepNext/>
        <w:bidi/>
        <w:spacing w:before="240" w:after="140"/>
        <w:jc w:val="right"/>
      </w:pPr>
      <w:r>
        <w:rPr>
          <w:rFonts w:ascii="Times New Roman" w:hAnsi="Times New Roman" w:cs="Noto Naskh Arabic"/>
          <w:b/>
          <w:bCs w:val="1"/>
          <w:i w:val="0"/>
          <w:color w:val="1A3A5C"/>
          <w:sz w:val="24"/>
          <w:szCs w:val="24"/>
          <w:rtl/>
          <w:cs/>
        </w:rPr>
        <w:t>١٫٣ الإسهامات</w:t>
      </w:r>
    </w:p>
    <w:p>
      <w:pPr>
        <w:keepNext w:val="0"/>
        <w:bidi/>
        <w:spacing w:after="120" w:before="0" w:line="348" w:lineRule="auto"/>
        <w:jc w:val="both"/>
      </w:pPr>
      <w:r>
        <w:rPr>
          <w:rFonts w:ascii="Times New Roman" w:hAnsi="Times New Roman" w:cs="Noto Naskh Arabic"/>
          <w:b w:val="0"/>
          <w:i w:val="0"/>
          <w:color w:val="111111"/>
          <w:sz w:val="23"/>
          <w:szCs w:val="23"/>
          <w:rtl/>
          <w:cs/>
        </w:rPr>
        <w:t>١. دليل تجريبي مقيس على أن فصل التوطين عن الهوية يحسّن أداء الكشف من مجموعة الصور المصدرية ذاتها، مع توثيق آلية التحسّن عبر التفصيل الصنفي.</w:t>
      </w:r>
    </w:p>
    <w:p>
      <w:pPr>
        <w:keepNext w:val="0"/>
        <w:bidi/>
        <w:spacing w:after="120" w:before="0" w:line="348" w:lineRule="auto"/>
        <w:jc w:val="both"/>
      </w:pPr>
      <w:r>
        <w:rPr>
          <w:rFonts w:ascii="Times New Roman" w:hAnsi="Times New Roman" w:cs="Noto Naskh Arabic"/>
          <w:b w:val="0"/>
          <w:i w:val="0"/>
          <w:color w:val="111111"/>
          <w:sz w:val="23"/>
          <w:szCs w:val="23"/>
          <w:rtl/>
          <w:cs/>
        </w:rPr>
        <w:t>٢. معمارية توجيه شرطي تجعل كلفة طبقة تصنيف المتغيّرات مستقلة عن اتساع الكتالوج ‏(O(N)‎ بدل ‎O(N×K))‎، مع قياس مباشر لأثرها الزمني.</w:t>
      </w:r>
    </w:p>
    <w:p>
      <w:pPr>
        <w:keepNext w:val="0"/>
        <w:bidi/>
        <w:spacing w:after="120" w:before="0" w:line="348" w:lineRule="auto"/>
        <w:jc w:val="both"/>
      </w:pPr>
      <w:r>
        <w:rPr>
          <w:rFonts w:ascii="Times New Roman" w:hAnsi="Times New Roman" w:cs="Noto Naskh Arabic"/>
          <w:b w:val="0"/>
          <w:i w:val="0"/>
          <w:color w:val="111111"/>
          <w:sz w:val="23"/>
          <w:szCs w:val="23"/>
          <w:rtl/>
          <w:cs/>
        </w:rPr>
        <w:t>٣. قياس متكرّر للكلفة الحدّية لتوسيع الكتالوج تحت المعمارية المقترحة.</w:t>
      </w:r>
    </w:p>
    <w:p>
      <w:pPr>
        <w:keepNext w:val="0"/>
        <w:bidi/>
        <w:spacing w:after="120" w:before="0" w:line="348" w:lineRule="auto"/>
        <w:jc w:val="both"/>
      </w:pPr>
      <w:r>
        <w:rPr>
          <w:rFonts w:ascii="Times New Roman" w:hAnsi="Times New Roman" w:cs="Noto Naskh Arabic"/>
          <w:b w:val="0"/>
          <w:i w:val="0"/>
          <w:color w:val="111111"/>
          <w:sz w:val="23"/>
          <w:szCs w:val="23"/>
          <w:rtl/>
          <w:cs/>
        </w:rPr>
        <w:t>٤. نتيجة تصميمية في التعلّم النشط: إثبات أن أخذ العيّنات المستند إلى عتبة الثقة عاجز بنيوياً عن التقاط الخطأ الواثق، واقتراح معيار بديل.</w:t>
      </w:r>
    </w:p>
    <w:p>
      <w:pPr>
        <w:keepNext/>
        <w:bidi/>
        <w:spacing w:before="360" w:after="140"/>
        <w:jc w:val="right"/>
      </w:pPr>
      <w:r>
        <w:rPr>
          <w:rFonts w:ascii="Times New Roman" w:hAnsi="Times New Roman" w:cs="Noto Naskh Arabic"/>
          <w:b/>
          <w:bCs w:val="1"/>
          <w:i w:val="0"/>
          <w:color w:val="1A3A5C"/>
          <w:sz w:val="28"/>
          <w:szCs w:val="28"/>
          <w:rtl/>
          <w:cs/>
        </w:rPr>
        <w:t>٢. صياغة المشكلة</w:t>
      </w:r>
    </w:p>
    <w:p>
      <w:pPr>
        <w:keepNext w:val="0"/>
        <w:bidi/>
        <w:spacing w:after="160" w:before="0" w:line="348" w:lineRule="auto"/>
        <w:jc w:val="both"/>
      </w:pPr>
      <w:r>
        <w:rPr>
          <w:rFonts w:ascii="Times New Roman" w:hAnsi="Times New Roman" w:cs="Noto Naskh Arabic"/>
          <w:b w:val="0"/>
          <w:i w:val="0"/>
          <w:color w:val="111111"/>
          <w:sz w:val="23"/>
          <w:szCs w:val="23"/>
          <w:rtl/>
          <w:cs/>
        </w:rPr>
        <w:t>لتكن صورة رفّ تحوي N منتجاً معروضاً. المطلوب من النظام إنتاج جرد مُهيكل: عدد الوحدات لكل تسمية مميّزة، ومنه تُشتق حصة كل علامة من المساحة المعروضة. والتسمية المستهدفة مركّبة من محاور مستقلة على النمط: ‏{العلامة}-{نوع العبوة}-{المتغيّر}-{الحجم}‎.</w:t>
      </w:r>
    </w:p>
    <w:p>
      <w:pPr>
        <w:keepNext w:val="0"/>
        <w:bidi/>
        <w:spacing w:after="160" w:before="0" w:line="348" w:lineRule="auto"/>
        <w:jc w:val="both"/>
      </w:pPr>
      <w:r>
        <w:rPr>
          <w:rFonts w:ascii="Times New Roman" w:hAnsi="Times New Roman" w:cs="Noto Naskh Arabic"/>
          <w:b w:val="0"/>
          <w:i w:val="0"/>
          <w:color w:val="111111"/>
          <w:sz w:val="23"/>
          <w:szCs w:val="23"/>
          <w:rtl/>
          <w:cs/>
        </w:rPr>
        <w:t>وقد أُنجزت المحاور الثلاثة الأولى في هذه الدراسة — العلامة، والمتغيّر، ومادة التعبئة — بينما محور الحجم هو الخطوة التالية المخطَّط لها، ويُناقَش في القسم ١٠.</w:t>
      </w:r>
    </w:p>
    <w:p>
      <w:pPr>
        <w:keepNext w:val="0"/>
        <w:bidi/>
        <w:spacing w:after="160" w:before="0" w:line="348" w:lineRule="auto"/>
        <w:jc w:val="both"/>
      </w:pPr>
      <w:r>
        <w:rPr>
          <w:rFonts w:ascii="Times New Roman" w:hAnsi="Times New Roman" w:cs="Noto Naskh Arabic"/>
          <w:b w:val="0"/>
          <w:i w:val="0"/>
          <w:color w:val="111111"/>
          <w:sz w:val="23"/>
          <w:szCs w:val="23"/>
          <w:rtl/>
          <w:cs/>
        </w:rPr>
        <w:t>ويُلاحَظ أن التوطين لا يظهر في هذا الناتج. فهو مطلب داخلي لا ناتج نهائي: وظيفته فصل المنتجات المتجاورة بعضها عن بعض حتى يصحّ العدّ، وفصل مناطق الصورة حتى تصلح كلٌّ منها مُدخَلاً لطبقة تصنيف لاحقة. وهذا التمييز جوهري في هذه الدراسة، لأنه ما يجعل تحرير التوطين من عبء الهوية ممكناً أصلاً.</w:t>
      </w:r>
    </w:p>
    <w:p>
      <w:pPr>
        <w:keepNext w:val="0"/>
        <w:bidi/>
        <w:spacing w:after="120" w:before="0" w:line="348" w:lineRule="auto"/>
        <w:jc w:val="both"/>
      </w:pPr>
      <w:r>
        <w:rPr>
          <w:rFonts w:ascii="Times New Roman" w:hAnsi="Times New Roman" w:cs="Noto Naskh Arabic"/>
          <w:b w:val="0"/>
          <w:i w:val="0"/>
          <w:color w:val="111111"/>
          <w:sz w:val="23"/>
          <w:szCs w:val="23"/>
          <w:rtl/>
          <w:cs/>
        </w:rPr>
        <w:t>النهج الأول ‏(v1)‎. كاشف واحد يتعلّم دالّة تربط الصورة مباشرةً بمجموعة من (منطقة، علامة تجارية). وكلفة إضافة علامة جديدة هنا إعادة تدريب كاملة، أي دالّة في حجم الكتالوج كله لا في حجم الإضافة.</w:t>
      </w:r>
    </w:p>
    <w:p>
      <w:pPr>
        <w:keepNext w:val="0"/>
        <w:bidi/>
        <w:spacing w:after="120" w:before="0" w:line="348" w:lineRule="auto"/>
        <w:jc w:val="both"/>
      </w:pPr>
      <w:r>
        <w:rPr>
          <w:rFonts w:ascii="Times New Roman" w:hAnsi="Times New Roman" w:cs="Noto Naskh Arabic"/>
          <w:b w:val="0"/>
          <w:i w:val="0"/>
          <w:color w:val="111111"/>
          <w:sz w:val="23"/>
          <w:szCs w:val="23"/>
          <w:rtl/>
          <w:cs/>
        </w:rPr>
        <w:t>النهج الثاني ‏(v2)‎. كاشف محايد صنفياً يُنتج المناطق تحت صنف عام واحد، تليه دوالّ تصنيف مستقلة تعمل على المناطق المقتطعة. وكلفة إضافة علامة هنا تدريب مُصنِّف صغير واحد، مستقلة عن بقية النظام.</w:t>
      </w:r>
    </w:p>
    <w:p>
      <w:pPr>
        <w:keepNext w:val="0"/>
        <w:bidi/>
        <w:spacing w:after="160" w:before="0" w:line="348" w:lineRule="auto"/>
        <w:jc w:val="both"/>
      </w:pPr>
      <w:r>
        <w:rPr>
          <w:rFonts w:ascii="Times New Roman" w:hAnsi="Times New Roman" w:cs="Noto Naskh Arabic"/>
          <w:b w:val="0"/>
          <w:i w:val="0"/>
          <w:color w:val="111111"/>
          <w:sz w:val="23"/>
          <w:szCs w:val="23"/>
          <w:rtl/>
          <w:cs/>
        </w:rPr>
        <w:t>ويطرح النهج الثاني مسألته الخاصة: إذا وُجد K مُصنِّف متغيّرات وشُغِّل كلٌّ منها على كل منطقة، فعدد الاستدعاءات ‎O(N×K)‎ رغم أن استدعاءً واحداً من كل K مفيد فعلاً. وهذا ما يعالجه القسم ٤.</w:t>
      </w:r>
    </w:p>
    <w:p>
      <w:pPr>
        <w:keepNext/>
        <w:bidi/>
        <w:spacing w:before="360" w:after="140"/>
        <w:jc w:val="right"/>
      </w:pPr>
      <w:r>
        <w:rPr>
          <w:rFonts w:ascii="Times New Roman" w:hAnsi="Times New Roman" w:cs="Noto Naskh Arabic"/>
          <w:b/>
          <w:bCs w:val="1"/>
          <w:i w:val="0"/>
          <w:color w:val="1A3A5C"/>
          <w:sz w:val="28"/>
          <w:szCs w:val="28"/>
          <w:rtl/>
          <w:cs/>
        </w:rPr>
        <w:t>٣. المنهجية</w:t>
      </w:r>
    </w:p>
    <w:p>
      <w:pPr>
        <w:keepNext/>
        <w:bidi/>
        <w:spacing w:before="240" w:after="140"/>
        <w:jc w:val="right"/>
      </w:pPr>
      <w:r>
        <w:rPr>
          <w:rFonts w:ascii="Times New Roman" w:hAnsi="Times New Roman" w:cs="Noto Naskh Arabic"/>
          <w:b/>
          <w:bCs w:val="1"/>
          <w:i w:val="0"/>
          <w:color w:val="1A3A5C"/>
          <w:sz w:val="24"/>
          <w:szCs w:val="24"/>
          <w:rtl/>
          <w:cs/>
        </w:rPr>
        <w:t>٣٫١ بروتوكول التقييم</w:t>
      </w:r>
    </w:p>
    <w:p>
      <w:pPr>
        <w:keepNext w:val="0"/>
        <w:bidi/>
        <w:spacing w:after="160" w:before="0" w:line="348" w:lineRule="auto"/>
        <w:jc w:val="both"/>
      </w:pPr>
      <w:r>
        <w:rPr>
          <w:rFonts w:ascii="Times New Roman" w:hAnsi="Times New Roman" w:cs="Noto Naskh Arabic"/>
          <w:b w:val="0"/>
          <w:i w:val="0"/>
          <w:color w:val="111111"/>
          <w:sz w:val="23"/>
          <w:szCs w:val="23"/>
          <w:rtl/>
          <w:cs/>
        </w:rPr>
        <w:t>قُيِّم النهجان تحت شروط موحّدة قدر الإمكان: معمارية النموذج ذاتها ‏(rfdetr-large)‎ فلا يُعزى الفارق إلى اختلاف السعة؛ ومجموعة الصور المصدرية ذاتها، إذ يحمل كل من المشروعين ٢٢٧ صورة خام وهي الصور نفسها؛ وأداة التقييم ذاتها مُشغَّلة على مجموعة اختبار محجوبة في الحالتين. وجميع الأرقام مأخوذة من أدوات المنصّة مباشرةً، ولم يُقدَّر أي رقم؛ وحيثما لا يوجد قياس يُذكر ذلك صراحةً.</w:t>
      </w:r>
    </w:p>
    <w:p>
      <w:pPr>
        <w:keepNext w:val="0"/>
        <w:bidi/>
        <w:spacing w:after="160" w:before="0" w:line="348" w:lineRule="auto"/>
        <w:jc w:val="both"/>
      </w:pPr>
      <w:r>
        <w:rPr>
          <w:rFonts w:ascii="Times New Roman" w:hAnsi="Times New Roman" w:cs="Noto Naskh Arabic"/>
          <w:b w:val="0"/>
          <w:i w:val="0"/>
          <w:color w:val="111111"/>
          <w:sz w:val="23"/>
          <w:szCs w:val="23"/>
          <w:rtl/>
          <w:cs/>
        </w:rPr>
        <w:t>وثمة فارق لا يمكن توحيده، ويُذكر صراحةً لأنه يمسّ تفسير النتائج: يختلف أنبوب المعالجة المسبقة بين النسختين اختلافاً جوهرياً.</w:t>
      </w:r>
    </w:p>
    <w:p>
      <w:pPr>
        <w:keepNext/>
        <w:bidi/>
        <w:spacing w:before="240" w:after="100"/>
        <w:jc w:val="center"/>
      </w:pPr>
      <w:r>
        <w:rPr>
          <w:rFonts w:ascii="Times New Roman" w:hAnsi="Times New Roman" w:cs="Noto Naskh Arabic"/>
          <w:b/>
          <w:bCs w:val="1"/>
          <w:i w:val="0"/>
          <w:color w:val="555555"/>
          <w:sz w:val="19"/>
          <w:szCs w:val="19"/>
          <w:rtl/>
          <w:cs/>
        </w:rPr>
        <w:t xml:space="preserve">الجدول ١. </w:t>
      </w:r>
      <w:r>
        <w:rPr>
          <w:rFonts w:ascii="Times New Roman" w:hAnsi="Times New Roman" w:cs="Noto Naskh Arabic"/>
          <w:b w:val="0"/>
          <w:i w:val="0"/>
          <w:color w:val="555555"/>
          <w:sz w:val="19"/>
          <w:szCs w:val="19"/>
          <w:rtl/>
          <w:cs/>
        </w:rPr>
        <w:t>أنبوبا المعالجة المسبقة. الفارق في عدد الصور ناتج عن التوسيع لا عن بيانات مصدرية إضافية.</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البند</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v1 (النسخة ٢٠)</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v2 (النسخة ٢)</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الصور بعد المعالجة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١٬١٩١</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٣٨٤</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التدريب / التحقق / الاختبار</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٩٨٢ / ١١٢ / ٩٧</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٣١٦ / ٣٤ / ٣٤</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اقتصاص ثابت</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الربع الأوسط فقط</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لا يوجد</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تقطيع</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٢×٢</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لا يوجد</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التوسيع</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قلب أفقي، دوران ١٥°</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ضبابية، تعريض</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أي أن كل صورة تقييم في v1 تمثّل نحو سُدس عُشر مساحة الصورة الأصلية، بتكبير خطّي يقارب ٤×، بينما تُقيَّم v2 على صور كاملة. ولهذا الفارق ثلاثة آثار في تفسير النتائج.</w:t>
      </w:r>
    </w:p>
    <w:p>
      <w:pPr>
        <w:keepNext w:val="0"/>
        <w:bidi/>
        <w:spacing w:after="120" w:before="0" w:line="348" w:lineRule="auto"/>
        <w:jc w:val="both"/>
      </w:pPr>
      <w:r>
        <w:rPr>
          <w:rFonts w:ascii="Times New Roman" w:hAnsi="Times New Roman" w:cs="Noto Naskh Arabic"/>
          <w:b w:val="0"/>
          <w:i w:val="0"/>
          <w:color w:val="111111"/>
          <w:sz w:val="23"/>
          <w:szCs w:val="23"/>
          <w:rtl/>
          <w:cs/>
        </w:rPr>
        <w:t>أولاً، الفارق في عدد صور التدريب (‏١٬١٩١ مقابل ٣٨٤) ليس فارقاً في البيانات المصدرية بل في أنبوب التوسيع؛ فالمصدر واحد.</w:t>
      </w:r>
    </w:p>
    <w:p>
      <w:pPr>
        <w:keepNext w:val="0"/>
        <w:bidi/>
        <w:spacing w:after="120" w:before="0" w:line="348" w:lineRule="auto"/>
        <w:jc w:val="both"/>
      </w:pPr>
      <w:r>
        <w:rPr>
          <w:rFonts w:ascii="Times New Roman" w:hAnsi="Times New Roman" w:cs="Noto Naskh Arabic"/>
          <w:b w:val="0"/>
          <w:i w:val="0"/>
          <w:color w:val="111111"/>
          <w:sz w:val="23"/>
          <w:szCs w:val="23"/>
          <w:rtl/>
          <w:cs/>
        </w:rPr>
        <w:t>ثانياً، التقطيع يُكبِّر الأجسام نسبةً إلى الإطار، وهو إعداد أيسر للكشف لا أعسر. أي أن أي تفوّق للنهج متعدد الطبقات في هذه المقارنة يتحقق رغم أن خصمه قُيِّم في الظرف الأسهل — وهو ما يجعل النتيجة متحفِّظة لا مُبالِغة.</w:t>
      </w:r>
    </w:p>
    <w:p>
      <w:pPr>
        <w:keepNext w:val="0"/>
        <w:bidi/>
        <w:spacing w:after="120" w:before="0" w:line="348" w:lineRule="auto"/>
        <w:jc w:val="both"/>
      </w:pPr>
      <w:r>
        <w:rPr>
          <w:rFonts w:ascii="Times New Roman" w:hAnsi="Times New Roman" w:cs="Noto Naskh Arabic"/>
          <w:b w:val="0"/>
          <w:i w:val="0"/>
          <w:color w:val="111111"/>
          <w:sz w:val="23"/>
          <w:szCs w:val="23"/>
          <w:rtl/>
          <w:cs/>
        </w:rPr>
        <w:t>ثالثاً، لا تصحّ مقارنة الأداء مُفصَّلاً بحسب حجم الجسم بين النسختين، لأن فئات «صغير/متوسط/كبير» تُحسب نسبةً إلى الصورة المُقيَّمة؛ فالجسم «الصغير» في قصاصة مُكبَّرة أصغر فيزيائياً بكثير من نظيره في صورة كاملة. ولهذا تُعرَض هذه الأرقام في القسم ٥٫١ توصيفاً للنظام الحالي وحده، لا مقارنةً.</w:t>
      </w:r>
    </w:p>
    <w:p>
      <w:pPr>
        <w:keepNext/>
        <w:bidi/>
        <w:spacing w:before="240" w:after="140"/>
        <w:jc w:val="right"/>
      </w:pPr>
      <w:r>
        <w:rPr>
          <w:rFonts w:ascii="Times New Roman" w:hAnsi="Times New Roman" w:cs="Noto Naskh Arabic"/>
          <w:b/>
          <w:bCs w:val="1"/>
          <w:i w:val="0"/>
          <w:color w:val="1A3A5C"/>
          <w:sz w:val="24"/>
          <w:szCs w:val="24"/>
          <w:rtl/>
          <w:cs/>
        </w:rPr>
        <w:t>٣٫٢ التحقق السلوكي</w:t>
      </w:r>
    </w:p>
    <w:p>
      <w:pPr>
        <w:keepNext w:val="0"/>
        <w:bidi/>
        <w:spacing w:after="160" w:before="0" w:line="348" w:lineRule="auto"/>
        <w:jc w:val="both"/>
      </w:pPr>
      <w:r>
        <w:rPr>
          <w:rFonts w:ascii="Times New Roman" w:hAnsi="Times New Roman" w:cs="Noto Naskh Arabic"/>
          <w:b w:val="0"/>
          <w:i w:val="0"/>
          <w:color w:val="111111"/>
          <w:sz w:val="23"/>
          <w:szCs w:val="23"/>
          <w:rtl/>
          <w:cs/>
        </w:rPr>
        <w:t>اعتُمد مبدأ منهجي ثبتت أهميته تجريبياً: لا يُعتدّ بادّعاء عن سلوك النظام إلا إذا تحقّق باستدلال فعلي على صورة حقيقية. فقد تبيّن أكثر من مرة أن فحص الإعدادات يُعطي انطباعاً بالسلامة بينما السلوك الفعلي مختلف، وأن مقاييس التدريب وحدها لا تكشف ذلك.</w:t>
      </w:r>
    </w:p>
    <w:p>
      <w:pPr>
        <w:keepNext/>
        <w:bidi/>
        <w:spacing w:before="240" w:after="140"/>
        <w:jc w:val="right"/>
      </w:pPr>
      <w:r>
        <w:rPr>
          <w:rFonts w:ascii="Times New Roman" w:hAnsi="Times New Roman" w:cs="Noto Naskh Arabic"/>
          <w:b/>
          <w:bCs w:val="1"/>
          <w:i w:val="0"/>
          <w:color w:val="1A3A5C"/>
          <w:sz w:val="24"/>
          <w:szCs w:val="24"/>
          <w:rtl/>
          <w:cs/>
        </w:rPr>
        <w:t>٣٫٣ تدقيق البيانات</w:t>
      </w:r>
    </w:p>
    <w:p>
      <w:pPr>
        <w:keepNext w:val="0"/>
        <w:bidi/>
        <w:spacing w:after="160" w:before="0" w:line="348" w:lineRule="auto"/>
        <w:jc w:val="both"/>
      </w:pPr>
      <w:r>
        <w:rPr>
          <w:rFonts w:ascii="Times New Roman" w:hAnsi="Times New Roman" w:cs="Noto Naskh Arabic"/>
          <w:b w:val="0"/>
          <w:i w:val="0"/>
          <w:color w:val="111111"/>
          <w:sz w:val="23"/>
          <w:szCs w:val="23"/>
          <w:rtl/>
          <w:cs/>
        </w:rPr>
        <w:t>عند ضعف الأداء على صنف بعينه، اعتُمد التدقيق البصري المباشر لبيانات التدريب أداةً تشخيصية أولى قبل أي ضبط للنموذج. وطُوِّرت لذلك طريقة تُنزَّل فيها قصاصات الصنف وتُرتَّب في صفحات تباين شبكية مرتّبة بإشارة رخيصة لكنها دالّة — نسبة الأبعاد تفصل العلب عن الزجاجات، واللون السائد يفصل النكهات — فيصبح الحكم البشري ممكناً على نطاقات كاملة دفعةً واحدة بدل صورة بعد صورة. وقد أرجعت هذه الطريقة، في كل حالة فُحصت، سببَ الضعف إلى البيانات لا إلى النموذج.</w:t>
      </w:r>
    </w:p>
    <w:p>
      <w:pPr>
        <w:keepNext/>
        <w:bidi/>
        <w:spacing w:before="360" w:after="140"/>
        <w:jc w:val="right"/>
      </w:pPr>
      <w:r>
        <w:rPr>
          <w:rFonts w:ascii="Times New Roman" w:hAnsi="Times New Roman" w:cs="Noto Naskh Arabic"/>
          <w:b/>
          <w:bCs w:val="1"/>
          <w:i w:val="0"/>
          <w:color w:val="1A3A5C"/>
          <w:sz w:val="28"/>
          <w:szCs w:val="28"/>
          <w:rtl/>
          <w:cs/>
        </w:rPr>
        <w:t>٤. المعمارية المقترحة</w:t>
      </w:r>
    </w:p>
    <w:p>
      <w:pPr>
        <w:keepNext w:val="0"/>
        <w:bidi/>
        <w:spacing w:after="160" w:before="0" w:line="348" w:lineRule="auto"/>
        <w:jc w:val="both"/>
      </w:pPr>
      <w:r>
        <w:rPr>
          <w:rFonts w:ascii="Times New Roman" w:hAnsi="Times New Roman" w:cs="Noto Naskh Arabic"/>
          <w:b w:val="0"/>
          <w:i w:val="0"/>
          <w:color w:val="111111"/>
          <w:sz w:val="23"/>
          <w:szCs w:val="23"/>
          <w:rtl/>
          <w:cs/>
        </w:rPr>
        <w:t>تُضيّق المعمارية فضاء القرار مرحلةً بعد مرحلة، بحيث تكون كل طبقة صغيرة ومستقلة وقابلة للاستبدال دون المساس بما قبلها.</w:t>
      </w:r>
    </w:p>
    <w:p>
      <w:pPr>
        <w:keepNext w:val="0"/>
        <w:bidi/>
        <w:spacing w:after="120" w:before="0" w:line="348" w:lineRule="auto"/>
        <w:jc w:val="both"/>
      </w:pPr>
      <w:r>
        <w:rPr>
          <w:rFonts w:ascii="Times New Roman" w:hAnsi="Times New Roman" w:cs="Noto Naskh Arabic"/>
          <w:b w:val="0"/>
          <w:i w:val="0"/>
          <w:color w:val="111111"/>
          <w:sz w:val="23"/>
          <w:szCs w:val="23"/>
          <w:rtl/>
          <w:cs/>
        </w:rPr>
        <w:t>المرحلة الأولى — الكشف (محايد صنفياً). تُحدَّد مناطق المنتجات تحت صنف عام واحد. لا يحمل هذا النموذج أي معرفة بالهوية، فلا يستوجب إعادة تدريب عند تغيّر الكتالوج مهما اتّسع.</w:t>
      </w:r>
    </w:p>
    <w:p>
      <w:pPr>
        <w:keepNext w:val="0"/>
        <w:bidi/>
        <w:spacing w:after="120" w:before="0" w:line="348" w:lineRule="auto"/>
        <w:jc w:val="both"/>
      </w:pPr>
      <w:r>
        <w:rPr>
          <w:rFonts w:ascii="Times New Roman" w:hAnsi="Times New Roman" w:cs="Noto Naskh Arabic"/>
          <w:b w:val="0"/>
          <w:i w:val="0"/>
          <w:color w:val="111111"/>
          <w:sz w:val="23"/>
          <w:szCs w:val="23"/>
          <w:rtl/>
          <w:cs/>
        </w:rPr>
        <w:t>المرحلة الثانية — العلامة التجارية. تُقتطع كل منطقة وتُصنَّف بحسب الشركة المصنِّعة. طبقة مستقرة نسبياً، لأن مجموعة العلامات في سوق ما تتغيّر أبطأ بكثير من مجموعة المنتجات. وهي الطبقة الحرجة، لأن قرارها يحدد مسار كل ما بعده.</w:t>
      </w:r>
    </w:p>
    <w:p>
      <w:pPr>
        <w:keepNext w:val="0"/>
        <w:bidi/>
        <w:spacing w:after="120" w:before="0" w:line="348" w:lineRule="auto"/>
        <w:jc w:val="both"/>
      </w:pPr>
      <w:r>
        <w:rPr>
          <w:rFonts w:ascii="Times New Roman" w:hAnsi="Times New Roman" w:cs="Noto Naskh Arabic"/>
          <w:b w:val="0"/>
          <w:i w:val="0"/>
          <w:color w:val="111111"/>
          <w:sz w:val="23"/>
          <w:szCs w:val="23"/>
          <w:rtl/>
          <w:cs/>
        </w:rPr>
        <w:t>المرحلة الثالثة — المتغيّر، بتوجيه شرطي. إذا كانت العلامة المُحدَّدة تملك مُصنِّف متغيّرات، تُشغِّل خطوة التوجيه ذلك المُصنِّف وحده؛ والمنطقة التي لا تنتمي إلى علامة موصولة لا تمرّ على أي مُصنِّف متغيّرات إطلاقاً. وأربع علامات موصولة بهذا النمط.</w:t>
      </w:r>
    </w:p>
    <w:p>
      <w:pPr>
        <w:keepNext w:val="0"/>
        <w:bidi/>
        <w:spacing w:after="120" w:before="0" w:line="348" w:lineRule="auto"/>
        <w:jc w:val="both"/>
      </w:pPr>
      <w:r>
        <w:rPr>
          <w:rFonts w:ascii="Times New Roman" w:hAnsi="Times New Roman" w:cs="Noto Naskh Arabic"/>
          <w:b w:val="0"/>
          <w:i w:val="0"/>
          <w:color w:val="111111"/>
          <w:sz w:val="23"/>
          <w:szCs w:val="23"/>
          <w:rtl/>
          <w:cs/>
        </w:rPr>
        <w:t>المرحلة الرابعة — مادة التعبئة، بلا شرط. مُصنِّف مشترك واحد (علبة / بلاستيك / زجاج) يعمل على كل منطقة، لأن المادة خاصية فيزيائية مستقلة عن المصنِّع — فأي علامة تُضاف مستقبلاً تستفيد منه فوراً بلا تدريب إضافي.</w:t>
      </w:r>
    </w:p>
    <w:p>
      <w:pPr>
        <w:keepNext w:val="0"/>
        <w:bidi/>
        <w:spacing w:after="160" w:before="0" w:line="348" w:lineRule="auto"/>
        <w:jc w:val="both"/>
      </w:pPr>
      <w:r>
        <w:rPr>
          <w:rFonts w:ascii="Times New Roman" w:hAnsi="Times New Roman" w:cs="Noto Naskh Arabic"/>
          <w:b w:val="0"/>
          <w:i w:val="0"/>
          <w:color w:val="111111"/>
          <w:sz w:val="23"/>
          <w:szCs w:val="23"/>
          <w:rtl/>
          <w:cs/>
        </w:rPr>
        <w:t>ثم تختار خطوة دمج أدقّ تسمية متاحة (المتغيّر إن وُجد، وإلا العلامة المجردة) وتضمّها إلى مادة التعبئة. والخاصية المعمارية الجوهرية أن التوجيه في المرحلة الثالثة يفصل تنفيذ المُصنِّف عن مجرد توفّر البيانات له — وهو ما يجعل النمو مستقلاً عن K، كما يبيّن القسم ٥٫٤.</w:t>
      </w:r>
    </w:p>
    <w:p>
      <w:pPr>
        <w:keepNext w:val="0"/>
        <w:bidi/>
        <w:spacing w:after="160" w:before="0" w:line="348" w:lineRule="auto"/>
        <w:jc w:val="both"/>
      </w:pPr>
      <w:r>
        <w:rPr>
          <w:rFonts w:ascii="Times New Roman" w:hAnsi="Times New Roman" w:cs="Noto Naskh Arabic"/>
          <w:b w:val="0"/>
          <w:i w:val="0"/>
          <w:color w:val="111111"/>
          <w:sz w:val="23"/>
          <w:szCs w:val="23"/>
          <w:rtl/>
          <w:cs/>
        </w:rPr>
        <w:t>ويُلاحَظ أن المحاور مستقلة تصميمياً: فمادة التعبئة لا تتوقف على العلامة، والمتغيّر يتوقف عليها. وهذا الاستقلال هو ما يسمح بإضافة محور الحجم لاحقاً كطبقة رابعة دون المساس بما سبقها.</w:t>
      </w:r>
    </w:p>
    <w:p>
      <w:pPr>
        <w:keepNext/>
        <w:spacing w:before="240" w:after="80"/>
        <w:jc w:val="center"/>
      </w:pPr>
      <w:r>
        <w:drawing>
          <wp:inline xmlns:a="http://schemas.openxmlformats.org/drawingml/2006/main" xmlns:pic="http://schemas.openxmlformats.org/drawingml/2006/picture">
            <wp:extent cx="5544000" cy="3525498"/>
            <wp:docPr id="1" name="Picture 1"/>
            <wp:cNvGraphicFramePr>
              <a:graphicFrameLocks noChangeAspect="1"/>
            </wp:cNvGraphicFramePr>
            <a:graphic>
              <a:graphicData uri="http://schemas.openxmlformats.org/drawingml/2006/picture">
                <pic:pic>
                  <pic:nvPicPr>
                    <pic:cNvPr id="0" name="fig_pipeline_v2.png"/>
                    <pic:cNvPicPr/>
                  </pic:nvPicPr>
                  <pic:blipFill>
                    <a:blip r:embed="rId9"/>
                    <a:stretch>
                      <a:fillRect/>
                    </a:stretch>
                  </pic:blipFill>
                  <pic:spPr>
                    <a:xfrm>
                      <a:off x="0" y="0"/>
                      <a:ext cx="5544000" cy="3525498"/>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١. </w:t>
      </w:r>
      <w:r>
        <w:rPr>
          <w:rFonts w:ascii="Times New Roman" w:hAnsi="Times New Roman" w:cs="Noto Naskh Arabic"/>
          <w:b w:val="0"/>
          <w:i w:val="0"/>
          <w:color w:val="555555"/>
          <w:sz w:val="19"/>
          <w:szCs w:val="19"/>
          <w:rtl/>
          <w:cs/>
        </w:rPr>
        <w:t>المعمارية كما هي منشورة فعلياً، مقروءةً من مواصفة سير العمل الحيّة. والفارق الجوهري عن المعماريات المرحلية المعتادة هو خطوات التوجيه (باللون البرتقالي): فهي تفصل تنفيذ مُصنِّفات المتغيّرات عن مجرد توفّر البيانات لها، وهو ما يقيسه القسم ٥٫٤.</w:t>
      </w:r>
    </w:p>
    <w:p>
      <w:pPr>
        <w:keepNext/>
        <w:bidi/>
        <w:spacing w:before="360" w:after="140"/>
        <w:jc w:val="right"/>
      </w:pPr>
      <w:r>
        <w:rPr>
          <w:rFonts w:ascii="Times New Roman" w:hAnsi="Times New Roman" w:cs="Noto Naskh Arabic"/>
          <w:b/>
          <w:bCs w:val="1"/>
          <w:i w:val="0"/>
          <w:color w:val="1A3A5C"/>
          <w:sz w:val="28"/>
          <w:szCs w:val="28"/>
          <w:rtl/>
          <w:cs/>
        </w:rPr>
        <w:t>٥. النتائج التجريبية</w:t>
      </w:r>
    </w:p>
    <w:p>
      <w:pPr>
        <w:keepNext/>
        <w:bidi/>
        <w:spacing w:before="240" w:after="140"/>
        <w:jc w:val="right"/>
      </w:pPr>
      <w:r>
        <w:rPr>
          <w:rFonts w:ascii="Times New Roman" w:hAnsi="Times New Roman" w:cs="Noto Naskh Arabic"/>
          <w:b/>
          <w:bCs w:val="1"/>
          <w:i w:val="0"/>
          <w:color w:val="1A3A5C"/>
          <w:sz w:val="24"/>
          <w:szCs w:val="24"/>
          <w:rtl/>
          <w:cs/>
        </w:rPr>
        <w:t>٥٫١ الكشف: النهج الأحادي مقابل متعدد الطبقات</w:t>
      </w:r>
    </w:p>
    <w:p>
      <w:pPr>
        <w:keepNext/>
        <w:bidi/>
        <w:spacing w:before="240" w:after="100"/>
        <w:jc w:val="center"/>
      </w:pPr>
      <w:r>
        <w:rPr>
          <w:rFonts w:ascii="Times New Roman" w:hAnsi="Times New Roman" w:cs="Noto Naskh Arabic"/>
          <w:b/>
          <w:bCs w:val="1"/>
          <w:i w:val="0"/>
          <w:color w:val="555555"/>
          <w:sz w:val="19"/>
          <w:szCs w:val="19"/>
          <w:rtl/>
          <w:cs/>
        </w:rPr>
        <w:t xml:space="preserve">الجدول ٢. </w:t>
      </w:r>
      <w:r>
        <w:rPr>
          <w:rFonts w:ascii="Times New Roman" w:hAnsi="Times New Roman" w:cs="Noto Naskh Arabic"/>
          <w:b w:val="0"/>
          <w:i w:val="0"/>
          <w:color w:val="555555"/>
          <w:sz w:val="19"/>
          <w:szCs w:val="19"/>
          <w:rtl/>
          <w:cs/>
        </w:rPr>
        <w:t>أداء الكاشفين على مجموعة اختبار محجوبة، بأداة التقييم ذاتها ومعمارية النموذج ذاتها.</w:t>
      </w:r>
    </w:p>
    <w:tbl>
      <w:tblPr>
        <w:tblStyle w:val="TableGrid"/>
        <w:bidiVisual/>
        <w:tblW w:type="auto" w:w="0"/>
        <w:jc w:val="right"/>
        <w:tblLook w:firstColumn="1" w:firstRow="1" w:lastColumn="0" w:lastRow="0" w:noHBand="0" w:noVBand="1" w:val="04A0"/>
      </w:tblPr>
      <w:tblGrid>
        <w:gridCol w:w="2239"/>
        <w:gridCol w:w="2239"/>
        <w:gridCol w:w="2239"/>
        <w:gridCol w:w="2239"/>
      </w:tblGrid>
      <w:tr>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المقياس</w:t>
            </w:r>
          </w:p>
        </w:tc>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v1 (أحادي، ٦ أصناف)</w:t>
            </w:r>
          </w:p>
        </w:tc>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v2 (متعدد، صنف واحد)</w:t>
            </w:r>
          </w:p>
        </w:tc>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الفارق</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متوسط الدقة mAP50</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٨٨٫٦٢٪</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٩٣٫٣٣٪</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‎+٤٫٧١‎</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mAP50-95</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٧٠٫٠٩٪</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٧٦٫٤٩٪</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‎+٦٫٤٠‎</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mAP75</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٨٠٫٤٣٪</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٨٧٫٥٧٪</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‎+٧٫١٤‎</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الإحكام</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٨٨٫٩٪</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٨٧٫٤٪</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‎−١٫٥٠‎</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الاستدعاء</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٨٤٫٩٪</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٩٠٫٩٪</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‎+٦٫٠٠‎</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يتفوّق النهج متعدد الطبقات في كل مقاييس الدقة المتوسطة وفي الاستدعاء، انطلاقاً من مجموعة الصور المصدرية ذاتها، ورغم أن النهج الأحادي قُيِّم على قصاصات مُكبَّرة تمثّل الظرف الأيسر للكشف (القسم ٣٫١). أي أن الفارق المُقاس حدٌّ أدنى للفارق الحقيقي على الأرجح، لا مبالغة فيه.</w:t>
      </w:r>
    </w:p>
    <w:p>
      <w:pPr>
        <w:keepNext w:val="0"/>
        <w:bidi/>
        <w:spacing w:after="160" w:before="0" w:line="348" w:lineRule="auto"/>
        <w:jc w:val="both"/>
      </w:pPr>
      <w:r>
        <w:rPr>
          <w:rFonts w:ascii="Times New Roman" w:hAnsi="Times New Roman" w:cs="Noto Naskh Arabic"/>
          <w:b w:val="0"/>
          <w:i w:val="0"/>
          <w:color w:val="111111"/>
          <w:sz w:val="23"/>
          <w:szCs w:val="23"/>
          <w:rtl/>
          <w:cs/>
        </w:rPr>
        <w:t>والتراجع الوحيد في الإحكام بمقدار ١٫٥ نقطة، وهو مقايضة معتادة مقابل مكسب ٦ نقاط في الاستدعاء. والاستدعاء هو المقياس الأهم في هذا المجال: فمنتج لم يُكتشَف يُفسِد الجرد ولا سبيل إلى استرجاعه لاحقاً، بينما اكتشاف زائد يصحّحه المراجع البشري في خطوة المراجعة.</w:t>
      </w:r>
    </w:p>
    <w:p>
      <w:pPr>
        <w:keepNext w:val="0"/>
        <w:bidi/>
        <w:spacing w:after="160" w:before="0" w:line="348" w:lineRule="auto"/>
        <w:jc w:val="both"/>
      </w:pPr>
      <w:r>
        <w:rPr>
          <w:rFonts w:ascii="Times New Roman" w:hAnsi="Times New Roman" w:cs="Noto Naskh Arabic"/>
          <w:b w:val="0"/>
          <w:i w:val="0"/>
          <w:color w:val="111111"/>
          <w:sz w:val="23"/>
          <w:szCs w:val="23"/>
          <w:rtl/>
          <w:cs/>
        </w:rPr>
        <w:t>وتوصيفاً للنظام الحالي وحده — لا مقارنةً، للسبب المذكور في القسم ٣٫١ — يبلغ أداؤه موزّعاً على أحجام الأجسام: ٩٢٫٣١٪ للصغيرة، و٩٤٫٤٧٪ للمتوسطة، و٩٦٫٩٨٪ للكبيرة. أي أنه يحافظ على أداء مرتفع عبر نطاق الأحجام كله، وهو مطلب عملي في صور الرفوف حيث تتفاوت أبعاد المنتجات تفاوتاً واسعاً داخل الإطار الواحد.</w:t>
      </w:r>
    </w:p>
    <w:p>
      <w:pPr>
        <w:keepNext w:val="0"/>
        <w:bidi/>
        <w:spacing w:after="160" w:before="0" w:line="348" w:lineRule="auto"/>
        <w:jc w:val="both"/>
      </w:pPr>
      <w:r>
        <w:rPr>
          <w:rFonts w:ascii="Times New Roman" w:hAnsi="Times New Roman" w:cs="Noto Naskh Arabic"/>
          <w:b w:val="0"/>
          <w:i w:val="0"/>
          <w:color w:val="111111"/>
          <w:sz w:val="23"/>
          <w:szCs w:val="23"/>
          <w:rtl/>
          <w:cs/>
        </w:rPr>
        <w:t>كما أفرز التقييم عتبة ثقة مثلى محسوبة قدرها ٠٫٤١، وهي مطابقة عملياً للعتبة ٠٫٤ المعتمدة في النظام العامل — وقد ضُبطت هذه الأخيرة بالتجربة قبل توفّر التقييم، فوافقت التوصية المحسوبة دون علم بها.</w:t>
      </w:r>
    </w:p>
    <w:p>
      <w:pPr>
        <w:keepNext/>
        <w:bidi/>
        <w:spacing w:before="240" w:after="140"/>
        <w:jc w:val="right"/>
      </w:pPr>
      <w:r>
        <w:rPr>
          <w:rFonts w:ascii="Times New Roman" w:hAnsi="Times New Roman" w:cs="Noto Naskh Arabic"/>
          <w:b/>
          <w:bCs w:val="1"/>
          <w:i w:val="0"/>
          <w:color w:val="1A3A5C"/>
          <w:sz w:val="24"/>
          <w:szCs w:val="24"/>
          <w:rtl/>
          <w:cs/>
        </w:rPr>
        <w:t>٥٫٢ تضوّر الإشارة الصنفية</w:t>
      </w:r>
    </w:p>
    <w:p>
      <w:pPr>
        <w:keepNext w:val="0"/>
        <w:bidi/>
        <w:spacing w:after="160" w:before="0" w:line="348" w:lineRule="auto"/>
        <w:jc w:val="both"/>
      </w:pPr>
      <w:r>
        <w:rPr>
          <w:rFonts w:ascii="Times New Roman" w:hAnsi="Times New Roman" w:cs="Noto Naskh Arabic"/>
          <w:b w:val="0"/>
          <w:i w:val="0"/>
          <w:color w:val="111111"/>
          <w:sz w:val="23"/>
          <w:szCs w:val="23"/>
          <w:rtl/>
          <w:cs/>
        </w:rPr>
        <w:t>يكشف التفصيل الصنفي لأداء النهج الأحادي آلية القيد الإحصائي الذي تنبّأت به الفرضية.</w:t>
      </w:r>
    </w:p>
    <w:p>
      <w:pPr>
        <w:keepNext/>
        <w:bidi/>
        <w:spacing w:before="240" w:after="100"/>
        <w:jc w:val="center"/>
      </w:pPr>
      <w:r>
        <w:rPr>
          <w:rFonts w:ascii="Times New Roman" w:hAnsi="Times New Roman" w:cs="Noto Naskh Arabic"/>
          <w:b/>
          <w:bCs w:val="1"/>
          <w:i w:val="0"/>
          <w:color w:val="555555"/>
          <w:sz w:val="19"/>
          <w:szCs w:val="19"/>
          <w:rtl/>
          <w:cs/>
        </w:rPr>
        <w:t xml:space="preserve">الجدول ٣. </w:t>
      </w:r>
      <w:r>
        <w:rPr>
          <w:rFonts w:ascii="Times New Roman" w:hAnsi="Times New Roman" w:cs="Noto Naskh Arabic"/>
          <w:b w:val="0"/>
          <w:i w:val="0"/>
          <w:color w:val="555555"/>
          <w:sz w:val="19"/>
          <w:szCs w:val="19"/>
          <w:rtl/>
          <w:cs/>
        </w:rPr>
        <w:t>الأداء الصنفي للكاشف الأحادي: تفاوت ٦٫٣٥ نقطة بين الأصناف المُمثَّلة، وانهيار كامل لصنف غير مُمثَّل.</w:t>
      </w:r>
    </w:p>
    <w:tbl>
      <w:tblPr>
        <w:tblStyle w:val="TableGrid"/>
        <w:bidiVisual/>
        <w:tblW w:type="auto" w:w="0"/>
        <w:jc w:val="right"/>
        <w:tblLook w:firstColumn="1" w:firstRow="1" w:lastColumn="0" w:lastRow="0" w:noHBand="0" w:noVBand="1" w:val="04A0"/>
      </w:tblPr>
      <w:tblGrid>
        <w:gridCol w:w="2239"/>
        <w:gridCol w:w="2239"/>
        <w:gridCol w:w="2239"/>
        <w:gridCol w:w="2239"/>
      </w:tblGrid>
      <w:tr>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الصنف</w:t>
            </w:r>
          </w:p>
        </w:tc>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mAP50</w:t>
            </w:r>
          </w:p>
        </w:tc>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الإحكام</w:t>
            </w:r>
          </w:p>
        </w:tc>
        <w:tc>
          <w:tcPr>
            <w:tcW w:type="dxa" w:w="2239"/>
          </w:tcPr>
          <w:p>
            <w:pPr>
              <w:bidi/>
              <w:spacing w:before="60" w:after="60"/>
              <w:jc w:val="right"/>
            </w:pPr>
            <w:r>
              <w:rPr>
                <w:rtl/>
                <w:cs/>
              </w:rPr>
            </w:r>
            <w:r>
              <w:rPr>
                <w:rFonts w:ascii="Times New Roman" w:hAnsi="Times New Roman" w:cs="Noto Naskh Arabic"/>
                <w:b/>
                <w:bCs w:val="1"/>
                <w:i w:val="0"/>
                <w:color w:val="111111"/>
                <w:sz w:val="20"/>
                <w:szCs w:val="20"/>
                <w:rtl/>
                <w:cs/>
              </w:rPr>
              <w:t>الاستدعاء</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xl_energy</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٩١٫٩٧٪</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٩٠٫٤٪</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٩٠٫٤٪</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coca-cola</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٨٩٫٢٧٪</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٩١٫٢٪</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٨٥٫٤٪</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sprite</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٨٨٫٢٩٪</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٨٥٫١٪</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٨٧٫٧٪</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fanta</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٨٧٫٩٨٪</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٨٨٫٩٪</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٩٠٫٣٪</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cappy</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٨٥٫٦٢٪</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٨٧٫٨٪</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٨١٫٥٪</w:t>
            </w:r>
          </w:p>
        </w:tc>
      </w:tr>
      <w:tr>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pepsi</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٠٪</w:t>
            </w:r>
          </w:p>
        </w:tc>
        <w:tc>
          <w:tcPr>
            <w:tcW w:type="dxa" w:w="2239"/>
          </w:tcPr>
          <w:p>
            <w:pPr>
              <w:bidi/>
              <w:spacing w:before="60" w:after="60"/>
              <w:jc w:val="right"/>
            </w:pPr>
            <w:r>
              <w:rPr>
                <w:rtl/>
                <w:cs/>
              </w:rPr>
            </w:r>
            <w:r>
              <w:rPr>
                <w:rFonts w:ascii="Times New Roman" w:hAnsi="Times New Roman" w:cs="Noto Naskh Arabic"/>
                <w:b w:val="0"/>
                <w:i w:val="0"/>
                <w:color w:val="111111"/>
                <w:sz w:val="20"/>
                <w:szCs w:val="20"/>
                <w:rtl/>
                <w:cs/>
              </w:rPr>
              <w:t>٠٪</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يتفاوت الأداء ٦٫٣٥ نقطة بين أقوى الأصناف المُمثَّلة وأضعفها، وينهار صنف pepsi كلياً لانعدام تمثيله في مجموعة الاختبار. وهذا هو تضوّر الإشارة بعينه: إشارة تدريب محدودة مقسومة على ستة أصناف تُنتج أداءً متفاوتاً يحدّه أضعف صنف، لا أقواه.</w:t>
      </w:r>
    </w:p>
    <w:p>
      <w:pPr>
        <w:keepNext w:val="0"/>
        <w:bidi/>
        <w:spacing w:after="160" w:before="0" w:line="348" w:lineRule="auto"/>
        <w:jc w:val="both"/>
      </w:pPr>
      <w:r>
        <w:rPr>
          <w:rFonts w:ascii="Times New Roman" w:hAnsi="Times New Roman" w:cs="Noto Naskh Arabic"/>
          <w:b w:val="0"/>
          <w:i w:val="0"/>
          <w:color w:val="111111"/>
          <w:sz w:val="23"/>
          <w:szCs w:val="23"/>
          <w:rtl/>
          <w:cs/>
        </w:rPr>
        <w:t>أما النهج متعدد الطبقات فيوحّد الإشارة كلها في صنف واحد بلغ ٩٣٫٣٣٪ — أعلى من كل صنف مفرد في النهج الأحادي — ويؤجّل التمييز إلى طبقات لاحقة تعمل على مناطق مقتطعة ومُعاد تحجيمها، أي بتفصيل بصري أوفر مما يتاح للكاشف على الصورة الكاملة. والدلالة أن الفصل لا يحسّن الكشف مصادفةً، بل لأنه يحرّر الكاشف من مهمة لا يملك التفصيل البصري الكافي لأدائها جيداً، ويوكلها إلى طبقة تملكه.</w:t>
      </w:r>
    </w:p>
    <w:p>
      <w:pPr>
        <w:keepNext/>
        <w:spacing w:before="240" w:after="80"/>
        <w:jc w:val="center"/>
      </w:pPr>
      <w:r>
        <w:drawing>
          <wp:inline xmlns:a="http://schemas.openxmlformats.org/drawingml/2006/main" xmlns:pic="http://schemas.openxmlformats.org/drawingml/2006/picture">
            <wp:extent cx="5544000" cy="2128369"/>
            <wp:docPr id="2" name="Picture 2"/>
            <wp:cNvGraphicFramePr>
              <a:graphicFrameLocks noChangeAspect="1"/>
            </wp:cNvGraphicFramePr>
            <a:graphic>
              <a:graphicData uri="http://schemas.openxmlformats.org/drawingml/2006/picture">
                <pic:pic>
                  <pic:nvPicPr>
                    <pic:cNvPr id="0" name="fig_detection.png"/>
                    <pic:cNvPicPr/>
                  </pic:nvPicPr>
                  <pic:blipFill>
                    <a:blip r:embed="rId10"/>
                    <a:stretch>
                      <a:fillRect/>
                    </a:stretch>
                  </pic:blipFill>
                  <pic:spPr>
                    <a:xfrm>
                      <a:off x="0" y="0"/>
                      <a:ext cx="5544000" cy="2128369"/>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٢. </w:t>
      </w:r>
      <w:r>
        <w:rPr>
          <w:rFonts w:ascii="Times New Roman" w:hAnsi="Times New Roman" w:cs="Noto Naskh Arabic"/>
          <w:b w:val="0"/>
          <w:i w:val="0"/>
          <w:color w:val="555555"/>
          <w:sz w:val="19"/>
          <w:szCs w:val="19"/>
          <w:rtl/>
          <w:cs/>
        </w:rPr>
        <w:t>يساراً: الأداء الصنفي للكاشف الأحادي، والخط المتقطّع هو أداء الكاشف المحايد صنفياً بصنفه الواحد. يميناً: المقاييس الرئيسية للنهجين، بأداة التقييم ذاتها.</w:t>
      </w:r>
    </w:p>
    <w:p>
      <w:pPr>
        <w:keepNext/>
        <w:bidi/>
        <w:spacing w:before="240" w:after="140"/>
        <w:jc w:val="right"/>
      </w:pPr>
      <w:r>
        <w:rPr>
          <w:rFonts w:ascii="Times New Roman" w:hAnsi="Times New Roman" w:cs="Noto Naskh Arabic"/>
          <w:b/>
          <w:bCs w:val="1"/>
          <w:i w:val="0"/>
          <w:color w:val="1A3A5C"/>
          <w:sz w:val="24"/>
          <w:szCs w:val="24"/>
          <w:rtl/>
          <w:cs/>
        </w:rPr>
        <w:t>٥٫٣ أداء طبقات التصنيف</w:t>
      </w:r>
    </w:p>
    <w:p>
      <w:pPr>
        <w:keepNext/>
        <w:bidi/>
        <w:spacing w:before="240" w:after="100"/>
        <w:jc w:val="center"/>
      </w:pPr>
      <w:r>
        <w:rPr>
          <w:rFonts w:ascii="Times New Roman" w:hAnsi="Times New Roman" w:cs="Noto Naskh Arabic"/>
          <w:b/>
          <w:bCs w:val="1"/>
          <w:i w:val="0"/>
          <w:color w:val="555555"/>
          <w:sz w:val="19"/>
          <w:szCs w:val="19"/>
          <w:rtl/>
          <w:cs/>
        </w:rPr>
        <w:t xml:space="preserve">الجدول ٤. </w:t>
      </w:r>
      <w:r>
        <w:rPr>
          <w:rFonts w:ascii="Times New Roman" w:hAnsi="Times New Roman" w:cs="Noto Naskh Arabic"/>
          <w:b w:val="0"/>
          <w:i w:val="0"/>
          <w:color w:val="555555"/>
          <w:sz w:val="19"/>
          <w:szCs w:val="19"/>
          <w:rtl/>
          <w:cs/>
        </w:rPr>
        <w:t>طبقة العلامة التجارية — الطبقة التي يعتمد عليها توجيه كل ما بعدها.</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الصنف</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الإحكام</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الاستدعاء</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fanta</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١٠٠٪</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sprite</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١٠٠٪</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xl_energy</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٩٥٪</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cappy</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٩٢٫٩٪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coca-cola</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٩٠٪</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pepsi</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لا تمثيل اختباري</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بلغ الإحكام ١٠٠٪ لكل علامة لها تصوير ميداني فعلي. وهذه نتيجة حاسمة معمارياً: القرار الذي يعتمد عليه كل ما بعده لا يُخطئ عملياً، فلا تُعزى أخطاء الطبقات اللاحقة إلى توجيه خاطئ — وهو شرط لازم لصحة أي استنتاج عن أداء تلك الطبقات.</w:t>
      </w:r>
    </w:p>
    <w:p>
      <w:pPr>
        <w:keepNext/>
        <w:bidi/>
        <w:spacing w:before="240" w:after="100"/>
        <w:jc w:val="center"/>
      </w:pPr>
      <w:r>
        <w:rPr>
          <w:rFonts w:ascii="Times New Roman" w:hAnsi="Times New Roman" w:cs="Noto Naskh Arabic"/>
          <w:b/>
          <w:bCs w:val="1"/>
          <w:i w:val="0"/>
          <w:color w:val="555555"/>
          <w:sz w:val="19"/>
          <w:szCs w:val="19"/>
          <w:rtl/>
          <w:cs/>
        </w:rPr>
        <w:t xml:space="preserve">الجدول ٥. </w:t>
      </w:r>
      <w:r>
        <w:rPr>
          <w:rFonts w:ascii="Times New Roman" w:hAnsi="Times New Roman" w:cs="Noto Naskh Arabic"/>
          <w:b w:val="0"/>
          <w:i w:val="0"/>
          <w:color w:val="555555"/>
          <w:sz w:val="19"/>
          <w:szCs w:val="19"/>
          <w:rtl/>
          <w:cs/>
        </w:rPr>
        <w:t>طبقات المتغيّرات ومادة التعبئة، بصيغة (الإحكام/الاستدعاء).</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المُصنِّف</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الأصناف المُتقَنة</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الأصناف الضعيفة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Fanta</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orange، redapple ‏(١٠٠/١٠٠)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grape ‏(١٠٠/٦٦٫٧)</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XL Energy</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ثلاثة أصناف ‏(١٠٠/١٠٠)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صنفان بلا تمثيل</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Coca-Cola</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classic ‏(١٠٠/١٠٠)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zero ‏(١٠٠/٦٦٫٧)، diet ‏(٠/٠)</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مادة التعبئة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can ‏(٩٨٫٥/٩٢٫٩)، plastic ‏(٩٣٫٣/٩٥٫٥)</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glass ‏(١٠٠/٣٣٫٣)</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Cappy</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grape، mango، strawberry ‏(١٠٠/١٠٠)</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٦ أصناف من ١٢ بلا تمثيل</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ويكشف تحليل هذه النتائج نمطاً واحداً منتظماً: كل صنف ضعيف يقابله عدد عيّنات ضئيل قابل للعدّ — ثلاث عيّنات اختبار للزجاج، وخمس صور مصدرية لـ coca-diet، وما بين عيّنة وستّ عيّنات لكل صنف من أصناف Cappy الضعيفة. ومصفوفات الالتباس تُظهر أن الأخطاء التباسات معقولة بين فئات متقاربة بصرياً (الليمون مع المانجو، وdiet مع classic)، لا تشتّتاً عشوائياً — وهو ما يميّز نقص البيانات عن قصور النمذجة تمييزاً قابلاً للفحص.</w:t>
      </w:r>
    </w:p>
    <w:p>
      <w:pPr>
        <w:keepNext w:val="0"/>
        <w:bidi/>
        <w:spacing w:after="160" w:before="0" w:line="348" w:lineRule="auto"/>
        <w:jc w:val="both"/>
      </w:pPr>
      <w:r>
        <w:rPr>
          <w:rFonts w:ascii="Times New Roman" w:hAnsi="Times New Roman" w:cs="Noto Naskh Arabic"/>
          <w:b w:val="0"/>
          <w:i w:val="0"/>
          <w:color w:val="111111"/>
          <w:sz w:val="23"/>
          <w:szCs w:val="23"/>
          <w:rtl/>
          <w:cs/>
        </w:rPr>
        <w:t>والاستنتاج أن أي نقطة ضعف مُقاسة في المنظومة لا تُعزى إلى المعمارية أو إلى اختيار النموذج، بل ترتد كلها إلى ندرة بيانات محدّدة قابلة للقياس. وهذا تمييز عملي حاسم: ندرة البيانات تُعالَج بجمع موجَّه معلوم الكلفة، أما قصور المعمارية فيستوجب إعادة تصميم.</w:t>
      </w:r>
    </w:p>
    <w:p>
      <w:pPr>
        <w:keepNext/>
        <w:bidi/>
        <w:spacing w:before="240" w:after="140"/>
        <w:jc w:val="right"/>
      </w:pPr>
      <w:r>
        <w:rPr>
          <w:rFonts w:ascii="Times New Roman" w:hAnsi="Times New Roman" w:cs="Noto Naskh Arabic"/>
          <w:b/>
          <w:bCs w:val="1"/>
          <w:i w:val="0"/>
          <w:color w:val="1A3A5C"/>
          <w:sz w:val="24"/>
          <w:szCs w:val="24"/>
          <w:rtl/>
          <w:cs/>
        </w:rPr>
        <w:t>٥٫٤ التعقيد الحسابي</w:t>
      </w:r>
    </w:p>
    <w:p>
      <w:pPr>
        <w:keepNext w:val="0"/>
        <w:bidi/>
        <w:spacing w:after="160" w:before="0" w:line="348" w:lineRule="auto"/>
        <w:jc w:val="both"/>
      </w:pPr>
      <w:r>
        <w:rPr>
          <w:rFonts w:ascii="Times New Roman" w:hAnsi="Times New Roman" w:cs="Noto Naskh Arabic"/>
          <w:b w:val="0"/>
          <w:i w:val="0"/>
          <w:color w:val="111111"/>
          <w:sz w:val="23"/>
          <w:szCs w:val="23"/>
          <w:rtl/>
          <w:cs/>
        </w:rPr>
        <w:t>في التصميم غير الموجَّه يعمل كل مُصنِّف متغيّرات على كل منطقة، فيكون عدد الاستدعاءات ‎O(N×K)‎. وعلى صورة اختبارية تضم ٦٠ منتجاً، عمل مُصنِّف إحدى العلامات على المناطق الستين رغم أن ١٢ منها فقط تخصّها — أي ٤٨ استدعاءً مهدوراً من كل ٦٠. وبالتوجيه الشرطي تمرّ كل منطقة بمُصنِّف واحد على الأكثر، فيصبح النمو ‎O(N)‎ مستقلاً عن K.</w:t>
      </w:r>
    </w:p>
    <w:p>
      <w:pPr>
        <w:keepNext/>
        <w:bidi/>
        <w:spacing w:before="240" w:after="100"/>
        <w:jc w:val="center"/>
      </w:pPr>
      <w:r>
        <w:rPr>
          <w:rFonts w:ascii="Times New Roman" w:hAnsi="Times New Roman" w:cs="Noto Naskh Arabic"/>
          <w:b/>
          <w:bCs w:val="1"/>
          <w:i w:val="0"/>
          <w:color w:val="555555"/>
          <w:sz w:val="19"/>
          <w:szCs w:val="19"/>
          <w:rtl/>
          <w:cs/>
        </w:rPr>
        <w:t xml:space="preserve">الجدول ٦. </w:t>
      </w:r>
      <w:r>
        <w:rPr>
          <w:rFonts w:ascii="Times New Roman" w:hAnsi="Times New Roman" w:cs="Noto Naskh Arabic"/>
          <w:b w:val="0"/>
          <w:i w:val="0"/>
          <w:color w:val="555555"/>
          <w:sz w:val="19"/>
          <w:szCs w:val="19"/>
          <w:rtl/>
          <w:cs/>
        </w:rPr>
        <w:t>قياس مباشر، بتشغيل النسختين تباعاً على الصورة ذاتها وعبر مسار الاستدعاء نفسه.</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البند</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غير موجَّه</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موجَّه</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زمن المعالجة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٤٠٫٣٢ ث</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١٤٫٢٠ ث</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التخفيض</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٦٥٪ (‏٢٦٫١ ث)</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تطابق المُخرَجات</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تام</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وتطابق المُخرَجات شرط جوهري لا تفصيلاً: التسريع الذي يغيّر النتيجة عطلٌ لا تحسين.</w:t>
      </w:r>
    </w:p>
    <w:p>
      <w:pPr>
        <w:keepNext w:val="0"/>
        <w:bidi/>
        <w:spacing w:after="160" w:before="0" w:line="348" w:lineRule="auto"/>
        <w:jc w:val="both"/>
      </w:pPr>
      <w:r>
        <w:rPr>
          <w:rFonts w:ascii="Times New Roman" w:hAnsi="Times New Roman" w:cs="Noto Naskh Arabic"/>
          <w:b w:val="0"/>
          <w:i w:val="0"/>
          <w:color w:val="111111"/>
          <w:sz w:val="23"/>
          <w:szCs w:val="23"/>
          <w:rtl/>
          <w:cs/>
        </w:rPr>
        <w:t>ويتضاعف الأثر مع اتساع الكتالوج. فقد نما K من واحد إلى أربعة خلال فترة البحث. وباستخدام التوزيع المقيس لمناطق الصورة ذاتها (‏٢٠ + ١٢ + ٨ لعلامات لها مُصنِّفات، و١٢ لعلامة بلا مُصنِّف، و٨ غير مصنَّفة)، يكون العدد تحت التصميم غير الموجَّه عند K = ٤ هو ٦٠ × ٤ = ٢٤٠ استدعاءً، بينما هو تحت التوجيه ٢٠ + ١٢ + ٨ = ٤٠ استدعاءً — أي انخفاض ٨٣٪. وهذا الرقم مشتق حسابياً من توزيع مقيس، لا مقيس بساعة توقيت كالرقمين السابقين.</w:t>
      </w:r>
    </w:p>
    <w:p>
      <w:pPr>
        <w:keepNext w:val="0"/>
        <w:bidi/>
        <w:spacing w:after="160" w:before="0" w:line="348" w:lineRule="auto"/>
        <w:jc w:val="both"/>
      </w:pPr>
      <w:r>
        <w:rPr>
          <w:rFonts w:ascii="Times New Roman" w:hAnsi="Times New Roman" w:cs="Noto Naskh Arabic"/>
          <w:b w:val="0"/>
          <w:i w:val="0"/>
          <w:color w:val="111111"/>
          <w:sz w:val="23"/>
          <w:szCs w:val="23"/>
          <w:rtl/>
          <w:cs/>
        </w:rPr>
        <w:t>والدلالة أن شكل النمو نفسه تغيّر: فكل علامة تُضاف مستقبلاً كانت ستفرض عبئاً على كل منطقة في كل صورة تحت التصميم غير الموجَّه، بينما تُضيف اليوم عبئاً لا يتراكم. وقياس ذلك حين كان K يساوي واحداً كان أرخص بكثير من اكتشافه بعد أن صار أربعة.</w:t>
      </w:r>
    </w:p>
    <w:p>
      <w:pPr>
        <w:keepNext/>
        <w:spacing w:before="240" w:after="80"/>
        <w:jc w:val="center"/>
      </w:pPr>
      <w:r>
        <w:drawing>
          <wp:inline xmlns:a="http://schemas.openxmlformats.org/drawingml/2006/main" xmlns:pic="http://schemas.openxmlformats.org/drawingml/2006/picture">
            <wp:extent cx="5544000" cy="2121138"/>
            <wp:docPr id="3" name="Picture 3"/>
            <wp:cNvGraphicFramePr>
              <a:graphicFrameLocks noChangeAspect="1"/>
            </wp:cNvGraphicFramePr>
            <a:graphic>
              <a:graphicData uri="http://schemas.openxmlformats.org/drawingml/2006/picture">
                <pic:pic>
                  <pic:nvPicPr>
                    <pic:cNvPr id="0" name="fig_complexity.png"/>
                    <pic:cNvPicPr/>
                  </pic:nvPicPr>
                  <pic:blipFill>
                    <a:blip r:embed="rId11"/>
                    <a:stretch>
                      <a:fillRect/>
                    </a:stretch>
                  </pic:blipFill>
                  <pic:spPr>
                    <a:xfrm>
                      <a:off x="0" y="0"/>
                      <a:ext cx="5544000" cy="2121138"/>
                    </a:xfrm>
                    <a:prstGeom prst="rect"/>
                  </pic:spPr>
                </pic:pic>
              </a:graphicData>
            </a:graphic>
          </wp:inline>
        </w:drawing>
      </w:r>
    </w:p>
    <w:p>
      <w:pPr>
        <w:bidi/>
        <w:spacing w:after="280"/>
        <w:jc w:val="center"/>
      </w:pPr>
      <w:r>
        <w:rPr>
          <w:rFonts w:ascii="Times New Roman" w:hAnsi="Times New Roman" w:cs="Noto Naskh Arabic"/>
          <w:b/>
          <w:bCs w:val="1"/>
          <w:i w:val="0"/>
          <w:color w:val="555555"/>
          <w:sz w:val="19"/>
          <w:szCs w:val="19"/>
          <w:rtl/>
          <w:cs/>
        </w:rPr>
        <w:t xml:space="preserve">الشكل ٣. </w:t>
      </w:r>
      <w:r>
        <w:rPr>
          <w:rFonts w:ascii="Times New Roman" w:hAnsi="Times New Roman" w:cs="Noto Naskh Arabic"/>
          <w:b w:val="0"/>
          <w:i w:val="0"/>
          <w:color w:val="555555"/>
          <w:sz w:val="19"/>
          <w:szCs w:val="19"/>
          <w:rtl/>
          <w:cs/>
        </w:rPr>
        <w:t>يساراً: عدد استدعاءات مُصنِّفات المتغيّرات لكل صورة بدلالة عدد العلامات التي لها مُصنِّف خاص، والنجمتان هما القياسان الفعليان. يميناً: الزمن المقيس على الصورة ذاتها قبل التوجيه وبعده.</w:t>
      </w:r>
    </w:p>
    <w:p>
      <w:pPr>
        <w:keepNext/>
        <w:bidi/>
        <w:spacing w:before="240" w:after="140"/>
        <w:jc w:val="right"/>
      </w:pPr>
      <w:r>
        <w:rPr>
          <w:rFonts w:ascii="Times New Roman" w:hAnsi="Times New Roman" w:cs="Noto Naskh Arabic"/>
          <w:b/>
          <w:bCs w:val="1"/>
          <w:i w:val="0"/>
          <w:color w:val="1A3A5C"/>
          <w:sz w:val="24"/>
          <w:szCs w:val="24"/>
          <w:rtl/>
          <w:cs/>
        </w:rPr>
        <w:t>٥٫٥ كلفة التدريب والكلفة الحدّية للتوسّع</w:t>
      </w:r>
    </w:p>
    <w:p>
      <w:pPr>
        <w:keepNext/>
        <w:bidi/>
        <w:spacing w:before="240" w:after="100"/>
        <w:jc w:val="center"/>
      </w:pPr>
      <w:r>
        <w:rPr>
          <w:rFonts w:ascii="Times New Roman" w:hAnsi="Times New Roman" w:cs="Noto Naskh Arabic"/>
          <w:b/>
          <w:bCs w:val="1"/>
          <w:i w:val="0"/>
          <w:color w:val="555555"/>
          <w:sz w:val="19"/>
          <w:szCs w:val="19"/>
          <w:rtl/>
          <w:cs/>
        </w:rPr>
        <w:t xml:space="preserve">الجدول ٧. </w:t>
      </w:r>
      <w:r>
        <w:rPr>
          <w:rFonts w:ascii="Times New Roman" w:hAnsi="Times New Roman" w:cs="Noto Naskh Arabic"/>
          <w:b w:val="0"/>
          <w:i w:val="0"/>
          <w:color w:val="555555"/>
          <w:sz w:val="19"/>
          <w:szCs w:val="19"/>
          <w:rtl/>
          <w:cs/>
        </w:rPr>
        <w:t>كلفة تدريب النماذج السبعة العاملة، محسوبة من أزمنة التدريب المسجَّلة وفق المعدل المُعلَن.</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النموذج</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زمن التدريب</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الأرصدة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الكاشف المحايد صنفياً</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٤٤٫٢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١٫٤٧</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مُصنِّف مادة التعبئة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٨٫٢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٠٫٢٧</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مُصنِّف متغيّرات Coca-Cola</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٥٫١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٠٫١٧</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مُصنِّف العلامة التجارية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٤٫٣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٠٫١٥</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مُصنِّف متغيّرات XL Energy</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٤٫٠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٠٫١٣</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مُصنِّف نكهات Cappy</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٣٫٦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٠٫١٢</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مُصنِّف نكهات Fanta</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٣٫٣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٠٫١١</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المجموع</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٧٢٫٧ دقيقة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٢٫٤٢</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سبعة نماذج بكلفة تدريب إجمالية تقلّ عن ساعة وربع من زمن معالج الرسوميات. ويستهلك الكاشف وحده ٦١٪ منها، بينما تبلغ الكلفة الحدّية لإضافة مُصنِّف متغيّرات نحو أربع دقائق.</w:t>
      </w:r>
    </w:p>
    <w:p>
      <w:pPr>
        <w:keepNext w:val="0"/>
        <w:bidi/>
        <w:spacing w:after="160" w:before="0" w:line="348" w:lineRule="auto"/>
        <w:jc w:val="both"/>
      </w:pPr>
      <w:r>
        <w:rPr>
          <w:rFonts w:ascii="Times New Roman" w:hAnsi="Times New Roman" w:cs="Noto Naskh Arabic"/>
          <w:b w:val="0"/>
          <w:i w:val="0"/>
          <w:color w:val="111111"/>
          <w:sz w:val="23"/>
          <w:szCs w:val="23"/>
          <w:rtl/>
          <w:cs/>
        </w:rPr>
        <w:t>وهذا هو الادّعاء المركزي للمعمارية، وقد قيس أربع مرات لا مرة واحدة. وفي كل مرة كان العمل هو نفسه: تعليم بضع مئات من المناطق المتاحة أصلاً، وتدريب مُصنِّف واحد، ووصله بخطوة توجيه — دون أي مساس بالكاشف أو بطبقة العلامة. وتكرار النمط أربع مرات هو ما يحوّل «الكلفة الحدّية منخفضة» من استنتاج مبنيّ على حالة واحدة إلى ملاحظة مُثبَتة.</w:t>
      </w:r>
    </w:p>
    <w:p>
      <w:pPr>
        <w:keepNext w:val="0"/>
        <w:bidi/>
        <w:spacing w:after="160" w:before="0" w:line="348" w:lineRule="auto"/>
        <w:jc w:val="both"/>
      </w:pPr>
      <w:r>
        <w:rPr>
          <w:rFonts w:ascii="Times New Roman" w:hAnsi="Times New Roman" w:cs="Noto Naskh Arabic"/>
          <w:b w:val="0"/>
          <w:i w:val="0"/>
          <w:color w:val="111111"/>
          <w:sz w:val="23"/>
          <w:szCs w:val="23"/>
          <w:rtl/>
          <w:cs/>
        </w:rPr>
        <w:t>وللمقارنة، فإن الكلفة المكافئة تحت النهج الأحادي هي إعادة تدريب الكاشف كله (‏٤٤٫٢ دقيقة)، مع ما يصحبها من مخاطرة تدهور غير مقصود في أصناف كانت تعمل بصورة صحيحة. ولا يُذكر هنا رقم بالدولار عمداً، لأن الأسعار تتغيّر بمعزل عن هذا التقرير وينبغي التحقق منها من مصدرها عند الحاجة.</w:t>
      </w:r>
    </w:p>
    <w:p>
      <w:pPr>
        <w:keepNext w:val="0"/>
        <w:bidi/>
        <w:spacing w:after="160" w:before="0" w:line="348" w:lineRule="auto"/>
        <w:jc w:val="both"/>
      </w:pPr>
      <w:r>
        <w:rPr>
          <w:rFonts w:ascii="Times New Roman" w:hAnsi="Times New Roman" w:cs="Noto Naskh Arabic"/>
          <w:b w:val="0"/>
          <w:i w:val="0"/>
          <w:color w:val="111111"/>
          <w:sz w:val="23"/>
          <w:szCs w:val="23"/>
          <w:rtl/>
          <w:cs/>
        </w:rPr>
        <w:t>كما تبيّن أن الاستدلال يُحاسَب لكل صورة تُرسَل إلى خط المعالجة لا لكل نموذج داخلي يُستدعى — أي أن كثافة الرف تكلّف زمناً لا مالاً، وهو ما قِيس في القسم ٥٫٤.</w:t>
      </w:r>
    </w:p>
    <w:p>
      <w:pPr>
        <w:keepNext/>
        <w:bidi/>
        <w:spacing w:before="360" w:after="140"/>
        <w:jc w:val="right"/>
      </w:pPr>
      <w:r>
        <w:rPr>
          <w:rFonts w:ascii="Times New Roman" w:hAnsi="Times New Roman" w:cs="Noto Naskh Arabic"/>
          <w:b/>
          <w:bCs w:val="1"/>
          <w:i w:val="0"/>
          <w:color w:val="1A3A5C"/>
          <w:sz w:val="28"/>
          <w:szCs w:val="28"/>
          <w:rtl/>
          <w:cs/>
        </w:rPr>
        <w:t>٦. التعلّم النشط: نتيجة تصميمية</w:t>
      </w:r>
    </w:p>
    <w:p>
      <w:pPr>
        <w:keepNext w:val="0"/>
        <w:bidi/>
        <w:spacing w:after="160" w:before="0" w:line="348" w:lineRule="auto"/>
        <w:jc w:val="both"/>
      </w:pPr>
      <w:r>
        <w:rPr>
          <w:rFonts w:ascii="Times New Roman" w:hAnsi="Times New Roman" w:cs="Noto Naskh Arabic"/>
          <w:b w:val="0"/>
          <w:i w:val="0"/>
          <w:color w:val="111111"/>
          <w:sz w:val="23"/>
          <w:szCs w:val="23"/>
          <w:rtl/>
          <w:cs/>
        </w:rPr>
        <w:t>بُنيت آلية تُحوّل الاستخدام الميداني إلى بيانات تدريب، معالجةً للقيد الذي أثبته القسم ٥٫٣: أن سقف المنظومة تحدّه ندرة البيانات لا قدرة النماذج.</w:t>
      </w:r>
    </w:p>
    <w:p>
      <w:pPr>
        <w:keepNext w:val="0"/>
        <w:bidi/>
        <w:spacing w:after="160" w:before="0" w:line="348" w:lineRule="auto"/>
        <w:jc w:val="both"/>
      </w:pPr>
      <w:r>
        <w:rPr>
          <w:rFonts w:ascii="Times New Roman" w:hAnsi="Times New Roman" w:cs="Noto Naskh Arabic"/>
          <w:b w:val="0"/>
          <w:i w:val="0"/>
          <w:color w:val="111111"/>
          <w:sz w:val="23"/>
          <w:szCs w:val="23"/>
          <w:rtl/>
          <w:cs/>
        </w:rPr>
        <w:t>والتصميم الأول اتّبع الممارسة الشائعة: رفع المناطق التي تكون ثقة المُصنِّف فيها دون عتبة معيّنة، بافتراض أنها الأرجح خطأً. والملاحظة التجريبية نقضت هذا: فبعد تحسّن مُصنِّفَين ارتفعت ثقتهما فوق ٩٨٪، فتوقّفا عملياً عن إرسال أي عيّنة للمراجعة، بينما ظلّت أخطاء حقيقية تظهر في الاستخدام.</w:t>
      </w:r>
    </w:p>
    <w:p>
      <w:pPr>
        <w:keepNext w:val="0"/>
        <w:bidi/>
        <w:spacing w:after="160" w:before="0" w:line="348" w:lineRule="auto"/>
        <w:jc w:val="both"/>
      </w:pPr>
      <w:r>
        <w:rPr>
          <w:rFonts w:ascii="Times New Roman" w:hAnsi="Times New Roman" w:cs="Noto Naskh Arabic"/>
          <w:b w:val="0"/>
          <w:i w:val="0"/>
          <w:color w:val="111111"/>
          <w:sz w:val="23"/>
          <w:szCs w:val="23"/>
          <w:rtl/>
          <w:cs/>
        </w:rPr>
        <w:t>والتحليل يكشف قصوراً بنيوياً لا مسألة معايرة. فبوابة الثقة، بحكم تعريفها، تلتقط عدم اليقين لا الخطأ؛ وهما ليسا الشيء نفسه. والنموذج الذي يخطئ بثقة عالية — وهي الحالة الأخطر عملياً، لأنها تمرّ إلى التقارير دون أن تثير شكاً — يقع خارج ما تستطيع هذه البوابة رؤيته مهما ضُبطت عتبتها. فالخلل في المعيار نفسه لا في قيمته.</w:t>
      </w:r>
    </w:p>
    <w:p>
      <w:pPr>
        <w:keepNext w:val="0"/>
        <w:bidi/>
        <w:spacing w:after="160" w:before="0" w:line="348" w:lineRule="auto"/>
        <w:jc w:val="both"/>
      </w:pPr>
      <w:r>
        <w:rPr>
          <w:rFonts w:ascii="Times New Roman" w:hAnsi="Times New Roman" w:cs="Noto Naskh Arabic"/>
          <w:b w:val="0"/>
          <w:i w:val="0"/>
          <w:color w:val="111111"/>
          <w:sz w:val="23"/>
          <w:szCs w:val="23"/>
          <w:rtl/>
          <w:cs/>
        </w:rPr>
        <w:t>والبديل المعتمد: استُبدل بشرط الثقة شرط الانتماء إلى المسار — تُرفَع كل منطقة وجّهها النظام فعلياً إلى فرع تصنيف بعينه، بصرف النظر عن الثقة. ويرفع هذا حجم البيانات المجموعة، وهو ثمن مقصود في مرحلة تصحيح نشط، لكنه يجعل الخطأ الواثق مرئياً للمراجعة البشرية بدل أن يمرّ صامتاً.</w:t>
      </w:r>
    </w:p>
    <w:p>
      <w:pPr>
        <w:keepNext w:val="0"/>
        <w:bidi/>
        <w:spacing w:after="160" w:before="0" w:line="348" w:lineRule="auto"/>
        <w:jc w:val="both"/>
      </w:pPr>
      <w:r>
        <w:rPr>
          <w:rFonts w:ascii="Times New Roman" w:hAnsi="Times New Roman" w:cs="Noto Naskh Arabic"/>
          <w:b w:val="0"/>
          <w:i w:val="0"/>
          <w:color w:val="111111"/>
          <w:sz w:val="23"/>
          <w:szCs w:val="23"/>
          <w:rtl/>
          <w:cs/>
        </w:rPr>
        <w:t>وقاعدة حُفِظت في كل الحالات: تُرفَع المنطقة غير مُعلَّمة، ولا يُدرَّب النظام على تخمينه الخاص دون مراجعة بشرية — وهو ما يمنع الانحدار الذاتي الذي يصيب أنظمة التعلّم النشط حين تُغذَّى بمخرجاتها فتُرسِّخ أخطاءها بدل تصحيحها.</w:t>
      </w:r>
    </w:p>
    <w:p>
      <w:pPr>
        <w:keepNext/>
        <w:bidi/>
        <w:spacing w:before="360" w:after="140"/>
        <w:jc w:val="right"/>
      </w:pPr>
      <w:r>
        <w:rPr>
          <w:rFonts w:ascii="Times New Roman" w:hAnsi="Times New Roman" w:cs="Noto Naskh Arabic"/>
          <w:b/>
          <w:bCs w:val="1"/>
          <w:i w:val="0"/>
          <w:color w:val="1A3A5C"/>
          <w:sz w:val="28"/>
          <w:szCs w:val="28"/>
          <w:rtl/>
          <w:cs/>
        </w:rPr>
        <w:t>٧. التطبيق الميداني</w:t>
      </w:r>
    </w:p>
    <w:p>
      <w:pPr>
        <w:keepNext w:val="0"/>
        <w:bidi/>
        <w:spacing w:after="160" w:before="0" w:line="348" w:lineRule="auto"/>
        <w:jc w:val="both"/>
      </w:pPr>
      <w:r>
        <w:rPr>
          <w:rFonts w:ascii="Times New Roman" w:hAnsi="Times New Roman" w:cs="Noto Naskh Arabic"/>
          <w:b w:val="0"/>
          <w:i w:val="0"/>
          <w:color w:val="111111"/>
          <w:sz w:val="23"/>
          <w:szCs w:val="23"/>
          <w:rtl/>
          <w:cs/>
        </w:rPr>
        <w:t>النماذج وحدها لا تُشكّل نظاماً صالحاً للتشغيل. فمخرج آلي على صور غير مضبوطة لا يُعتدّ به نهائياً — الالتباس فيها بنيوي لا استثنائي — ولذلك طُوِّر تطبيق متعدد المنصّات يؤدي ثلاث وظائف بحثية.</w:t>
      </w:r>
    </w:p>
    <w:p>
      <w:pPr>
        <w:keepNext w:val="0"/>
        <w:bidi/>
        <w:spacing w:after="120" w:before="0" w:line="348" w:lineRule="auto"/>
        <w:jc w:val="both"/>
      </w:pPr>
      <w:r>
        <w:rPr>
          <w:rFonts w:ascii="Times New Roman" w:hAnsi="Times New Roman" w:cs="Noto Naskh Arabic"/>
          <w:b w:val="0"/>
          <w:i w:val="0"/>
          <w:color w:val="111111"/>
          <w:sz w:val="23"/>
          <w:szCs w:val="23"/>
          <w:rtl/>
          <w:cs/>
        </w:rPr>
        <w:t>أولاً، توحيد ظروف الالتقاط عند نقطة الجمع، فتقلّ التباينات التي لا يتعلّمها النموذج (المسافة، والزاوية، والإطار).</w:t>
      </w:r>
    </w:p>
    <w:p>
      <w:pPr>
        <w:keepNext w:val="0"/>
        <w:bidi/>
        <w:spacing w:after="120" w:before="0" w:line="348" w:lineRule="auto"/>
        <w:jc w:val="both"/>
      </w:pPr>
      <w:r>
        <w:rPr>
          <w:rFonts w:ascii="Times New Roman" w:hAnsi="Times New Roman" w:cs="Noto Naskh Arabic"/>
          <w:b w:val="0"/>
          <w:i w:val="0"/>
          <w:color w:val="111111"/>
          <w:sz w:val="23"/>
          <w:szCs w:val="23"/>
          <w:rtl/>
          <w:cs/>
        </w:rPr>
        <w:t>ثانياً، إقحام مراجع بشري بين مخرج النموذج وأي رقم يُبلَّغ عنه بوصفه حقيقة. والمراجعة هنا جزء من التصميم لا حلٌّ احتياطي: فحيثما يجعل الحجب أو زاوية التصوير التصنيفَ غير موثوق، يحسمه إنسان.</w:t>
      </w:r>
    </w:p>
    <w:p>
      <w:pPr>
        <w:keepNext w:val="0"/>
        <w:bidi/>
        <w:spacing w:after="120" w:before="0" w:line="348" w:lineRule="auto"/>
        <w:jc w:val="both"/>
      </w:pPr>
      <w:r>
        <w:rPr>
          <w:rFonts w:ascii="Times New Roman" w:hAnsi="Times New Roman" w:cs="Noto Naskh Arabic"/>
          <w:b w:val="0"/>
          <w:i w:val="0"/>
          <w:color w:val="111111"/>
          <w:sz w:val="23"/>
          <w:szCs w:val="23"/>
          <w:rtl/>
          <w:cs/>
        </w:rPr>
        <w:t>ثالثاً، إغلاق حلقة البيانات: كل تصحيح بشري إشارة خاضعة للإشراف صالحة لإعادة التدريب، فيُنتج الاستخدام الميداني الاعتيادي بيانات تدريب كناتج عرَضي — وهو ما يجعل القسم ٦ ممكناً عملياً.</w:t>
      </w:r>
    </w:p>
    <w:p>
      <w:pPr>
        <w:keepNext w:val="0"/>
        <w:bidi/>
        <w:spacing w:after="160" w:before="0" w:line="348" w:lineRule="auto"/>
        <w:jc w:val="both"/>
      </w:pPr>
      <w:r>
        <w:rPr>
          <w:rFonts w:ascii="Times New Roman" w:hAnsi="Times New Roman" w:cs="Noto Naskh Arabic"/>
          <w:b w:val="0"/>
          <w:i w:val="0"/>
          <w:color w:val="111111"/>
          <w:sz w:val="23"/>
          <w:szCs w:val="23"/>
          <w:rtl/>
          <w:cs/>
        </w:rPr>
        <w:t>وقد خُفِّضت عتبة العرض الافتراضية من ٠٫٧ إلى ٠٫٤ بقرار مبني على هذه الوظيفة الثالثة: فالعتبة المرتفعة كانت تُخفي عن المراجع اكتشافات صحيحة أقل ثقة، وهو ما لا يستقيم في مرحلة يُطلب فيها منه أن يصحّح — إذ لا يمكن تصحيح ما لا يُرى.</w:t>
      </w:r>
    </w:p>
    <w:p>
      <w:pPr>
        <w:keepNext/>
        <w:bidi/>
        <w:spacing w:before="360" w:after="140"/>
        <w:jc w:val="right"/>
      </w:pPr>
      <w:r>
        <w:rPr>
          <w:rFonts w:ascii="Times New Roman" w:hAnsi="Times New Roman" w:cs="Noto Naskh Arabic"/>
          <w:b/>
          <w:bCs w:val="1"/>
          <w:i w:val="0"/>
          <w:color w:val="1A3A5C"/>
          <w:sz w:val="28"/>
          <w:szCs w:val="28"/>
          <w:rtl/>
          <w:cs/>
        </w:rPr>
        <w:t>٨. التحديات المُواجَهة</w:t>
      </w:r>
    </w:p>
    <w:p>
      <w:pPr>
        <w:keepNext w:val="0"/>
        <w:bidi/>
        <w:spacing w:after="120" w:before="0" w:line="348" w:lineRule="auto"/>
        <w:jc w:val="both"/>
      </w:pPr>
      <w:r>
        <w:rPr>
          <w:rFonts w:ascii="Times New Roman" w:hAnsi="Times New Roman" w:cs="Noto Naskh Arabic"/>
          <w:b w:val="0"/>
          <w:i w:val="0"/>
          <w:color w:val="111111"/>
          <w:sz w:val="23"/>
          <w:szCs w:val="23"/>
          <w:rtl/>
          <w:cs/>
        </w:rPr>
        <w:t>أولاً: ندرة البيانات هي القيد الملزِم، لا قدرة النماذج. هذا أوضح ما أظهرته الدراسة كمّياً. فعند ضعف الأداء على صنف بعينه، القراءة البديهية دائماً «النموذج يحتاج تدريباً أكثر» — وقد تبيّن مراراً أنها خاطئة. تدقيق بصري لجميع مناطق إحدى العلامات البالغة ٣٠١ أظهر أن ٩٥٪ منها لمتغيّر واحد دون أي مثال مؤكد للمتغيّرات الأخرى. وتدقيق مماثل أظهر أن ٩٠٪ من أمثلة علامة أخرى زجاجات لا علب، أي أن النموذج كان قد تعلّم العلامة بوصفها زجاجة. ولا يُنتج أي قدر من التدريب تمييزاً بين فئات لا توجد صورها.</w:t>
      </w:r>
    </w:p>
    <w:p>
      <w:pPr>
        <w:keepNext w:val="0"/>
        <w:bidi/>
        <w:spacing w:after="120" w:before="0" w:line="348" w:lineRule="auto"/>
        <w:jc w:val="both"/>
      </w:pPr>
      <w:r>
        <w:rPr>
          <w:rFonts w:ascii="Times New Roman" w:hAnsi="Times New Roman" w:cs="Noto Naskh Arabic"/>
          <w:b w:val="0"/>
          <w:i w:val="0"/>
          <w:color w:val="111111"/>
          <w:sz w:val="23"/>
          <w:szCs w:val="23"/>
          <w:rtl/>
          <w:cs/>
        </w:rPr>
        <w:t>ثانياً: مشكلة القياس نفسها. أصعب ما في هذه الفترة لم يكن بناء النماذج بل معرفة ما يفعله النظام فعلياً في مقابل ما يبدو أنه يفعله. فالمقاييس المرتفعة تُثبت أن النموذج تعلّم ما دُرِّب عليه، لا أن ما دُرِّب عليه صحيح؛ وهما سؤالان مختلفان. وقد فرض هذا مبدأ القسم ٣٫٢ بوصفه شرطاً لازماً لكل استنتاج في هذه الدراسة، لا احتياطاً زائداً.</w:t>
      </w:r>
    </w:p>
    <w:p>
      <w:pPr>
        <w:keepNext w:val="0"/>
        <w:bidi/>
        <w:spacing w:after="120" w:before="0" w:line="348" w:lineRule="auto"/>
        <w:jc w:val="both"/>
      </w:pPr>
      <w:r>
        <w:rPr>
          <w:rFonts w:ascii="Times New Roman" w:hAnsi="Times New Roman" w:cs="Noto Naskh Arabic"/>
          <w:b w:val="0"/>
          <w:i w:val="0"/>
          <w:color w:val="111111"/>
          <w:sz w:val="23"/>
          <w:szCs w:val="23"/>
          <w:rtl/>
          <w:cs/>
        </w:rPr>
        <w:t>ثالثاً: توفّر أدوات القياس بوصفه قيداً بحثياً. ظلّ التقييم الآلي للمُصنِّفات غير متاح خلال جزء من فترة الدراسة، فتعذّر خلاله الإبلاغ عن أرقام دقة لطبقات التصنيف. والتزمت الدراسة بعدم استبدال أرقام تقديرية بها. ويُسجَّل هذا لأنه يوضح أن بعض القيود البحثية ليست تقنية بل تتعلق بالوصول إلى الأدوات.</w:t>
      </w:r>
    </w:p>
    <w:p>
      <w:pPr>
        <w:keepNext w:val="0"/>
        <w:bidi/>
        <w:spacing w:after="120" w:before="0" w:line="348" w:lineRule="auto"/>
        <w:jc w:val="both"/>
      </w:pPr>
      <w:r>
        <w:rPr>
          <w:rFonts w:ascii="Times New Roman" w:hAnsi="Times New Roman" w:cs="Noto Naskh Arabic"/>
          <w:b w:val="0"/>
          <w:i w:val="0"/>
          <w:color w:val="111111"/>
          <w:sz w:val="23"/>
          <w:szCs w:val="23"/>
          <w:rtl/>
          <w:cs/>
        </w:rPr>
        <w:t>رابعاً: التحقق من العمل الآلي على البيانات الواسعة. تطلّب تعليم أكثر من ١٬٤٠٠ صورة توزيع العمل على عمليات متوازية، وأثبتت الدراسة أن التقرير الذاتي لأي عملية آلية ليس بديلاً عن فحص البيانات الناتجة مباشرةً؛ فاعتُمد هذا الفحص المباشر قاعدةً في كل عملية تعليم واسعة.</w:t>
      </w:r>
    </w:p>
    <w:p>
      <w:pPr>
        <w:keepNext/>
        <w:bidi/>
        <w:spacing w:before="360" w:after="140"/>
        <w:jc w:val="right"/>
      </w:pPr>
      <w:r>
        <w:rPr>
          <w:rFonts w:ascii="Times New Roman" w:hAnsi="Times New Roman" w:cs="Noto Naskh Arabic"/>
          <w:b/>
          <w:bCs w:val="1"/>
          <w:i w:val="0"/>
          <w:color w:val="1A3A5C"/>
          <w:sz w:val="28"/>
          <w:szCs w:val="28"/>
          <w:rtl/>
          <w:cs/>
        </w:rPr>
        <w:t>٩. القيود</w:t>
      </w:r>
    </w:p>
    <w:p>
      <w:pPr>
        <w:keepNext w:val="0"/>
        <w:bidi/>
        <w:spacing w:after="120" w:before="0" w:line="348" w:lineRule="auto"/>
        <w:jc w:val="both"/>
      </w:pPr>
      <w:r>
        <w:rPr>
          <w:rFonts w:ascii="Times New Roman" w:hAnsi="Times New Roman" w:cs="Noto Naskh Arabic"/>
          <w:b w:val="0"/>
          <w:i w:val="0"/>
          <w:color w:val="111111"/>
          <w:sz w:val="23"/>
          <w:szCs w:val="23"/>
          <w:rtl/>
          <w:cs/>
        </w:rPr>
        <w:t>١. ندرة بيانات مُقاسة في فئات محدّدة. كل نقاط الضعف في القسم ٥٫٣ تُختصر في: coca-diet (‏٥ صور مصدرية، ٠/٠)، والزجاج (‏٣ عيّنات اختبار، استدعاء ٣٣٫٣٪)، وستّ نكهات Cappy، ومتغيّرَي XL الرقيقَين، وpepsi (بلا تمثيل في الكاشف والمُصنِّف معاً).</w:t>
      </w:r>
    </w:p>
    <w:p>
      <w:pPr>
        <w:keepNext w:val="0"/>
        <w:bidi/>
        <w:spacing w:after="120" w:before="0" w:line="348" w:lineRule="auto"/>
        <w:jc w:val="both"/>
      </w:pPr>
      <w:r>
        <w:rPr>
          <w:rFonts w:ascii="Times New Roman" w:hAnsi="Times New Roman" w:cs="Noto Naskh Arabic"/>
          <w:b w:val="0"/>
          <w:i w:val="0"/>
          <w:color w:val="111111"/>
          <w:sz w:val="23"/>
          <w:szCs w:val="23"/>
          <w:rtl/>
          <w:cs/>
        </w:rPr>
        <w:t>٢. اختلاف أنبوب المعالجة المسبقة بين النسختين المقارَنتين (القسم ٣٫١). وقد خُفِّف أثره بأمرين: أن الفارق يعمل في غير مصلحة الاستنتاج المُعلَن، وأن المقارنة المُفصَّلة بحسب الحجم أُسقِطت لعدم صحّتها. ويبقى أن توحيد الأنبوب في تقييم لاحق يُغلق هذه النقطة نهائياً.</w:t>
      </w:r>
    </w:p>
    <w:p>
      <w:pPr>
        <w:keepNext w:val="0"/>
        <w:bidi/>
        <w:spacing w:after="120" w:before="0" w:line="348" w:lineRule="auto"/>
        <w:jc w:val="both"/>
      </w:pPr>
      <w:r>
        <w:rPr>
          <w:rFonts w:ascii="Times New Roman" w:hAnsi="Times New Roman" w:cs="Noto Naskh Arabic"/>
          <w:b w:val="0"/>
          <w:i w:val="0"/>
          <w:color w:val="111111"/>
          <w:sz w:val="23"/>
          <w:szCs w:val="23"/>
          <w:rtl/>
          <w:cs/>
        </w:rPr>
        <w:t>٣. مجموعات اختبار صغيرة. مجموعة اختبار الكاشف ٣٤ صورة، ومجموعة أحد المُصنِّفات ٢٣ صورة موزّعة على ١٢ صنفاً — وكلاهما دون الحد الذي توصي به المنصّة. أي أن الأرقام المُبلَّغ عنها، وإن كانت مقيسة لا مقدَّرة، تحمل عدم يقين إحصائياً يتناسب عكسياً مع حجم العيّنة.</w:t>
      </w:r>
    </w:p>
    <w:p>
      <w:pPr>
        <w:keepNext w:val="0"/>
        <w:bidi/>
        <w:spacing w:after="120" w:before="0" w:line="348" w:lineRule="auto"/>
        <w:jc w:val="both"/>
      </w:pPr>
      <w:r>
        <w:rPr>
          <w:rFonts w:ascii="Times New Roman" w:hAnsi="Times New Roman" w:cs="Noto Naskh Arabic"/>
          <w:b w:val="0"/>
          <w:i w:val="0"/>
          <w:color w:val="111111"/>
          <w:sz w:val="23"/>
          <w:szCs w:val="23"/>
          <w:rtl/>
          <w:cs/>
        </w:rPr>
        <w:t>٤. تقسيمان مستقلّان. يولّد المشروعان تقسيماتهما منفصلَين وإن اشتركا في الصور المصدرية، وهو ما يُضعِف المقارنة نظرياً.</w:t>
      </w:r>
    </w:p>
    <w:p>
      <w:pPr>
        <w:keepNext w:val="0"/>
        <w:bidi/>
        <w:spacing w:after="120" w:before="0" w:line="348" w:lineRule="auto"/>
        <w:jc w:val="both"/>
      </w:pPr>
      <w:r>
        <w:rPr>
          <w:rFonts w:ascii="Times New Roman" w:hAnsi="Times New Roman" w:cs="Noto Naskh Arabic"/>
          <w:b w:val="0"/>
          <w:i w:val="0"/>
          <w:color w:val="111111"/>
          <w:sz w:val="23"/>
          <w:szCs w:val="23"/>
          <w:rtl/>
          <w:cs/>
        </w:rPr>
        <w:t>٥. لم يُقيَّم النظام من طرف إلى طرف. قُيِّست كل طبقة على حدة، ولم يُقَس تراكم الخطأ عبر السلسلة الكاملة على مجموعة اختبار موحّدة مُعلَّمة يدوياً. وهذا أهم قياس ناقص في الدراسة، إذ إن دقة السلسلة حاصلُ ضربٍ لا متوسط.</w:t>
      </w:r>
    </w:p>
    <w:p>
      <w:pPr>
        <w:keepNext/>
        <w:bidi/>
        <w:spacing w:before="360" w:after="140"/>
        <w:jc w:val="right"/>
      </w:pPr>
      <w:r>
        <w:rPr>
          <w:rFonts w:ascii="Times New Roman" w:hAnsi="Times New Roman" w:cs="Noto Naskh Arabic"/>
          <w:b/>
          <w:bCs w:val="1"/>
          <w:i w:val="0"/>
          <w:color w:val="1A3A5C"/>
          <w:sz w:val="28"/>
          <w:szCs w:val="28"/>
          <w:rtl/>
          <w:cs/>
        </w:rPr>
        <w:t>١٠. العمل المستقبلي وما نحتاجه</w:t>
      </w:r>
    </w:p>
    <w:p>
      <w:pPr>
        <w:keepNext/>
        <w:bidi/>
        <w:spacing w:before="240" w:after="140"/>
        <w:jc w:val="right"/>
      </w:pPr>
      <w:r>
        <w:rPr>
          <w:rFonts w:ascii="Times New Roman" w:hAnsi="Times New Roman" w:cs="Noto Naskh Arabic"/>
          <w:b/>
          <w:bCs w:val="1"/>
          <w:i w:val="0"/>
          <w:color w:val="1A3A5C"/>
          <w:sz w:val="24"/>
          <w:szCs w:val="24"/>
          <w:rtl/>
          <w:cs/>
        </w:rPr>
        <w:t>١٠٫١ ما لا يتطلب مُدخَلاً خارجياً</w:t>
      </w:r>
    </w:p>
    <w:p>
      <w:pPr>
        <w:keepNext w:val="0"/>
        <w:bidi/>
        <w:spacing w:after="160" w:before="0" w:line="348" w:lineRule="auto"/>
        <w:jc w:val="both"/>
      </w:pPr>
      <w:r>
        <w:rPr>
          <w:rFonts w:ascii="Times New Roman" w:hAnsi="Times New Roman" w:cs="Noto Naskh Arabic"/>
          <w:b w:val="0"/>
          <w:i w:val="0"/>
          <w:color w:val="111111"/>
          <w:sz w:val="23"/>
          <w:szCs w:val="23"/>
          <w:rtl/>
          <w:cs/>
        </w:rPr>
        <w:t>أولها تقييم من طرف إلى طرف على مجموعة اختبار مُعلَّمة يدوياً، لقياس تراكم الخطأ عبر السلسلة (القيد ٥) — وهو أعلى البنود أولويةً علمياً. ثم إعادة تقييم الكاشفين تحت أنبوب معالجة موحّد لإغلاق القيد ٢ نهائياً. ثم حصاد أول دفعة من التعلّم النشط ومراجعتها وإعادة التدريب عليها، وهو أول اختبار عملي لانغلاق الحلقة الموصوفة في القسم ٦. ثم توسيع مجموعات الاختبار لتقليل عدم اليقين الإحصائي.</w:t>
      </w:r>
    </w:p>
    <w:p>
      <w:pPr>
        <w:keepNext/>
        <w:bidi/>
        <w:spacing w:before="240" w:after="140"/>
        <w:jc w:val="right"/>
      </w:pPr>
      <w:r>
        <w:rPr>
          <w:rFonts w:ascii="Times New Roman" w:hAnsi="Times New Roman" w:cs="Noto Naskh Arabic"/>
          <w:b/>
          <w:bCs w:val="1"/>
          <w:i w:val="0"/>
          <w:color w:val="1A3A5C"/>
          <w:sz w:val="24"/>
          <w:szCs w:val="24"/>
          <w:rtl/>
          <w:cs/>
        </w:rPr>
        <w:t>١٠٫٢ المحور المفتوح: إضافة الحجم إلى التسمية المركّبة</w:t>
      </w:r>
    </w:p>
    <w:p>
      <w:pPr>
        <w:keepNext w:val="0"/>
        <w:bidi/>
        <w:spacing w:after="160" w:before="0" w:line="348" w:lineRule="auto"/>
        <w:jc w:val="both"/>
      </w:pPr>
      <w:r>
        <w:rPr>
          <w:rFonts w:ascii="Times New Roman" w:hAnsi="Times New Roman" w:cs="Noto Naskh Arabic"/>
          <w:b w:val="0"/>
          <w:i w:val="0"/>
          <w:color w:val="111111"/>
          <w:sz w:val="23"/>
          <w:szCs w:val="23"/>
          <w:rtl/>
          <w:cs/>
        </w:rPr>
        <w:t>المحور الرابع والأخير في التسمية المستهدفة (القسم ٢) هو حجم العبوة — أي التمييز بين عبوة نصف اللتر ونظيرتها لتراً ونصف. وهو أصعب المحاور تقنياً، لأن الحجم المطلق لا يُستدل عليه من الصورة وحدها دون مرجع للمقياس.</w:t>
      </w:r>
    </w:p>
    <w:p>
      <w:pPr>
        <w:keepNext w:val="0"/>
        <w:bidi/>
        <w:spacing w:after="160" w:before="0" w:line="348" w:lineRule="auto"/>
        <w:jc w:val="both"/>
      </w:pPr>
      <w:r>
        <w:rPr>
          <w:rFonts w:ascii="Times New Roman" w:hAnsi="Times New Roman" w:cs="Noto Naskh Arabic"/>
          <w:b w:val="0"/>
          <w:i w:val="0"/>
          <w:color w:val="111111"/>
          <w:sz w:val="23"/>
          <w:szCs w:val="23"/>
          <w:rtl/>
          <w:cs/>
        </w:rPr>
        <w:t>والخطوة الأولى فيه ليست تقنية بل استقصائية: التحقق مما إذا كان الحجم مُلتبِساً أصلاً في هذا السوق — إذ قد لا تُباع كثير من التركيبات (علامة + متغيّر + نوع عبوة) إلا بحجم واحد، فيُستخرج الحجم من جدول مرجعي بدلاً من استنتاجه بصرياً. وهذه خطوة رخيصة قد تُلغي معظم الحالات الصعبة قبل بناء أي شيء.</w:t>
      </w:r>
    </w:p>
    <w:p>
      <w:pPr>
        <w:keepNext w:val="0"/>
        <w:bidi/>
        <w:spacing w:after="160" w:before="0" w:line="348" w:lineRule="auto"/>
        <w:jc w:val="both"/>
      </w:pPr>
      <w:r>
        <w:rPr>
          <w:rFonts w:ascii="Times New Roman" w:hAnsi="Times New Roman" w:cs="Noto Naskh Arabic"/>
          <w:b w:val="0"/>
          <w:i w:val="0"/>
          <w:color w:val="111111"/>
          <w:sz w:val="23"/>
          <w:szCs w:val="23"/>
          <w:rtl/>
          <w:cs/>
        </w:rPr>
        <w:t>وللحالات الملتبسة الباقية، النهج المرشَّح هو المقارنة الهندسية بجسم مرجعي معلوم الحجم في الصورة ذاتها، مع اللجوء إلى مُصنِّف بصري للحجم إن ثبت قصور الأول. وكلاهما يتطلب مجموعة تحقق قبل الوثوق به.</w:t>
      </w:r>
    </w:p>
    <w:p>
      <w:pPr>
        <w:keepNext/>
        <w:bidi/>
        <w:spacing w:before="240" w:after="140"/>
        <w:jc w:val="right"/>
      </w:pPr>
      <w:r>
        <w:rPr>
          <w:rFonts w:ascii="Times New Roman" w:hAnsi="Times New Roman" w:cs="Noto Naskh Arabic"/>
          <w:b/>
          <w:bCs w:val="1"/>
          <w:i w:val="0"/>
          <w:color w:val="1A3A5C"/>
          <w:sz w:val="24"/>
          <w:szCs w:val="24"/>
          <w:rtl/>
          <w:cs/>
        </w:rPr>
        <w:t>١٠٫٣ ما نحتاجه من خارج الفريق</w:t>
      </w:r>
    </w:p>
    <w:p>
      <w:pPr>
        <w:keepNext w:val="0"/>
        <w:bidi/>
        <w:spacing w:after="160" w:before="0" w:line="348" w:lineRule="auto"/>
        <w:jc w:val="both"/>
      </w:pPr>
      <w:r>
        <w:rPr>
          <w:rFonts w:ascii="Times New Roman" w:hAnsi="Times New Roman" w:cs="Noto Naskh Arabic"/>
          <w:b w:val="0"/>
          <w:i w:val="0"/>
          <w:color w:val="111111"/>
          <w:sz w:val="23"/>
          <w:szCs w:val="23"/>
          <w:rtl/>
          <w:cs/>
        </w:rPr>
        <w:t>أولاً، جولة تصوير ميداني موجَّهة، وهي القيد الحقيقي على التقدّم. ليست بنداً هندسياً، وقد حوّلها التقييم من طلب عام إلى قائمة بأولويات مُقاسة.</w:t>
      </w:r>
    </w:p>
    <w:p>
      <w:pPr>
        <w:keepNext/>
        <w:bidi/>
        <w:spacing w:before="240" w:after="100"/>
        <w:jc w:val="center"/>
      </w:pPr>
      <w:r>
        <w:rPr>
          <w:rFonts w:ascii="Times New Roman" w:hAnsi="Times New Roman" w:cs="Noto Naskh Arabic"/>
          <w:b/>
          <w:bCs w:val="1"/>
          <w:i w:val="0"/>
          <w:color w:val="555555"/>
          <w:sz w:val="19"/>
          <w:szCs w:val="19"/>
          <w:rtl/>
          <w:cs/>
        </w:rPr>
        <w:t xml:space="preserve">الجدول ٨. </w:t>
      </w:r>
      <w:r>
        <w:rPr>
          <w:rFonts w:ascii="Times New Roman" w:hAnsi="Times New Roman" w:cs="Noto Naskh Arabic"/>
          <w:b w:val="0"/>
          <w:i w:val="0"/>
          <w:color w:val="555555"/>
          <w:sz w:val="19"/>
          <w:szCs w:val="19"/>
          <w:rtl/>
          <w:cs/>
        </w:rPr>
        <w:t>فجوات البيانات مرتّبة بأولوية مُقاسة، لا بتقدير.</w:t>
      </w:r>
    </w:p>
    <w:tbl>
      <w:tblPr>
        <w:tblStyle w:val="TableGrid"/>
        <w:bidiVisual/>
        <w:tblW w:type="auto" w:w="0"/>
        <w:jc w:val="right"/>
        <w:tblLook w:firstColumn="1" w:firstRow="1" w:lastColumn="0" w:lastRow="0" w:noHBand="0" w:noVBand="1" w:val="04A0"/>
      </w:tblPr>
      <w:tblGrid>
        <w:gridCol w:w="2986"/>
        <w:gridCol w:w="2986"/>
        <w:gridCol w:w="2986"/>
      </w:tblGrid>
      <w:tr>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الفجوة</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الحالة المُقاسة</w:t>
            </w:r>
          </w:p>
        </w:tc>
        <w:tc>
          <w:tcPr>
            <w:tcW w:type="dxa" w:w="2986"/>
          </w:tcPr>
          <w:p>
            <w:pPr>
              <w:bidi/>
              <w:spacing w:before="60" w:after="60"/>
              <w:jc w:val="right"/>
            </w:pPr>
            <w:r>
              <w:rPr>
                <w:rtl/>
                <w:cs/>
              </w:rPr>
            </w:r>
            <w:r>
              <w:rPr>
                <w:rFonts w:ascii="Times New Roman" w:hAnsi="Times New Roman" w:cs="Noto Naskh Arabic"/>
                <w:b/>
                <w:bCs w:val="1"/>
                <w:i w:val="0"/>
                <w:color w:val="111111"/>
                <w:sz w:val="20"/>
                <w:szCs w:val="20"/>
                <w:rtl/>
                <w:cs/>
              </w:rPr>
              <w:t>الأولوية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Coca-Cola Diet</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٠٪ / ٠٪ — ٥ صور مصدرية</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قصوى</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منتجات الزجاج</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استدعاء ٣٣٫٣٪ — ٣ عيّنات</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قصوى</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نكهات Cappy الست</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بلا تمثيل</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عالية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Coca-Cola Zero</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استدعاء ٦٦٫٧٪</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عالية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Pepsi</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بلا تمثيل في الكاشف والمُصنِّف</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عالية</w:t>
            </w:r>
          </w:p>
        </w:tc>
      </w:tr>
      <w:tr>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متغيّرا XL الرقيقان</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بلا تمثيل</w:t>
            </w:r>
          </w:p>
        </w:tc>
        <w:tc>
          <w:tcPr>
            <w:tcW w:type="dxa" w:w="2986"/>
          </w:tcPr>
          <w:p>
            <w:pPr>
              <w:bidi/>
              <w:spacing w:before="60" w:after="60"/>
              <w:jc w:val="right"/>
            </w:pPr>
            <w:r>
              <w:rPr>
                <w:rtl/>
                <w:cs/>
              </w:rPr>
            </w:r>
            <w:r>
              <w:rPr>
                <w:rFonts w:ascii="Times New Roman" w:hAnsi="Times New Roman" w:cs="Noto Naskh Arabic"/>
                <w:b w:val="0"/>
                <w:i w:val="0"/>
                <w:color w:val="111111"/>
                <w:sz w:val="20"/>
                <w:szCs w:val="20"/>
                <w:rtl/>
                <w:cs/>
              </w:rPr>
              <w:t>متوسطة</w:t>
            </w:r>
          </w:p>
        </w:tc>
      </w:tr>
    </w:tbl>
    <w:p>
      <w:pPr>
        <w:spacing w:after="200" w:before="0"/>
      </w:pPr>
    </w:p>
    <w:p>
      <w:pPr>
        <w:keepNext w:val="0"/>
        <w:bidi/>
        <w:spacing w:after="160" w:before="0" w:line="348" w:lineRule="auto"/>
        <w:jc w:val="both"/>
      </w:pPr>
      <w:r>
        <w:rPr>
          <w:rFonts w:ascii="Times New Roman" w:hAnsi="Times New Roman" w:cs="Noto Naskh Arabic"/>
          <w:b w:val="0"/>
          <w:i w:val="0"/>
          <w:color w:val="111111"/>
          <w:sz w:val="23"/>
          <w:szCs w:val="23"/>
          <w:rtl/>
          <w:cs/>
        </w:rPr>
        <w:t>ويلزم معها مجموعة تحقق للحجم من ٥٠ إلى ١٠٠ صورة يكون الحجم الحقيقي فيها معلوماً بيقين، إذ يتعذّر تقييم أي نهج لتقدير الحجم من دونها — فهي شرط مسبق للمحور الموصوف في القسم ١٠٫٢، لا مُكمِّل له.</w:t>
      </w:r>
    </w:p>
    <w:p>
      <w:pPr>
        <w:keepNext w:val="0"/>
        <w:bidi/>
        <w:spacing w:after="160" w:before="0" w:line="348" w:lineRule="auto"/>
        <w:jc w:val="both"/>
      </w:pPr>
      <w:r>
        <w:rPr>
          <w:rFonts w:ascii="Times New Roman" w:hAnsi="Times New Roman" w:cs="Noto Naskh Arabic"/>
          <w:b w:val="0"/>
          <w:i w:val="0"/>
          <w:color w:val="111111"/>
          <w:sz w:val="23"/>
          <w:szCs w:val="23"/>
          <w:rtl/>
          <w:cs/>
        </w:rPr>
        <w:t>وثانياً، استمرارية الوصول إلى موارد التدريب والتقييم، إذ إن توفّر أدوات القياس هو ما جعل نتائج هذه الدراسة ممكنة.</w:t>
      </w:r>
    </w:p>
    <w:p>
      <w:pPr>
        <w:keepNext w:val="0"/>
        <w:bidi/>
        <w:spacing w:after="160" w:before="0" w:line="348" w:lineRule="auto"/>
        <w:jc w:val="both"/>
      </w:pPr>
      <w:r>
        <w:rPr>
          <w:rFonts w:ascii="Times New Roman" w:hAnsi="Times New Roman" w:cs="Noto Naskh Arabic"/>
          <w:b w:val="0"/>
          <w:i w:val="0"/>
          <w:color w:val="111111"/>
          <w:sz w:val="23"/>
          <w:szCs w:val="23"/>
          <w:rtl/>
          <w:cs/>
        </w:rPr>
        <w:t>وثالثاً، توجيه لا يستطيع الفريق التقني إصداره وحده، وهو أهم ما نطلبه: ما عتبة الدقة التي تُعدّ جاهزة للإنتاج في هذا المجال؟ وقد صار هذا السؤال ملموساً بعد توفّر الأرقام. فطبقة العلامة عند إحكام ١٠٠٪ جاهزة بأي معيار، ومُصنِّف عند ٥٦٪ ليس جاهزاً بأي معيار. لكن ماذا عن الحالات الوسطى؟ هل يُقبَل صنف عند استدعاء ٦٦٫٧٪ في تقرير يُسلَّم لعميل؟ أم يُعرَض بتحفّظ؟ أم يُحجَب حتى تتحسّن بياناته؟</w:t>
      </w:r>
    </w:p>
    <w:p>
      <w:pPr>
        <w:keepNext w:val="0"/>
        <w:bidi/>
        <w:spacing w:after="160" w:before="0" w:line="348" w:lineRule="auto"/>
        <w:jc w:val="both"/>
      </w:pPr>
      <w:r>
        <w:rPr>
          <w:rFonts w:ascii="Times New Roman" w:hAnsi="Times New Roman" w:cs="Noto Naskh Arabic"/>
          <w:b w:val="0"/>
          <w:i w:val="0"/>
          <w:color w:val="111111"/>
          <w:sz w:val="23"/>
          <w:szCs w:val="23"/>
          <w:rtl/>
          <w:cs/>
        </w:rPr>
        <w:t>والإجابة تحدد مباشرةً السلوك الهندسي: مدى ميل النظام إلى إحالة القرار للمراجعة البشرية بدل الحسم آلياً. وهي حكم تجاري يتعلق بما يقبله العميل ويتحمّله عقد الخدمة، لا مسألة تقنية — وستُشكّل الجولة القادمة من عمل الضبط.</w:t>
      </w:r>
    </w:p>
    <w:p>
      <w:pPr>
        <w:keepNext/>
        <w:bidi/>
        <w:spacing w:before="360" w:after="140"/>
        <w:jc w:val="right"/>
      </w:pPr>
      <w:r>
        <w:rPr>
          <w:rFonts w:ascii="Times New Roman" w:hAnsi="Times New Roman" w:cs="Noto Naskh Arabic"/>
          <w:b/>
          <w:bCs w:val="1"/>
          <w:i w:val="0"/>
          <w:color w:val="1A3A5C"/>
          <w:sz w:val="28"/>
          <w:szCs w:val="28"/>
          <w:rtl/>
          <w:cs/>
        </w:rPr>
        <w:t>١١. الخلاصة</w:t>
      </w:r>
    </w:p>
    <w:p>
      <w:pPr>
        <w:keepNext w:val="0"/>
        <w:bidi/>
        <w:spacing w:after="160" w:before="0" w:line="348" w:lineRule="auto"/>
        <w:jc w:val="both"/>
      </w:pPr>
      <w:r>
        <w:rPr>
          <w:rFonts w:ascii="Times New Roman" w:hAnsi="Times New Roman" w:cs="Noto Naskh Arabic"/>
          <w:b w:val="0"/>
          <w:i w:val="0"/>
          <w:color w:val="111111"/>
          <w:sz w:val="23"/>
          <w:szCs w:val="23"/>
          <w:rtl/>
          <w:cs/>
        </w:rPr>
        <w:t>اختبرت هذه الدراسة فرضية مفادها أن فصل التوطين عن الهوية في أنظمة الرؤية الحاسوبية التطبيقية يحسّن الدقة وقابلية التوسّع معاً. وتدعم النتائج الفرضية بأدلة مُقاسة.</w:t>
      </w:r>
    </w:p>
    <w:p>
      <w:pPr>
        <w:keepNext w:val="0"/>
        <w:bidi/>
        <w:spacing w:after="160" w:before="0" w:line="348" w:lineRule="auto"/>
        <w:jc w:val="both"/>
      </w:pPr>
      <w:r>
        <w:rPr>
          <w:rFonts w:ascii="Times New Roman" w:hAnsi="Times New Roman" w:cs="Noto Naskh Arabic"/>
          <w:b w:val="0"/>
          <w:i w:val="0"/>
          <w:color w:val="111111"/>
          <w:sz w:val="23"/>
          <w:szCs w:val="23"/>
          <w:rtl/>
          <w:cs/>
        </w:rPr>
        <w:t>أولاً، تفوّق النهج متعدد الطبقات على النهج الأحادي في كل مقاييس الدقة المتوسطة وفي الاستدعاء، انطلاقاً من الصور المصدرية ذاتها، ورغم أن خصمه قُيِّم في الظرف الأيسر. ويكشف التفصيل الصنفي آلية ذلك: إشارة تدريب محدودة مقسومة على ستة أصناف تُنتج أداءً يحدّه أضعف صنف لا أقواه، بينما يوحّدها الفصل في صنف واحد ويؤجّل التمييز إلى طبقة تملك تفصيلاً بصرياً أوفر.</w:t>
      </w:r>
    </w:p>
    <w:p>
      <w:pPr>
        <w:keepNext w:val="0"/>
        <w:bidi/>
        <w:spacing w:after="160" w:before="0" w:line="348" w:lineRule="auto"/>
        <w:jc w:val="both"/>
      </w:pPr>
      <w:r>
        <w:rPr>
          <w:rFonts w:ascii="Times New Roman" w:hAnsi="Times New Roman" w:cs="Noto Naskh Arabic"/>
          <w:b w:val="0"/>
          <w:i w:val="0"/>
          <w:color w:val="111111"/>
          <w:sz w:val="23"/>
          <w:szCs w:val="23"/>
          <w:rtl/>
          <w:cs/>
        </w:rPr>
        <w:t>وثانياً، شكل النمو يستحق القياس بقدر ما تستحقه الدقة. فالفارق بين ‎O(N×K)‎ و‎O(N)‎ لا يظهر في صورة واحدة، لكنه يحدد ما إذا كان النظام سيظل عملياً بعد عشر علامات أو ينهار تحت وزنه.</w:t>
      </w:r>
    </w:p>
    <w:p>
      <w:pPr>
        <w:keepNext w:val="0"/>
        <w:bidi/>
        <w:spacing w:after="160" w:before="0" w:line="348" w:lineRule="auto"/>
        <w:jc w:val="both"/>
      </w:pPr>
      <w:r>
        <w:rPr>
          <w:rFonts w:ascii="Times New Roman" w:hAnsi="Times New Roman" w:cs="Noto Naskh Arabic"/>
          <w:b w:val="0"/>
          <w:i w:val="0"/>
          <w:color w:val="111111"/>
          <w:sz w:val="23"/>
          <w:szCs w:val="23"/>
          <w:rtl/>
          <w:cs/>
        </w:rPr>
        <w:t>وثالثاً، الكلفة الحدّية لتوسيع الكتالوج — نحو أربع دقائق من زمن معالج الرسوميات، مقيسة أربع مرات — هي الترجمة العملية للمكسب المعماري، وهي المقياس الأهم تجارياً لا دقة النموذج المفردة.</w:t>
      </w:r>
    </w:p>
    <w:p>
      <w:pPr>
        <w:keepNext w:val="0"/>
        <w:bidi/>
        <w:spacing w:after="160" w:before="0" w:line="348" w:lineRule="auto"/>
        <w:jc w:val="both"/>
      </w:pPr>
      <w:r>
        <w:rPr>
          <w:rFonts w:ascii="Times New Roman" w:hAnsi="Times New Roman" w:cs="Noto Naskh Arabic"/>
          <w:b w:val="0"/>
          <w:i w:val="0"/>
          <w:color w:val="111111"/>
          <w:sz w:val="23"/>
          <w:szCs w:val="23"/>
          <w:rtl/>
          <w:cs/>
        </w:rPr>
        <w:t>ورابعاً، جودة البيانات تُقيّد سقف أي معمارية. وقد صار هذا مُقاساً لا مُستنتَجاً: كل نقطة ضعف مفردة ترتد إلى ندرة بيانات محدّدة قابلة للعدّ، ولا واحدة ترتد إلى خلل في التصميم. ولذلك فإن أهم بند في المرحلة القادمة ليس هندسياً، بل جولة تصوير.</w:t>
      </w:r>
    </w:p>
    <w:p>
      <w:pPr>
        <w:keepNext w:val="0"/>
        <w:bidi/>
        <w:spacing w:after="160" w:before="0" w:line="348" w:lineRule="auto"/>
        <w:jc w:val="both"/>
      </w:pPr>
      <w:r>
        <w:rPr>
          <w:rFonts w:ascii="Times New Roman" w:hAnsi="Times New Roman" w:cs="Noto Naskh Arabic"/>
          <w:b w:val="0"/>
          <w:i w:val="0"/>
          <w:color w:val="111111"/>
          <w:sz w:val="23"/>
          <w:szCs w:val="23"/>
          <w:rtl/>
          <w:cs/>
        </w:rPr>
        <w:t>وما تحقّق — كاشف أدقّ من الصور المصدرية ذاتها، وستّ طبقات تصنيف عاملة ومُقاسة، ومعمارية توجيه مُثبَتة أربع مرات، وحلقة تعلّم نشط حيّة، بكلفة تدريب إجمالية تقلّ عن ساعة وربع — يمثّل أساساً مُثبَتاً تجريبياً للبناء عليه، لا منتجاً مكتملاً. والقيود في القسم ٩ محدّدة ومعروفة الكلفة، وليس فيها ما يشير إلى خلل في التصميم الأساسي.</w:t>
      </w:r>
    </w:p>
    <w:sectPr w:rsidR="00FC693F" w:rsidRPr="0006063C" w:rsidSect="00034616">
      <w:pgSz w:w="11906" w:h="16838"/>
      <w:pgMar w:top="1361" w:right="1474" w:bottom="1361" w:left="147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