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التدقيق الآلي لرفوف التجزئة بالرؤية الحاسوبية</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التدريب الميداني — من نقطة البداية إلى النظام العامل</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التدريب:  </w:t>
      </w:r>
      <w:r>
        <w:rPr>
          <w:rFonts w:ascii="Times New Roman" w:hAnsi="Times New Roman" w:cs="Noto Naskh Arabic"/>
          <w:b w:val="0"/>
          <w:i w:val="0"/>
          <w:color w:val="111111"/>
          <w:sz w:val="23"/>
          <w:szCs w:val="23"/>
          <w:rtl/>
          <w:cs/>
        </w:rPr>
        <w:t>٢٧ تموز ٢٠٢٦ – ١٧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١٧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 التنفيذي</w:t>
      </w:r>
    </w:p>
    <w:p>
      <w:pPr>
        <w:keepNext w:val="0"/>
        <w:bidi/>
        <w:spacing w:after="160" w:before="0" w:line="348" w:lineRule="auto"/>
        <w:jc w:val="both"/>
      </w:pPr>
      <w:r>
        <w:rPr>
          <w:rFonts w:ascii="Times New Roman" w:hAnsi="Times New Roman" w:cs="Noto Naskh Arabic"/>
          <w:b w:val="0"/>
          <w:i w:val="0"/>
          <w:color w:val="111111"/>
          <w:sz w:val="22"/>
          <w:szCs w:val="22"/>
          <w:rtl/>
          <w:cs/>
        </w:rPr>
        <w:t>يوثّق هذا التقرير ثلاثة أسابيع من العمل في Aystro على تحويل صورة فوتوغرافية عادية لرفّ تجاري إلى بيانات مخزون مُهيكلة يمكن بيعها كخدمة. ولم يكن العمل تنفيذاً لمواصفات جاهزة، بل منهجية بحث وتطوير: تدقيق ما هو قائم، وتشخيص حدوده، واشتقاق معمارية بديلة، وبناؤها، ثم قياس ما إذا كانت البدائل قد حقّقت فعلاً ما وُعِدت به. وكل رقم في هذا التقرير مقيس، لا مُقدَّر؛ وحيثما لا يوجد قياس، يُذكر ذلك صراحةً بدلاً من سدّ الفراغ بتقدير.</w:t>
      </w:r>
    </w:p>
    <w:p>
      <w:pPr>
        <w:keepNext w:val="0"/>
        <w:bidi/>
        <w:spacing w:after="160" w:before="0" w:line="348" w:lineRule="auto"/>
        <w:jc w:val="both"/>
      </w:pPr>
      <w:r>
        <w:rPr>
          <w:rFonts w:ascii="Times New Roman" w:hAnsi="Times New Roman" w:cs="Noto Naskh Arabic"/>
          <w:b w:val="0"/>
          <w:i w:val="0"/>
          <w:color w:val="111111"/>
          <w:sz w:val="22"/>
          <w:szCs w:val="22"/>
          <w:rtl/>
          <w:cs/>
        </w:rPr>
        <w:t>كانت نقطة البداية كاشفاً واحداً يجمع بين تحديد موضع المنتج وتحديد هويته في نموذج واحد. وهذه المعمارية تعمل، لكنها تربط كلفة كل إضافة إلى الكتالوج بحجم الكتالوج كله: فكل صنف جديد يستوجب إعادة تدريب النموذج بأكمله. والبديل الذي بُني خلال هذه الفترة يفصل السؤالين: كاشف محايد صنفياً يجد المنتجات من دون معرفة هويتها، تليه طبقات تصنيف صغيرة ومستقلة تحدد العلامة، ثم المتغيّر، ثم مادة التعبئة. والنتيجة أن الكاشف الجديد يبلغ دقة أعلى (‏٨٩٫٣٪ مقابل ٨٦٫٩٢٪ لمتوسط الدقة، و‏٩٠٫٥٪ مقابل ٨٢٫٧٪ للإحكام) على نحو ثلث صور التدريب التي احتاجها النهج الأصلي.</w:t>
      </w:r>
    </w:p>
    <w:p>
      <w:pPr>
        <w:keepNext w:val="0"/>
        <w:bidi/>
        <w:spacing w:after="160" w:before="0" w:line="348" w:lineRule="auto"/>
        <w:jc w:val="both"/>
      </w:pPr>
      <w:r>
        <w:rPr>
          <w:rFonts w:ascii="Times New Roman" w:hAnsi="Times New Roman" w:cs="Noto Naskh Arabic"/>
          <w:b w:val="0"/>
          <w:i w:val="0"/>
          <w:color w:val="111111"/>
          <w:sz w:val="22"/>
          <w:szCs w:val="22"/>
          <w:rtl/>
          <w:cs/>
        </w:rPr>
        <w:t>والنتيجة الثانية تتعلق بكيفية تفاعل هذه الطبقات مع بعضها. ففي التصميم الأول كان كل مُصنِّف متغيّرات يعمل على كل قصاصة بصرف النظر عن علامتها، فينمو عدد الاستدعاءات مع عدد المنتجات وعدد المُصنِّفات معاً ‏(O(N×K))‎. وبإدخال خطوة توجيه تُشغِّل مُصنِّف المتغيّرات المعني وحده، صار النمو مرتبطاً بعدد المنتجات فقط ‏(O(N))‎، بصرف النظر عن اتساع الكتالوج — وقِيس ذلك على الصورة الاختبارية ذاتها بانخفاض زمن التصنيف من ٤٠٫٣٢ ثانية إلى ١٤٫٢٠ ثانية (‏٦٥٪) بمُخرَجات مطابقة تماماً. وقد أُضيفت علامتان بهذا النمط خلال هذه الفترة، كلٌّ منهما في ساعات لا أسابيع، وهو ما يجعل «كلفة نمو الكتالوج منخفضة» ملاحظةً مُكرَّرة لا استنتاجاً من حالة واحدة.</w:t>
      </w:r>
    </w:p>
    <w:p>
      <w:r>
        <w:br w:type="page"/>
      </w:r>
    </w:p>
    <w:p>
      <w:pPr>
        <w:keepNext/>
        <w:bidi/>
        <w:spacing w:before="360" w:after="140"/>
        <w:jc w:val="right"/>
      </w:pPr>
      <w:r>
        <w:rPr>
          <w:rFonts w:ascii="Times New Roman" w:hAnsi="Times New Roman" w:cs="Noto Naskh Arabic"/>
          <w:b/>
          <w:bCs w:val="1"/>
          <w:i w:val="0"/>
          <w:color w:val="1A3A5C"/>
          <w:sz w:val="28"/>
          <w:szCs w:val="28"/>
          <w:rtl/>
          <w:cs/>
        </w:rPr>
        <w:t>١. السياق والهدف</w:t>
      </w:r>
    </w:p>
    <w:p>
      <w:pPr>
        <w:keepNext w:val="0"/>
        <w:bidi/>
        <w:spacing w:after="160" w:before="0" w:line="348" w:lineRule="auto"/>
        <w:jc w:val="both"/>
      </w:pPr>
      <w:r>
        <w:rPr>
          <w:rFonts w:ascii="Times New Roman" w:hAnsi="Times New Roman" w:cs="Noto Naskh Arabic"/>
          <w:b w:val="0"/>
          <w:i w:val="0"/>
          <w:color w:val="111111"/>
          <w:sz w:val="23"/>
          <w:szCs w:val="23"/>
          <w:rtl/>
          <w:cs/>
        </w:rPr>
        <w:t>إن حضور علامة تجارية على الرف — كم وحدة معروضة، وكيف رُتِّبت، وما حصة كل منافس من المساحة المرئية — معلومة تجارية يدفع المصنِّعون وتجار التجزئة ثمن معرفتها. وتُجمَع اليوم يدوياً: مندوب يجول المتاجر ويسجّل ما يراه. وهذا بطيء، ومكلف عند التوسّع، وغير ثابت الجودة لأنه يعتمد على انتباه الشخص الذي يؤديه.</w:t>
      </w:r>
    </w:p>
    <w:p>
      <w:pPr>
        <w:keepNext w:val="0"/>
        <w:bidi/>
        <w:spacing w:after="160" w:before="0" w:line="348" w:lineRule="auto"/>
        <w:jc w:val="both"/>
      </w:pPr>
      <w:r>
        <w:rPr>
          <w:rFonts w:ascii="Times New Roman" w:hAnsi="Times New Roman" w:cs="Noto Naskh Arabic"/>
          <w:b w:val="0"/>
          <w:i w:val="0"/>
          <w:color w:val="111111"/>
          <w:sz w:val="23"/>
          <w:szCs w:val="23"/>
          <w:rtl/>
          <w:cs/>
        </w:rPr>
        <w:t>والهدف من هذا التدريب أن نتعلّم — عبر البناء الفعلي لا عبر الدراسة النظرية — كيف يُحوَّل هذا العمل إلى منتج قابل للبيع لعميل قائم. ولذلك عُومل المشروع بوصفه عمل بحث وتطوير: نبني، ونقيس، ونصحّح المسار بناءً على ما تُظهره القياسات، لا على ما كنا نفترضه في البداية. وما يوثّقه هذا التقرير هو هذا المسار كاملاً — بما فيه ما لم ينجح.</w:t>
      </w:r>
    </w:p>
    <w:p>
      <w:pPr>
        <w:keepNext w:val="0"/>
        <w:bidi/>
        <w:spacing w:after="160" w:before="0" w:line="348" w:lineRule="auto"/>
        <w:jc w:val="both"/>
      </w:pPr>
      <w:r>
        <w:rPr>
          <w:rFonts w:ascii="Times New Roman" w:hAnsi="Times New Roman" w:cs="Noto Naskh Arabic"/>
          <w:b w:val="0"/>
          <w:i w:val="0"/>
          <w:color w:val="111111"/>
          <w:sz w:val="23"/>
          <w:szCs w:val="23"/>
          <w:rtl/>
          <w:cs/>
        </w:rPr>
        <w:t>والتحدي التقني في جوهره أن المطلوب ليس سؤالاً واحداً بل سؤالان يُطرحان على كل منتج في الصورة في آنٍ معاً: أين يقع (التوطين)، وما هو (الهوية). والطريقة التي يُوزَّع بها هذان السؤالان على مكوّنات النظام هي القرار المعماري الذي شكّل هذه الفترة بأكملها.</w:t>
      </w:r>
    </w:p>
    <w:p>
      <w:pPr>
        <w:keepNext/>
        <w:bidi/>
        <w:spacing w:before="360" w:after="140"/>
        <w:jc w:val="right"/>
      </w:pPr>
      <w:r>
        <w:rPr>
          <w:rFonts w:ascii="Times New Roman" w:hAnsi="Times New Roman" w:cs="Noto Naskh Arabic"/>
          <w:b/>
          <w:bCs w:val="1"/>
          <w:i w:val="0"/>
          <w:color w:val="1A3A5C"/>
          <w:sz w:val="28"/>
          <w:szCs w:val="28"/>
          <w:rtl/>
          <w:cs/>
        </w:rPr>
        <w:t>٢. نقطة البداية: ما كان قائماً في ٢٧ تموز</w:t>
      </w:r>
    </w:p>
    <w:p>
      <w:pPr>
        <w:keepNext w:val="0"/>
        <w:bidi/>
        <w:spacing w:after="160" w:before="0" w:line="348" w:lineRule="auto"/>
        <w:jc w:val="both"/>
      </w:pPr>
      <w:r>
        <w:rPr>
          <w:rFonts w:ascii="Times New Roman" w:hAnsi="Times New Roman" w:cs="Noto Naskh Arabic"/>
          <w:b w:val="0"/>
          <w:i w:val="0"/>
          <w:color w:val="111111"/>
          <w:sz w:val="23"/>
          <w:szCs w:val="23"/>
          <w:rtl/>
          <w:cs/>
        </w:rPr>
        <w:t>كان النظام القائم عند بداية التدريب كاشفاً واحداً للكائنات، مُدرَّباً على ستة أصناف تمثّل العلامات التجارية مباشرةً: coca-cola، وfanta، وsprite، وpepsi، وcappy، وxl_energy. أي أن النموذج نفسه كان يجيب عن السؤالين معاً — يرسم الصندوق ويسمّي العلامة في خطوة واحدة.</w:t>
      </w:r>
    </w:p>
    <w:p>
      <w:pPr>
        <w:keepNext w:val="0"/>
        <w:bidi/>
        <w:spacing w:after="160" w:before="0" w:line="348" w:lineRule="auto"/>
        <w:jc w:val="both"/>
      </w:pPr>
      <w:r>
        <w:rPr>
          <w:rFonts w:ascii="Times New Roman" w:hAnsi="Times New Roman" w:cs="Noto Naskh Arabic"/>
          <w:b w:val="0"/>
          <w:i w:val="0"/>
          <w:color w:val="111111"/>
          <w:sz w:val="23"/>
          <w:szCs w:val="23"/>
          <w:rtl/>
          <w:cs/>
        </w:rPr>
        <w:t>وقد نما هذا المشروع تدريجياً عبر عشرين نسخة. والنسخة الأولى، المُدرَّبة على ٢٧ صورة فقط، بلغت متوسط دقة ٧٧٫٩٥٪. أما النسخة الثانية، المُدرَّبة على ٤٩ صورة — أي ضِعف البيانات تقريباً — فقد تراجعت إلى ٥٧٫٧٨٪، وانخفض استدعاؤها من ٧٣٫٥٪ إلى ٥٠٪. وهذه الواقعة المبكرة، المسجَّلة في تاريخ المشروع قبل بدء هذا التدريب، هي أول دليل عملي على المشكلة التي عالجتها هذه الفترة: فالبيانات الإضافية لم تكن تدعم الأصناف القائمة، بل كانت تُدخِل أصنافاً جديدة تتقاسم المجموعة ذاتها، فيقلّ نصيب كل صنف بدلاً من أن يزيد.</w:t>
      </w:r>
    </w:p>
    <w:p>
      <w:pPr>
        <w:keepNext w:val="0"/>
        <w:bidi/>
        <w:spacing w:after="160" w:before="0" w:line="348" w:lineRule="auto"/>
        <w:jc w:val="both"/>
      </w:pPr>
      <w:r>
        <w:rPr>
          <w:rFonts w:ascii="Times New Roman" w:hAnsi="Times New Roman" w:cs="Noto Naskh Arabic"/>
          <w:b w:val="0"/>
          <w:i w:val="0"/>
          <w:color w:val="111111"/>
          <w:sz w:val="23"/>
          <w:szCs w:val="23"/>
          <w:rtl/>
          <w:cs/>
        </w:rPr>
        <w:t>وبحلول نسخته العشرين، وبعد أن بلغت مدوَّنته ١٬١٩١ صورة مُعلَّمة على معمارية rfdetr-large، استقر هذا الكاشف على متوسط دقة ٨٦٫٩٢٪ وإحكام ٨٢٫٧٪ واستدعاء ٨٥٫٨٪. وهذه هي الحالة الناضجة للنهج الأصلي، وهي نقطة المقارنة العادلة المستخدمة في هذا التقرير — لا النسخ المبكرة الصغيرة.</w:t>
      </w:r>
    </w:p>
    <w:p>
      <w:pPr>
        <w:keepNext/>
        <w:bidi/>
        <w:spacing w:before="360" w:after="140"/>
        <w:jc w:val="right"/>
      </w:pPr>
      <w:r>
        <w:rPr>
          <w:rFonts w:ascii="Times New Roman" w:hAnsi="Times New Roman" w:cs="Noto Naskh Arabic"/>
          <w:b/>
          <w:bCs w:val="1"/>
          <w:i w:val="0"/>
          <w:color w:val="1A3A5C"/>
          <w:sz w:val="28"/>
          <w:szCs w:val="28"/>
          <w:rtl/>
          <w:cs/>
        </w:rPr>
        <w:t>٣. المنهجية</w:t>
      </w:r>
    </w:p>
    <w:p>
      <w:pPr>
        <w:keepNext w:val="0"/>
        <w:bidi/>
        <w:spacing w:after="160" w:before="0" w:line="348" w:lineRule="auto"/>
        <w:jc w:val="both"/>
      </w:pPr>
      <w:r>
        <w:rPr>
          <w:rFonts w:ascii="Times New Roman" w:hAnsi="Times New Roman" w:cs="Noto Naskh Arabic"/>
          <w:b w:val="0"/>
          <w:i w:val="0"/>
          <w:color w:val="111111"/>
          <w:sz w:val="23"/>
          <w:szCs w:val="23"/>
          <w:rtl/>
          <w:cs/>
        </w:rPr>
        <w:t>اتُّبع في كل بند من بنود هذه الفترة تسلسل واحد: تدقيق ما هو قائم فعلياً، ثم تشخيص السبب الجذري لا العَرَض الظاهر، ثم بناء البديل، ثم التحقق منه في مواجهة بيانات حقيقية قبل اعتباره منجزاً.</w:t>
      </w:r>
    </w:p>
    <w:p>
      <w:pPr>
        <w:keepNext w:val="0"/>
        <w:bidi/>
        <w:spacing w:after="160" w:before="0" w:line="348" w:lineRule="auto"/>
        <w:jc w:val="both"/>
      </w:pPr>
      <w:r>
        <w:rPr>
          <w:rFonts w:ascii="Times New Roman" w:hAnsi="Times New Roman" w:cs="Noto Naskh Arabic"/>
          <w:b w:val="0"/>
          <w:i w:val="0"/>
          <w:color w:val="111111"/>
          <w:sz w:val="23"/>
          <w:szCs w:val="23"/>
          <w:rtl/>
          <w:cs/>
        </w:rPr>
        <w:t>وقد فُرِض قيدان على هذا التسلسل تبيّن أنهما حاسمان. الأول أن أي ادّعاء عن سلوك النظام يجب أن يُتحقَّق منه باستدعاء استدلال حقيقي على صورة حقيقية، لا بقراءة إعدادات سير العمل — فقد ثبت أكثر من مرة خلال هذه الفترة أن الإعداد يبدو صحيحاً بينما السلوك الفعلي مختلف. والثاني أن التدقيق البصري المباشر لبيانات التدريب هو الأداة التشخيصية الأولى عند ضعف الأداء على صنف بعينه، قبل أي محاولة لضبط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ولهذا الغرض طُوِّرت طريقة عمل متكرّرة: تُنزَّل قصاصات الصنف محل الفحص، وتُرتَّب في صفحات تباين شبكية مرتّبة بإشارة رخيصة لكنها دالة (نسبة أبعاد الصندوق تفصل العلب عن الزجاجات، واللون السائد يفصل النكهات)، فيصبح الحكم البشري ممكناً على نطاقات كاملة دفعةً واحدة بدلاً من صورة بعد صورة. وقد استُخدمت هذه الطريقة في كل تدقيق ورد في هذا التقرير.</w:t>
      </w:r>
    </w:p>
    <w:p>
      <w:pPr>
        <w:keepNext/>
        <w:bidi/>
        <w:spacing w:before="360" w:after="140"/>
        <w:jc w:val="right"/>
      </w:pPr>
      <w:r>
        <w:rPr>
          <w:rFonts w:ascii="Times New Roman" w:hAnsi="Times New Roman" w:cs="Noto Naskh Arabic"/>
          <w:b/>
          <w:bCs w:val="1"/>
          <w:i w:val="0"/>
          <w:color w:val="1A3A5C"/>
          <w:sz w:val="28"/>
          <w:szCs w:val="28"/>
          <w:rtl/>
          <w:cs/>
        </w:rPr>
        <w:t>٤. تشخيص المعمارية الأحادية</w:t>
      </w:r>
    </w:p>
    <w:p>
      <w:pPr>
        <w:keepNext w:val="0"/>
        <w:bidi/>
        <w:spacing w:after="160" w:before="0" w:line="348" w:lineRule="auto"/>
        <w:jc w:val="both"/>
      </w:pPr>
      <w:r>
        <w:rPr>
          <w:rFonts w:ascii="Times New Roman" w:hAnsi="Times New Roman" w:cs="Noto Naskh Arabic"/>
          <w:b w:val="0"/>
          <w:i w:val="0"/>
          <w:color w:val="111111"/>
          <w:sz w:val="23"/>
          <w:szCs w:val="23"/>
          <w:rtl/>
          <w:cs/>
        </w:rPr>
        <w:t>أسفر تدقيق النهج القائم عن قيدين بنيويين، كلاهما ناتج عن القرار ذاته: جمع التوطين والهوية في نموذج واحد.</w:t>
      </w:r>
    </w:p>
    <w:p>
      <w:pPr>
        <w:keepNext w:val="0"/>
        <w:bidi/>
        <w:spacing w:after="160" w:before="0" w:line="348" w:lineRule="auto"/>
        <w:jc w:val="both"/>
      </w:pPr>
      <w:r>
        <w:rPr>
          <w:rFonts w:ascii="Times New Roman" w:hAnsi="Times New Roman" w:cs="Noto Naskh Arabic"/>
          <w:b w:val="0"/>
          <w:i w:val="0"/>
          <w:color w:val="111111"/>
          <w:sz w:val="23"/>
          <w:szCs w:val="23"/>
          <w:rtl/>
          <w:cs/>
        </w:rPr>
        <w:t>القيد الأول اقتصادي. فما دام النموذج يحمل معرفة بهوية المنتجات، فإن كل منتج جديد يدخل السوق يستوجب إعادة تدريبه بالكامل. وكلفة هذه الإعادة لا تتناسب مع حجم الإضافة بل مع حجم الكتالوج كله، كما أنها تُعرِّض منتجات كانت تعمل بصورة صحيحة لتدهور غير مقصود في الأداء. وفي مجال يتغيّر كتالوجه باستمرار، هذا يعني أن كلفة الصيانة تنمو مع نجاح المنتج نفسه.</w:t>
      </w:r>
    </w:p>
    <w:p>
      <w:pPr>
        <w:keepNext w:val="0"/>
        <w:bidi/>
        <w:spacing w:after="160" w:before="0" w:line="348" w:lineRule="auto"/>
        <w:jc w:val="both"/>
      </w:pPr>
      <w:r>
        <w:rPr>
          <w:rFonts w:ascii="Times New Roman" w:hAnsi="Times New Roman" w:cs="Noto Naskh Arabic"/>
          <w:b w:val="0"/>
          <w:i w:val="0"/>
          <w:color w:val="111111"/>
          <w:sz w:val="23"/>
          <w:szCs w:val="23"/>
          <w:rtl/>
          <w:cs/>
        </w:rPr>
        <w:t>والقيد الثاني إحصائي. فمجموعة صور ثابتة مقسَّمة على ستة أصناف تعني أن كل صنف لا ينال إلا جزءاً من الإشارة المتاحة، وأن الأصناف الأقل تمثيلاً تتعلّم على أمثلة قليلة جداً — وهو ما يُنتج انخفاض الاستدعاء، أي وجود منتجات على الرف لا تُكتشَف إطلاقاً. وتراجع النسخة الثانية عن الأولى، الوارد في القسم السابق، هو هذا القيد وقد ظهر بالقياس لا بالتنظير.</w:t>
      </w:r>
    </w:p>
    <w:p>
      <w:pPr>
        <w:keepNext w:val="0"/>
        <w:bidi/>
        <w:spacing w:after="160" w:before="0" w:line="348" w:lineRule="auto"/>
        <w:jc w:val="both"/>
      </w:pPr>
      <w:r>
        <w:rPr>
          <w:rFonts w:ascii="Times New Roman" w:hAnsi="Times New Roman" w:cs="Noto Naskh Arabic"/>
          <w:b w:val="0"/>
          <w:i w:val="0"/>
          <w:color w:val="111111"/>
          <w:sz w:val="23"/>
          <w:szCs w:val="23"/>
          <w:rtl/>
          <w:cs/>
        </w:rPr>
        <w:t>ويشترك القيدان في ملاحظة واحدة: أن الجزء المتقلّب من المشكلة (هوية المنتج) والجزء المستقر منها (وجود جسم على الرف) قد كُبِّلا معاً من دون داعٍ. فوجود منتج على الرف حقيقة بصرية لا تتغيّر بتغيّر الكتالوج؛ وفصلها عن مسألة الهوية هو ما تقوم عليه المعمارية التالية.</w:t>
      </w:r>
    </w:p>
    <w:p>
      <w:pPr>
        <w:keepNext/>
        <w:bidi/>
        <w:spacing w:before="360" w:after="140"/>
        <w:jc w:val="right"/>
      </w:pPr>
      <w:r>
        <w:rPr>
          <w:rFonts w:ascii="Times New Roman" w:hAnsi="Times New Roman" w:cs="Noto Naskh Arabic"/>
          <w:b/>
          <w:bCs w:val="1"/>
          <w:i w:val="0"/>
          <w:color w:val="1A3A5C"/>
          <w:sz w:val="28"/>
          <w:szCs w:val="28"/>
          <w:rtl/>
          <w:cs/>
        </w:rPr>
        <w:t>٥. المعمارية المبنيّة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المبنيّة خلال هذه الفترة فضاء القرار مرحلةً بعد مرحلة، بحيث تكون كل طبقة صغيرة ومستقلة وقابلة للاستبدال من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كاشف محايد صنفياً يحدد موضع كل منتج تحت صنف عام واحد هو «product». وهو لا يحمل أي معرفة بالهوية، فلا يستوجب إعادة تدريب عند دخول منتج جديد إلى الكتالوج مهما تغيّر.</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مكتشَفة وتُصنَّف بحسب الشركة المصنِّعة. وهذه طبقة مستقرة، لأن مجموعة العلامات في سوق ما تتغيّر أبطأ بكثير من مجموعة المنتجات.</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بشرط التوجيه. حين تُحدِّد المرحلة الثانية علامةً لها مُصنِّف متغيّرات خاص بها، تستدعي خطوة توجيه ذلك المُصنِّف وحده. وعلامتان موصولتان بهذا النمط اليوم: Fanta (النكهة) وXL Energy. والقصاصة التي لا تخص أياً منهما لا تمرّ على أي مُصنِّف متغيّرات إطلاقاً.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واحد مشترك (علبة / بلاستيك / زجاج) يعمل على كل قصاصة بصرف النظر عن العلامة، لأن المادة خاصية فيزيائية لا تتوقف على المصنِّع — فأي علامة جديدة تُضاف مستقبلاً تستفيد منه فوراً من دون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لكل قصاصة — المتغيّر إن وُجد، وإلا العلامة المجردة — وتُكتب النتيجة على الاكتشاف نفسه، فتصل إلى التطبيق تسمية واحدة تحمل العلامة والمتغيّر ومادة التعبئة معاً.</w:t>
      </w:r>
    </w:p>
    <w:p>
      <w:pPr>
        <w:keepNext/>
        <w:spacing w:before="240" w:after="80"/>
        <w:jc w:val="center"/>
      </w:pPr>
      <w:r>
        <w:drawing>
          <wp:inline xmlns:a="http://schemas.openxmlformats.org/drawingml/2006/main" xmlns:pic="http://schemas.openxmlformats.org/drawingml/2006/picture">
            <wp:extent cx="5544000" cy="3653373"/>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65337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الفارق الجوهري عن المعماريات المرحلية المعتادة هو خطوتا التوجيه (باللون البرتقالي): فهما تفصلان تنفيذ مُصنِّفات المتغيّرات عن مجرد توفّر البيانات لها، وهو ما يقيسه القسم ٦٫٢.</w:t>
      </w:r>
    </w:p>
    <w:p>
      <w:pPr>
        <w:keepNext/>
        <w:bidi/>
        <w:spacing w:before="360" w:after="140"/>
        <w:jc w:val="right"/>
      </w:pPr>
      <w:r>
        <w:rPr>
          <w:rFonts w:ascii="Times New Roman" w:hAnsi="Times New Roman" w:cs="Noto Naskh Arabic"/>
          <w:b/>
          <w:bCs w:val="1"/>
          <w:i w:val="0"/>
          <w:color w:val="1A3A5C"/>
          <w:sz w:val="28"/>
          <w:szCs w:val="28"/>
          <w:rtl/>
          <w:cs/>
        </w:rPr>
        <w:t>٦. النتائج المقيسة</w:t>
      </w:r>
    </w:p>
    <w:p>
      <w:pPr>
        <w:keepNext/>
        <w:bidi/>
        <w:spacing w:before="240" w:after="140"/>
        <w:jc w:val="right"/>
      </w:pPr>
      <w:r>
        <w:rPr>
          <w:rFonts w:ascii="Times New Roman" w:hAnsi="Times New Roman" w:cs="Noto Naskh Arabic"/>
          <w:b/>
          <w:bCs w:val="1"/>
          <w:i w:val="0"/>
          <w:color w:val="1A3A5C"/>
          <w:sz w:val="24"/>
          <w:szCs w:val="24"/>
          <w:rtl/>
          <w:cs/>
        </w:rPr>
        <w:t>٦٫١ دقة الكشف</w:t>
      </w:r>
    </w:p>
    <w:p>
      <w:pPr>
        <w:keepNext w:val="0"/>
        <w:bidi/>
        <w:spacing w:after="160" w:before="0" w:line="348" w:lineRule="auto"/>
        <w:jc w:val="both"/>
      </w:pPr>
      <w:r>
        <w:rPr>
          <w:rFonts w:ascii="Times New Roman" w:hAnsi="Times New Roman" w:cs="Noto Naskh Arabic"/>
          <w:b w:val="0"/>
          <w:i w:val="0"/>
          <w:color w:val="111111"/>
          <w:sz w:val="23"/>
          <w:szCs w:val="23"/>
          <w:rtl/>
          <w:cs/>
        </w:rPr>
        <w:t>قُورِن الكاشف الأصلي المُصنَّف بالعلامة بالكاشف المحايد صنفياً عند أنضج نسخة من كلٍّ منهما، وكلاهما على معمارية النموذج ذاتها (rfdetr-large) حتى تكون المقارنة عادلة.</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دقة الكشف قبل الفصل المعماري وبعده، على معمارية النموذج ذاتها.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الأصلي (مُصنَّف بالعلامة، ٦ أصناف)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الحالي (محايد صنفياً)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التدريب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 الدقة ‎mAP50</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٨٦٫٩٢٪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٨٩٫٣٪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الإحكام</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٨٥٫٨٪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٨١٫١٪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الكاشف الجديد متوسط دقة وإحكاماً أعلى على نحو ثلث صور التدريب — وهي نتيجة في كفاءة البيانات، لا مجرد حجة تصميمية. أما الاستدعاء فأدنى بأربع نقاط، ويجب ألا يُخفى ذلك.</w:t>
      </w:r>
    </w:p>
    <w:p>
      <w:pPr>
        <w:keepNext w:val="0"/>
        <w:bidi/>
        <w:spacing w:after="160" w:before="0" w:line="348" w:lineRule="auto"/>
        <w:jc w:val="both"/>
      </w:pPr>
      <w:r>
        <w:rPr>
          <w:rFonts w:ascii="Times New Roman" w:hAnsi="Times New Roman" w:cs="Noto Naskh Arabic"/>
          <w:b w:val="0"/>
          <w:i w:val="0"/>
          <w:color w:val="111111"/>
          <w:sz w:val="23"/>
          <w:szCs w:val="23"/>
          <w:rtl/>
          <w:cs/>
        </w:rPr>
        <w:t>وتحقق فعلي من مصدر هذا الفارق — لا افتراض — كشف أنه ليس فجوة بيانات على الإطلاق: فعدد الصور الخام في المشروعين متطابق اليوم تماماً (٢٢٧ صورة في كلٍّ منهما، وحتى أول صورة بالمعرِّف ذاته)، خلافاً لما كان يُفترَض سابقاً من وجود صور مُعلَّمة لم تُرحَّل. والفارق الحقيقي في إعدادات المعالجة المسبقة عند توليد كل نسخة: فالكاشف الأصلي (النسخة ٢٠) قُسِّمت صوره إلى شبكة ٢×٢ (تقطيع/tiling) قبل التدريب، بينما لم يُطبَّق أي تقطيع على الكاشف الحالي. والتقطيع تقنية معروفة لتحسين كشف الكائنات الصغيرة والمتلاصقة تحديداً — وهي بالضبط طبيعة صور الرفوف هنا — لأنها تكبّر الحجم النسبي لكل منتج داخل الإطار الذي يراه النموذج. هذا تفسير قابل للاختبار المباشر (توليد نسخة جديدة بالتقطيع ذاته وإعادة التدريب)، ولم يُختبَر بعد عند كتابة هذا التقرير — مُدرَج كأول بند في القسم ١٠.</w:t>
      </w:r>
    </w:p>
    <w:p>
      <w:pPr>
        <w:keepNext/>
        <w:bidi/>
        <w:spacing w:before="240" w:after="140"/>
        <w:jc w:val="right"/>
      </w:pPr>
      <w:r>
        <w:rPr>
          <w:rFonts w:ascii="Times New Roman" w:hAnsi="Times New Roman" w:cs="Noto Naskh Arabic"/>
          <w:b/>
          <w:bCs w:val="1"/>
          <w:i w:val="0"/>
          <w:color w:val="1A3A5C"/>
          <w:sz w:val="24"/>
          <w:szCs w:val="24"/>
          <w:rtl/>
          <w:cs/>
        </w:rPr>
        <w:t>٦٫٢ التعقيد الحسابي: من ‎O(N×K)‎ إلى ‎O(N)‎</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الأول كان مُصنِّف المتغيّرات يعمل على كل قصاصة بصرف النظر عن علامتها، لأن خطوة الدمج كانت تختار النتيجة الصحيحة بعد التنفيذ لا قبله. وعلى صورة اختبارية حقيقية تضم ٦٠ منتجاً، عمل مُصنِّف Fanta على القصاصات الستين جميعها رغم أن ١٢ منها فقط كانت Fanta — أي أن ٤٨ استدعاءً من كل ٦٠ كانت مهدورة بالكامل. وبعدد المنتجات N وعدد مُصنِّفات المتغيّرات K، ينمو هذا العبء بحاصل ضربهما.</w:t>
      </w:r>
    </w:p>
    <w:p>
      <w:pPr>
        <w:keepNext w:val="0"/>
        <w:bidi/>
        <w:spacing w:after="160" w:before="0" w:line="348" w:lineRule="auto"/>
        <w:jc w:val="both"/>
      </w:pPr>
      <w:r>
        <w:rPr>
          <w:rFonts w:ascii="Times New Roman" w:hAnsi="Times New Roman" w:cs="Noto Naskh Arabic"/>
          <w:b w:val="0"/>
          <w:i w:val="0"/>
          <w:color w:val="111111"/>
          <w:sz w:val="23"/>
          <w:szCs w:val="23"/>
          <w:rtl/>
          <w:cs/>
        </w:rPr>
        <w:t>وبإدخال خطوة توجيه تُقيّم تسمية العلامة أولاً ثم تُنفِّذ الفرع المعني وحده، تصبح كل قصاصة مارّةً بمُصنِّف متغيّرات واحد على الأكثر — فينمو العبء مع N وحدها، بصرف النظر عن K. وقد قِيس هذا على الصورة ذاتها وتحت الظروف ذاتها، بتشغيل النسختين تباعاً عبر مسار الاستدعاء نفسه: انخفض زمن التصنيف من ٤٠٫٣٢ ثانية إلى ١٤٫٢٠ ثانية، أي بنسبة ٦٥٪ ووفراً قدره ٢٦٫١ ثانية، مع تطابق تام في المُخرَجات.</w:t>
      </w:r>
    </w:p>
    <w:p>
      <w:pPr>
        <w:keepNext w:val="0"/>
        <w:bidi/>
        <w:spacing w:after="160" w:before="0" w:line="348" w:lineRule="auto"/>
        <w:jc w:val="both"/>
      </w:pPr>
      <w:r>
        <w:rPr>
          <w:rFonts w:ascii="Times New Roman" w:hAnsi="Times New Roman" w:cs="Noto Naskh Arabic"/>
          <w:b w:val="0"/>
          <w:i w:val="0"/>
          <w:color w:val="111111"/>
          <w:sz w:val="23"/>
          <w:szCs w:val="23"/>
          <w:rtl/>
          <w:cs/>
        </w:rPr>
        <w:t>وأهمية هذه النتيجة أنها لا تتعلق بهذه الصورة بعينها بل بشكل النمو نفسه: فكل علامة تحصل مستقبلاً على مُصنِّف متغيّرات خاص بها كانت ستُضيف عبئاً على كل قصاصة في كل صورة تحت التصميم القديم، بينما تُضيف اليوم عبئاً ثابتاً لا يتراكم. وقد جرى تطبيق النمط مرتين خلال هذه الفترة — Fanta ثم XL Energy — والمكسب صامد مع مُصنِّفَين فعّالَين لا واحد.</w:t>
      </w:r>
    </w:p>
    <w:p>
      <w:pPr>
        <w:keepNext/>
        <w:spacing w:before="240" w:after="80"/>
        <w:jc w:val="center"/>
      </w:pPr>
      <w:r>
        <w:drawing>
          <wp:inline xmlns:a="http://schemas.openxmlformats.org/drawingml/2006/main" xmlns:pic="http://schemas.openxmlformats.org/drawingml/2006/picture">
            <wp:extent cx="5544000" cy="2055878"/>
            <wp:docPr id="2" name="Picture 2"/>
            <wp:cNvGraphicFramePr>
              <a:graphicFrameLocks noChangeAspect="1"/>
            </wp:cNvGraphicFramePr>
            <a:graphic>
              <a:graphicData uri="http://schemas.openxmlformats.org/drawingml/2006/picture">
                <pic:pic>
                  <pic:nvPicPr>
                    <pic:cNvPr id="0" name="fig_complexity.png"/>
                    <pic:cNvPicPr/>
                  </pic:nvPicPr>
                  <pic:blipFill>
                    <a:blip r:embed="rId10"/>
                    <a:stretch>
                      <a:fillRect/>
                    </a:stretch>
                  </pic:blipFill>
                  <pic:spPr>
                    <a:xfrm>
                      <a:off x="0" y="0"/>
                      <a:ext cx="5544000" cy="205587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والنجمة هي القياس الفعلي عند K = ١ (‏١٢ استدعاءً بدل ٦٠)، أي أن المكسب الحقيقي أكبر من الحدّ الأعلى المرسوم. يميناً: الزمن المقيس على الصورة ذاتها قبل التوجيه وبعده.</w:t>
      </w:r>
    </w:p>
    <w:p>
      <w:pPr>
        <w:keepNext/>
        <w:bidi/>
        <w:spacing w:before="240" w:after="140"/>
        <w:jc w:val="right"/>
      </w:pPr>
      <w:r>
        <w:rPr>
          <w:rFonts w:ascii="Times New Roman" w:hAnsi="Times New Roman" w:cs="Noto Naskh Arabic"/>
          <w:b/>
          <w:bCs w:val="1"/>
          <w:i w:val="0"/>
          <w:color w:val="1A3A5C"/>
          <w:sz w:val="24"/>
          <w:szCs w:val="24"/>
          <w:rtl/>
          <w:cs/>
        </w:rPr>
        <w:t>٦٫٣ كلفة التدريب</w:t>
      </w:r>
    </w:p>
    <w:p>
      <w:pPr>
        <w:keepNext w:val="0"/>
        <w:bidi/>
        <w:spacing w:after="160" w:before="0" w:line="348" w:lineRule="auto"/>
        <w:jc w:val="both"/>
      </w:pPr>
      <w:r>
        <w:rPr>
          <w:rFonts w:ascii="Times New Roman" w:hAnsi="Times New Roman" w:cs="Noto Naskh Arabic"/>
          <w:b w:val="0"/>
          <w:i w:val="0"/>
          <w:color w:val="111111"/>
          <w:sz w:val="23"/>
          <w:szCs w:val="23"/>
          <w:rtl/>
          <w:cs/>
        </w:rPr>
        <w:t>المخاطرة المتوقَّعة من الانتقال من نموذج واحد إلى خمسة هي ارتفاع كلفة الحوسبة. والأرقام التالية محسوبة من أزمنة التدريب الفعلية المسجَّلة، وفق المعدل المُعلَن البالغ رصيداً واحداً لكل ثلاثين دقيقة تدريب على معالج رسوميات.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كلفة تدريب النماذج الخمسة العاملة حالياً في الإنتاج. لا تشمل النسخ المتجاوَزة.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٦٧٫١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٢٫٢٤</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المجموعة الكاملة كلّفت أقل من ساعة وعشر دقائق من زمن معالج الرسوميات منذ البداية — جزء ضئيل من مخصصات شهر واحد في أرخص خطة مدفوعة. فالانتقال من نموذج واحد إلى خمسة لم يرفع كلفة التدريب بصورة معتبرة بينما رفع الدقة وغطّى ثلاثة محاور جديدة للمعلومة.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وثمة كلفة مقابلة لم تُقَس بعد وتُذكر هنا بدلاً من إغفالها: فخط المعالجة يُصدر الآن استدعاءات تصنيف لكل منتج مكتشَف لا لكل صورة، فرفّ مزدحم بعشرين منتجاً يستهلك أكثر بكثير من صورة تحوي منتجين. وهذا أثر تشغيلي حقيقي ينبغي قياسه من الاستخدام الحي قبل الاستشهاد به كرقم.</w:t>
      </w:r>
    </w:p>
    <w:p>
      <w:pPr>
        <w:keepNext/>
        <w:bidi/>
        <w:spacing w:before="240" w:after="140"/>
        <w:jc w:val="right"/>
      </w:pPr>
      <w:r>
        <w:rPr>
          <w:rFonts w:ascii="Times New Roman" w:hAnsi="Times New Roman" w:cs="Noto Naskh Arabic"/>
          <w:b/>
          <w:bCs w:val="1"/>
          <w:i w:val="0"/>
          <w:color w:val="1A3A5C"/>
          <w:sz w:val="24"/>
          <w:szCs w:val="24"/>
          <w:rtl/>
          <w:cs/>
        </w:rPr>
        <w:t>٦٫٤ الكلفة الحدّية لنمو الكتالوج</w:t>
      </w:r>
    </w:p>
    <w:p>
      <w:pPr>
        <w:keepNext w:val="0"/>
        <w:bidi/>
        <w:spacing w:after="160" w:before="0" w:line="348" w:lineRule="auto"/>
        <w:jc w:val="both"/>
      </w:pPr>
      <w:r>
        <w:rPr>
          <w:rFonts w:ascii="Times New Roman" w:hAnsi="Times New Roman" w:cs="Noto Naskh Arabic"/>
          <w:b w:val="0"/>
          <w:i w:val="0"/>
          <w:color w:val="111111"/>
          <w:sz w:val="23"/>
          <w:szCs w:val="23"/>
          <w:rtl/>
          <w:cs/>
        </w:rPr>
        <w:t>أهم رقم تجارياً ليس دقة النموذج بل كلفة إضافة منتج جديد. وتحت المعمارية الأصلية كانت هذه الكلفة متناسبة مع حجم الكتالوج كله، لأن كل إضافة تعني إعادة تدريب شاملة. أما تحت المعمارية الحالية فقد جرى قياسها مرتين عملياً: إضافة تمييز نكهات Fanta أولاً، ثم إضافة متغيّرات XL Energy لاحقاً. وفي الحالتين كان العمل هو نفسه — تعليم بضع مئات من القصاصات المتاحة أصلاً، وتدريب مُصنِّف صغير واحد، ووصله بخطوة توجيه — من دون أي مساس بالكاشف أو بمُصنِّف العلامة، وأُنجِز كلٌّ منهما خلال ساعات.</w:t>
      </w:r>
    </w:p>
    <w:p>
      <w:pPr>
        <w:keepNext w:val="0"/>
        <w:bidi/>
        <w:spacing w:after="160" w:before="0" w:line="348" w:lineRule="auto"/>
        <w:jc w:val="both"/>
      </w:pPr>
      <w:r>
        <w:rPr>
          <w:rFonts w:ascii="Times New Roman" w:hAnsi="Times New Roman" w:cs="Noto Naskh Arabic"/>
          <w:b w:val="0"/>
          <w:i w:val="0"/>
          <w:color w:val="111111"/>
          <w:sz w:val="23"/>
          <w:szCs w:val="23"/>
          <w:rtl/>
          <w:cs/>
        </w:rPr>
        <w:t>وينطبق الأمر نفسه على استقبال عميل جديد: فقاعدة البيانات مبنيّة متعددة المستأجرين منذ التصميم، بحيث تُعزَل بيانات كل شركة على مستوى قاعدة البيانات نفسها. أي أن إضافة شركة عملية إدخال بيانات، لا تغيير برمجي.</w:t>
      </w:r>
    </w:p>
    <w:p>
      <w:pPr>
        <w:keepNext/>
        <w:bidi/>
        <w:spacing w:before="360" w:after="140"/>
        <w:jc w:val="right"/>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منتجاً. فالمُخرَج الآلي على صور غير مضبوطة لا يمكن اعتباره نهائياً — الالتباس فيها بنيوي لا استثنائي — ولذلك طُوِّر بالتوازي تطبيق متعدد المنصّات يؤدي ثلاثة أدوار: توحيد معايير الالتقاط عند نقطة الجمع، وتشغيل خط المعالجة على الصورة، وإقحام مراجع بشري بين مُخرَج النموذج وأي رقم يُبلَّغ عنه بوصفه حقيقة.</w:t>
      </w:r>
    </w:p>
    <w:p>
      <w:pPr>
        <w:keepNext w:val="0"/>
        <w:bidi/>
        <w:spacing w:after="160" w:before="0" w:line="348" w:lineRule="auto"/>
        <w:jc w:val="both"/>
      </w:pPr>
      <w:r>
        <w:rPr>
          <w:rFonts w:ascii="Times New Roman" w:hAnsi="Times New Roman" w:cs="Noto Naskh Arabic"/>
          <w:b w:val="0"/>
          <w:i w:val="0"/>
          <w:color w:val="111111"/>
          <w:sz w:val="23"/>
          <w:szCs w:val="23"/>
          <w:rtl/>
          <w:cs/>
        </w:rPr>
        <w:t>ويتألف التطبيق حالياً من ٦٤ ملفاً مصدرياً بلغة Dart يبلغ مجموعها نحو ١١٬٨٠٠ سطر، يصحبها ٢٣ ملف اختبار بنحو ٤٬٧٠٠ سطر.</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تركيب التطبيق بحسب الطبقة المعمارية.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الطبقة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عدد الوحدات</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المسؤولية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الشاشات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المصادقة والالتقاط والمراجعة والإدارة وسير الزيارة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الخدمات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الكشف والكاميرا والمصادقة وحفظ الأسواق والزيارات</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النماذج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١٦</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الاكتشافات وصناديق الإحاطة وحصة الرف وملفات المستخدمين</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الودجات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طبقات عرض الاكتشافات والمحرِّرات ولوحات النتائج</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الإعداد والسمة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إعدادات زمن التشغيل ورموز العرض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ويُنفِّذ التطبيق سير عمل مُفرَّقاً بحسب الأدوار: يُعرِّف مسؤولو الشركة الأسواق الخاضعة للتدقيق ويراجعون طلبات الوصول، بينما يختار المندوبون سوقاً ويلتقطون صور الرفوف وتُحفَظ النتيجة منسوبةً إلى ذلك السوق ضمن زيارة مسجَّلة. وربط كل صورة بسوق معلوم لحظةَ الالتقاط هو ما يجعل البيانات المجموعة قابلة للتحليل التجاري لاحقاً بدلاً من أن تكون صوراً غير منسوبة.</w:t>
      </w:r>
    </w:p>
    <w:p>
      <w:pPr>
        <w:keepNext w:val="0"/>
        <w:bidi/>
        <w:spacing w:after="160" w:before="0" w:line="348" w:lineRule="auto"/>
        <w:jc w:val="both"/>
      </w:pPr>
      <w:r>
        <w:rPr>
          <w:rFonts w:ascii="Times New Roman" w:hAnsi="Times New Roman" w:cs="Noto Naskh Arabic"/>
          <w:b w:val="0"/>
          <w:i w:val="0"/>
          <w:color w:val="111111"/>
          <w:sz w:val="23"/>
          <w:szCs w:val="23"/>
          <w:rtl/>
          <w:cs/>
        </w:rPr>
        <w:t>ويسمح محرِّر الاكتشافات للمُشغِّل بمراجعة مُخرَج النموذج وتصحيحه قبل الإرسال — فحيثما يجعل الحجب أو زاوية التصوير التصنيفَ غير موثوق، يحسمه إنسان بدلاً من أن تنتشر تسمية ضعيفة الثقة إلى التقارير. وهذه التصحيحات تُشكّل في الوقت ذاته إشارةً خاضعة للإشراف صالحة لإعادة التدريب، فيُنتج الاستخدام الميداني الاعتيادي بياناتِ تدريب كناتج عرَضي.</w:t>
      </w:r>
    </w:p>
    <w:p>
      <w:pPr>
        <w:keepNext w:val="0"/>
        <w:bidi/>
        <w:spacing w:after="160" w:before="0" w:line="348" w:lineRule="auto"/>
        <w:jc w:val="both"/>
      </w:pPr>
      <w:r>
        <w:rPr>
          <w:rFonts w:ascii="Times New Roman" w:hAnsi="Times New Roman" w:cs="Noto Naskh Arabic"/>
          <w:b w:val="0"/>
          <w:i w:val="0"/>
          <w:color w:val="111111"/>
          <w:sz w:val="23"/>
          <w:szCs w:val="23"/>
          <w:rtl/>
          <w:cs/>
        </w:rPr>
        <w:t>وقد أُضيف خلال هذه الفترة ما يجعل البيانات المجموعة مقروءة فعلاً: واجهة تُظهر لمسؤول الشركة ما سجّله المندوبون (كانت البيانات تُكتب سابقاً من دون أن يقرأها أحد)، وتقرير لحصة الرف يفصّل نسبة كل علامة إلى متغيّراتها، وتحذير إلزامي عند الالتقاط من مسافة بعيدة يتعذّر معها العدّ الموثوق. كما باتت مادة التعبئة تُرافق التسمية ذاتها التي يعرضها التطبيق، لا حقلاً منفصلاً لا يقرأه أحد.</w:t>
      </w:r>
    </w:p>
    <w:p>
      <w:pPr>
        <w:keepNext/>
        <w:spacing w:before="240" w:after="80"/>
        <w:jc w:val="center"/>
      </w:pPr>
      <w:r>
        <w:drawing>
          <wp:inline xmlns:a="http://schemas.openxmlformats.org/drawingml/2006/main" xmlns:pic="http://schemas.openxmlformats.org/drawingml/2006/picture">
            <wp:extent cx="3891120" cy="5580000"/>
            <wp:docPr id="3" name="Picture 3"/>
            <wp:cNvGraphicFramePr>
              <a:graphicFrameLocks noChangeAspect="1"/>
            </wp:cNvGraphicFramePr>
            <a:graphic>
              <a:graphicData uri="http://schemas.openxmlformats.org/drawingml/2006/picture">
                <pic:pic>
                  <pic:nvPicPr>
                    <pic:cNvPr id="0" name="fig4_app.jpg"/>
                    <pic:cNvPicPr/>
                  </pic:nvPicPr>
                  <pic:blipFill>
                    <a:blip r:embed="rId11"/>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التطبيق وهو يراجع التقاطاً حياً: ٧٥ اكتشافاً في برّاد واحد مع حصص العلامات محسوبة أسفلها. وتزاحمُ التسميات الظاهر هنا ليس عيباً في العرض بل وصفٌ دقيق لكثافة المشهد الحقيقي، وهو بذاته الحجة على أن المراجعة البشرية جزء من التصميم لا حلٌّ احتياطي.</w:t>
      </w:r>
    </w:p>
    <w:p>
      <w:pPr>
        <w:keepNext/>
        <w:bidi/>
        <w:spacing w:before="360" w:after="140"/>
        <w:jc w:val="right"/>
      </w:pPr>
      <w:r>
        <w:rPr>
          <w:rFonts w:ascii="Times New Roman" w:hAnsi="Times New Roman" w:cs="Noto Naskh Arabic"/>
          <w:b/>
          <w:bCs w:val="1"/>
          <w:i w:val="0"/>
          <w:color w:val="1A3A5C"/>
          <w:sz w:val="28"/>
          <w:szCs w:val="28"/>
          <w:rtl/>
          <w:cs/>
        </w:rPr>
        <w:t>٨.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لم تكن الصعوبات الجوهرية في هذه الفترة خوارزمية. فقد كان الجزء الأصعب دائماً هو معرفة ما يفعله النظام فعلياً، في مقابل ما كان يبدو أنه يفعله.</w:t>
      </w:r>
    </w:p>
    <w:p>
      <w:pPr>
        <w:keepNext w:val="0"/>
        <w:bidi/>
        <w:spacing w:after="120" w:before="0" w:line="348" w:lineRule="auto"/>
        <w:jc w:val="both"/>
      </w:pPr>
      <w:r>
        <w:rPr>
          <w:rFonts w:ascii="Times New Roman" w:hAnsi="Times New Roman" w:cs="Noto Naskh Arabic"/>
          <w:b w:val="0"/>
          <w:i w:val="0"/>
          <w:color w:val="111111"/>
          <w:sz w:val="23"/>
          <w:szCs w:val="23"/>
          <w:rtl/>
          <w:cs/>
        </w:rPr>
        <w:t>أولاً: أعراض تشير بعيداً عن أسبابها. عند ضعف الأداء على صنف بعينه، تكون القراءة البديهية دائماً «النموذج يحتاج تدريباً أكثر». وقد تبيّن مراراً أن هذا خطأ. ففي حالة متغيّرات الكوكاكولا، لم يكن القيد في النموذج بل في البيانات نفسها: تدقيقٌ بصري لجميع القصاصات المتاحة البالغة ٣٠١ أظهر أن نحو ٩٥٪ منها للنسخة الكلاسيكية، من دون أي مثال مؤكد لـ Zero. ولا يمكن لأي قدر من التدريب أن يُنتج تمييزاً بين متغيّرات لا توجد صورها أصلاً. والدرس المنهجي أن تدقيق بيانات التدريب مباشرةً أسرع في الوصول إلى السبب من ضبط النموذج.</w:t>
      </w:r>
    </w:p>
    <w:p>
      <w:pPr>
        <w:keepNext w:val="0"/>
        <w:bidi/>
        <w:spacing w:after="120" w:before="0" w:line="348" w:lineRule="auto"/>
        <w:jc w:val="both"/>
      </w:pPr>
      <w:r>
        <w:rPr>
          <w:rFonts w:ascii="Times New Roman" w:hAnsi="Times New Roman" w:cs="Noto Naskh Arabic"/>
          <w:b w:val="0"/>
          <w:i w:val="0"/>
          <w:color w:val="111111"/>
          <w:sz w:val="23"/>
          <w:szCs w:val="23"/>
          <w:rtl/>
          <w:cs/>
        </w:rPr>
        <w:t>ثانياً: إخفاق صامت في محرّك سير العمل. عند إدخال خطوة التوجيه، عادت العلامات فارغة لكل قصاصة غير تابعة للفرع الموجَّه — رغم أن مُصنِّف العلامة كان قد صنّفها جميعاً بشكل صحيح. وقد استُهلِكت محاولتان قبل الوصول إلى السبب: أن المحرّك يُضيّق نطاق أي خطوة إلى أضيق نطاق بين مُدخلاتها، فمزجُ مُدخَل مارٍّ عبر بوابة توجيه بمُدخَل غير مارٍّ بها يُسقِط قيم الثاني بصمت — من دون رسالة خطأ. وكان الحل استخدام الكتلة المخصصة لدمج الفروع البديلة بدلاً من منطق مخصص مكتوب يدوياً. والدرس أن غياب رسالة الخطأ ليس دليل سلامة، وأن الإخفاق الصامت في هذه المنصات هو النمط الأخطر لأنه لا يُعلن عن نفسه.</w:t>
      </w:r>
    </w:p>
    <w:p>
      <w:pPr>
        <w:keepNext w:val="0"/>
        <w:bidi/>
        <w:spacing w:after="120" w:before="0" w:line="348" w:lineRule="auto"/>
        <w:jc w:val="both"/>
      </w:pPr>
      <w:r>
        <w:rPr>
          <w:rFonts w:ascii="Times New Roman" w:hAnsi="Times New Roman" w:cs="Noto Naskh Arabic"/>
          <w:b w:val="0"/>
          <w:i w:val="0"/>
          <w:color w:val="111111"/>
          <w:sz w:val="23"/>
          <w:szCs w:val="23"/>
          <w:rtl/>
          <w:cs/>
        </w:rPr>
        <w:t>ثالثاً: قيد في المنصة لا في العمل. تقييم الدقة الآلي للمُصنِّفات في منصة التدريب يعمل لحظة التدريب فقط، وضمن مستوى اشتراك مدفوع لا تملكه مساحة العمل الحالية، ولا توجد وسيلة لتشغيله لاحقاً على تدريب منتهٍ. ولهذا لا يحمل أيٌّ من المُصنِّفات الأربعة رقم دقة مسجَّلاً — لا لأن الخطوة أُغفِلت، بل لأن المنصة لم تُشغِّلها. وقد استلزم الوصول إلى هذا الاستنتاج استبعاد تفسيرات أكثر ترجيحاً أولاً قبل تأكيده من وثائق المنصة.</w:t>
      </w:r>
    </w:p>
    <w:p>
      <w:pPr>
        <w:keepNext w:val="0"/>
        <w:bidi/>
        <w:spacing w:after="120" w:before="0" w:line="348" w:lineRule="auto"/>
        <w:jc w:val="both"/>
      </w:pPr>
      <w:r>
        <w:rPr>
          <w:rFonts w:ascii="Times New Roman" w:hAnsi="Times New Roman" w:cs="Noto Naskh Arabic"/>
          <w:b w:val="0"/>
          <w:i w:val="0"/>
          <w:color w:val="111111"/>
          <w:sz w:val="23"/>
          <w:szCs w:val="23"/>
          <w:rtl/>
          <w:cs/>
        </w:rPr>
        <w:t>رابعاً: احتكاك العمل على بيانات كبيرة. استلزم تعليم أكثر من ١٬٤٠٠ صورة لمُصنِّف مادة التعبئة توزيع العمل على عدة عمليات متوازية، واصطدم بحدود جلسات حقيقية استوجبت استئنافاً في منتصف المهمة. وهذا ليس قيداً معمارياً، لكنه جزء واقعي من كلفة أي عمل على بيانات بهذا الحجم، ويُذكر لأنه يؤثر في تقدير زمن المهام المشابهة مستقبلاً.</w:t>
      </w:r>
    </w:p>
    <w:p>
      <w:pPr>
        <w:keepNext/>
        <w:bidi/>
        <w:spacing w:before="360" w:after="140"/>
        <w:jc w:val="right"/>
      </w:pPr>
      <w:r>
        <w:rPr>
          <w:rFonts w:ascii="Times New Roman" w:hAnsi="Times New Roman" w:cs="Noto Naskh Arabic"/>
          <w:b/>
          <w:bCs w:val="1"/>
          <w:i w:val="0"/>
          <w:color w:val="1A3A5C"/>
          <w:sz w:val="28"/>
          <w:szCs w:val="28"/>
          <w:rtl/>
          <w:cs/>
        </w:rPr>
        <w:t>٩. المخاطر والفجوات المفتوحة</w:t>
      </w:r>
    </w:p>
    <w:p>
      <w:pPr>
        <w:keepNext w:val="0"/>
        <w:bidi/>
        <w:spacing w:after="160" w:before="0" w:line="348" w:lineRule="auto"/>
        <w:jc w:val="both"/>
      </w:pPr>
      <w:r>
        <w:rPr>
          <w:rFonts w:ascii="Times New Roman" w:hAnsi="Times New Roman" w:cs="Noto Naskh Arabic"/>
          <w:b w:val="0"/>
          <w:i w:val="0"/>
          <w:color w:val="111111"/>
          <w:sz w:val="23"/>
          <w:szCs w:val="23"/>
          <w:rtl/>
          <w:cs/>
        </w:rPr>
        <w:t>مذكورة بترتيب أولوية الإغلاق، مع السبب الصادق وراء بقاء كلٍّ منها مفتوحاً:</w:t>
      </w:r>
    </w:p>
    <w:p>
      <w:pPr>
        <w:keepNext w:val="0"/>
        <w:bidi/>
        <w:spacing w:after="120" w:before="0" w:line="348" w:lineRule="auto"/>
        <w:jc w:val="both"/>
      </w:pPr>
      <w:r>
        <w:rPr>
          <w:rFonts w:ascii="Times New Roman" w:hAnsi="Times New Roman" w:cs="Noto Naskh Arabic"/>
          <w:b w:val="0"/>
          <w:i w:val="0"/>
          <w:color w:val="111111"/>
          <w:sz w:val="23"/>
          <w:szCs w:val="23"/>
          <w:rtl/>
          <w:cs/>
        </w:rPr>
        <w:t>١. لا يوجد رقم دقة مقيس لأي مُصنِّف. المُصنِّفات الأربعة تخدم حركة حية من دون تقييم مسجَّل، للسبب الوارد في القسم السابق. وسدّ هذه الفجوة يستوجب ترقية مستوى الاشتراك ثم إعادة تدريب، لا مجرد استدعاء إضافي. وإلى أن يحدث ذلك، لا يرد في هذا التقرير أي رقم دقة لمُصنِّف.</w:t>
      </w:r>
    </w:p>
    <w:p>
      <w:pPr>
        <w:keepNext w:val="0"/>
        <w:bidi/>
        <w:spacing w:after="120" w:before="0" w:line="348" w:lineRule="auto"/>
        <w:jc w:val="both"/>
      </w:pPr>
      <w:r>
        <w:rPr>
          <w:rFonts w:ascii="Times New Roman" w:hAnsi="Times New Roman" w:cs="Noto Naskh Arabic"/>
          <w:b w:val="0"/>
          <w:i w:val="0"/>
          <w:color w:val="111111"/>
          <w:sz w:val="23"/>
          <w:szCs w:val="23"/>
          <w:rtl/>
          <w:cs/>
        </w:rPr>
        <w:t>٢. فجوة استدعاء الكاشف غير مفسَّرة بعد بشكل قاطع. الفرضية الحالية — فارق إعداد التقطيع (tiling) بين النسختين، لا فارق في عدد الصور — مبنيّة على فحص إعدادات التوليد الفعلية، لكنها لم تُختبَر بإعادة تدريب فعلية بعد. اختبارها يستوجب تدريباً واحداً (نحو ٤٥ دقيقة)، لا بحثاً جديداً.</w:t>
      </w:r>
    </w:p>
    <w:p>
      <w:pPr>
        <w:keepNext w:val="0"/>
        <w:bidi/>
        <w:spacing w:after="120" w:before="0" w:line="348" w:lineRule="auto"/>
        <w:jc w:val="both"/>
      </w:pPr>
      <w:r>
        <w:rPr>
          <w:rFonts w:ascii="Times New Roman" w:hAnsi="Times New Roman" w:cs="Noto Naskh Arabic"/>
          <w:b w:val="0"/>
          <w:i w:val="0"/>
          <w:color w:val="111111"/>
          <w:sz w:val="23"/>
          <w:szCs w:val="23"/>
          <w:rtl/>
          <w:cs/>
        </w:rPr>
        <w:t>٣. متغيّرات الكوكاكولا غير موجودة في البيانات. تأكد ذلك بتدقيقين مستقلَّين. والحل تصويرٌ ميداني موجَّه، لا إعادة تنظيم للبيانات القائمة.</w:t>
      </w:r>
    </w:p>
    <w:p>
      <w:pPr>
        <w:keepNext w:val="0"/>
        <w:bidi/>
        <w:spacing w:after="120" w:before="0" w:line="348" w:lineRule="auto"/>
        <w:jc w:val="both"/>
      </w:pPr>
      <w:r>
        <w:rPr>
          <w:rFonts w:ascii="Times New Roman" w:hAnsi="Times New Roman" w:cs="Noto Naskh Arabic"/>
          <w:b w:val="0"/>
          <w:i w:val="0"/>
          <w:color w:val="111111"/>
          <w:sz w:val="23"/>
          <w:szCs w:val="23"/>
          <w:rtl/>
          <w:cs/>
        </w:rPr>
        <w:t>٤. مُصنِّف XL Energy غير متوازن بشدة. يستأثر صنف xl-classic بـ ٢٤٧ صورة من أصل ٢٩١، بينما لا يتجاوز كل من xl-mojito وxl-doublekick ست صور. المُصنِّف حيّ وقابل للاستخدام، لكن الأصناف النادرة فيه غير موثوقة عملياً حتى تُصوَّر أمثلة إضافية.</w:t>
      </w:r>
    </w:p>
    <w:p>
      <w:pPr>
        <w:keepNext w:val="0"/>
        <w:bidi/>
        <w:spacing w:after="120" w:before="0" w:line="348" w:lineRule="auto"/>
        <w:jc w:val="both"/>
      </w:pPr>
      <w:r>
        <w:rPr>
          <w:rFonts w:ascii="Times New Roman" w:hAnsi="Times New Roman" w:cs="Noto Naskh Arabic"/>
          <w:b w:val="0"/>
          <w:i w:val="0"/>
          <w:color w:val="111111"/>
          <w:sz w:val="23"/>
          <w:szCs w:val="23"/>
          <w:rtl/>
          <w:cs/>
        </w:rPr>
        <w:t>٥. الزجاج غير قابل للتدريب حالياً. لا تضم المدوَّنة كلها سوى ٢٢ صورة زجاجية، ولذلك حُصِر مُصنِّف مادة التعبئة عملياً في التمييز بين البلاستيك (‏٨٤٤ صورة) والعلب (‏٧٣٧ صورة)، وحُفِظت الصور الزجاجية جانباً بدلاً من إقحامها في أحد الصنفين.</w:t>
      </w:r>
    </w:p>
    <w:p>
      <w:pPr>
        <w:keepNext w:val="0"/>
        <w:bidi/>
        <w:spacing w:after="120" w:before="0" w:line="348" w:lineRule="auto"/>
        <w:jc w:val="both"/>
      </w:pPr>
      <w:r>
        <w:rPr>
          <w:rFonts w:ascii="Times New Roman" w:hAnsi="Times New Roman" w:cs="Noto Naskh Arabic"/>
          <w:b w:val="0"/>
          <w:i w:val="0"/>
          <w:color w:val="111111"/>
          <w:sz w:val="23"/>
          <w:szCs w:val="23"/>
          <w:rtl/>
          <w:cs/>
        </w:rPr>
        <w:t>٦. كلفة الاستدلال لكل منتج غير مقيسة. الأثر التشغيلي الوارد في القسم ٦٫٣ ينبغي أن يأتي من الاستخدام الحي قبل استخدامه في أي إسقاط مالي.</w:t>
      </w:r>
    </w:p>
    <w:p>
      <w:pPr>
        <w:keepNext/>
        <w:bidi/>
        <w:spacing w:before="360" w:after="140"/>
        <w:jc w:val="right"/>
      </w:pPr>
      <w:r>
        <w:rPr>
          <w:rFonts w:ascii="Times New Roman" w:hAnsi="Times New Roman" w:cs="Noto Naskh Arabic"/>
          <w:b/>
          <w:bCs w:val="1"/>
          <w:i w:val="0"/>
          <w:color w:val="1A3A5C"/>
          <w:sz w:val="28"/>
          <w:szCs w:val="28"/>
          <w:rtl/>
          <w:cs/>
        </w:rPr>
        <w:t>١٠. الخطوات القادمة وما نحتاجه</w:t>
      </w:r>
    </w:p>
    <w:p>
      <w:pPr>
        <w:keepNext w:val="0"/>
        <w:bidi/>
        <w:spacing w:after="160" w:before="0" w:line="348" w:lineRule="auto"/>
        <w:jc w:val="both"/>
      </w:pPr>
      <w:r>
        <w:rPr>
          <w:rFonts w:ascii="Times New Roman" w:hAnsi="Times New Roman" w:cs="Noto Naskh Arabic"/>
          <w:b w:val="0"/>
          <w:i w:val="0"/>
          <w:color w:val="111111"/>
          <w:sz w:val="23"/>
          <w:szCs w:val="23"/>
          <w:rtl/>
          <w:cs/>
        </w:rPr>
        <w:t>العمل القادم مرتّب بحسب ما يمكن إنجازه فوراً مقابل ما يعتمد على مُدخَل خارجي.</w:t>
      </w:r>
    </w:p>
    <w:p>
      <w:pPr>
        <w:keepNext w:val="0"/>
        <w:bidi/>
        <w:spacing w:after="160" w:before="0" w:line="348" w:lineRule="auto"/>
        <w:jc w:val="both"/>
      </w:pPr>
      <w:r>
        <w:rPr>
          <w:rFonts w:ascii="Times New Roman" w:hAnsi="Times New Roman" w:cs="Noto Naskh Arabic"/>
          <w:b w:val="0"/>
          <w:i w:val="0"/>
          <w:color w:val="111111"/>
          <w:sz w:val="23"/>
          <w:szCs w:val="23"/>
          <w:rtl/>
          <w:cs/>
        </w:rPr>
        <w:t>أولاً، ما لا يحتاج شيئاً من خارج الفريق: توليد نسخة جديدة من الكاشف المحايد صنفياً بإعداد تقطيع ٢×٢ مطابق للكاشف الأصلي، وتدريبها، لاختبار فرضية القسم ٦٫١ مباشرةً — تدريب واحد يحسم السؤال بدلاً من افتراضه؛ ثم تدقيق ما تبقّى من العلامات (‏Cappy تحديداً، إذ تأكّد وجود تنوّع حقيقي في نكهاتها) لتحديد أيها يستحق مُصنِّف متغيّرات خاصاً به؛ ثم قياس كلفة الاستدلال الفعلية من الاستخدام الحي. وكل بند من هذه يقع في نطاق ساعات إلى أيام لا أسابيع، استناداً إلى الزمن الذي استغرقه فعلياً بناء مُصنِّفَي Fanta وXL Energy.</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المحور الأصعب تقنياً وهو تقدير الحجم — أي التمييز بين العبوة نصف اللتر ونظيرتها لتراً ونصف من الصورة وحدها. والخطوة الأولى فيه ليست تقنية بل استقصائية: التحقق مما إذا كان الحجم مُلتبِساً أصلاً في هذا السوق، إذ إن كثيراً من التركيبات (علامة + نكهة + نوع عبوة) قد لا تُباع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أما ما نحتاجه من خارج الفريق، وهو ما يحدّ التقدّم فعلياً، فثلاثة أمور. أولها جولة تصوير ميداني موجَّهة تغطي ثلاث فجوات محددة: متغيّرات الكوكاكولا الحقيقية، والمنتجات المعبَّأة بالزجاج، ومتغيّرات XL Energy ناقصة التمثيل. وهذه ليست مسألة جهد هندسي — فالبيانات ببساطة غير موجودة، ولا يُنتجها أي قدر إضافي من العمل على النماذج. ويلزم معها مجموعة تحقق للحجم من ٥٠ إلى ١٠٠ صورة يكون الحجم الحقيقي فيها معلوماً بيقين، إذ يتعذّر تقييم أي نهج لتقدير الحجم من دونها.</w:t>
      </w:r>
    </w:p>
    <w:p>
      <w:pPr>
        <w:keepNext w:val="0"/>
        <w:bidi/>
        <w:spacing w:after="160" w:before="0" w:line="348" w:lineRule="auto"/>
        <w:jc w:val="both"/>
      </w:pPr>
      <w:r>
        <w:rPr>
          <w:rFonts w:ascii="Times New Roman" w:hAnsi="Times New Roman" w:cs="Noto Naskh Arabic"/>
          <w:b w:val="0"/>
          <w:i w:val="0"/>
          <w:color w:val="111111"/>
          <w:sz w:val="23"/>
          <w:szCs w:val="23"/>
          <w:rtl/>
          <w:cs/>
        </w:rPr>
        <w:t>وثانيها قرار بشأن ترقية مستوى الاشتراك الذي يحجب التقييم الآلي للمُصنِّفات. فهذه اليوم أكبر فجوة منفردة بين ما يفعله النظام وما يمكن الإبلاغ عنه رسمياً بشأن جودة أدائه — النظام يعمل، لكننا لا نملك رقماً موثّقاً نضعه أمام عميل.</w:t>
      </w:r>
    </w:p>
    <w:p>
      <w:pPr>
        <w:keepNext w:val="0"/>
        <w:bidi/>
        <w:spacing w:after="160" w:before="0" w:line="348" w:lineRule="auto"/>
        <w:jc w:val="both"/>
      </w:pPr>
      <w:r>
        <w:rPr>
          <w:rFonts w:ascii="Times New Roman" w:hAnsi="Times New Roman" w:cs="Noto Naskh Arabic"/>
          <w:b w:val="0"/>
          <w:i w:val="0"/>
          <w:color w:val="111111"/>
          <w:sz w:val="23"/>
          <w:szCs w:val="23"/>
          <w:rtl/>
          <w:cs/>
        </w:rPr>
        <w:t>وثالثها توجيه لا يستطيع الفريق التقني إصداره وحده: ما هي عتبة الدقة التي تُعدّ جاهزة للإنتاج في هذا المجال؟ فنقطة التشغيل الصحيحة — ومن ثمّ مدى ميل النظام إلى إحالة القرار للمراجعة البشرية بدلاً من الحسم آلياً — حكمٌ تجاري يتعلق بما يقبله العميل، لا مسألة تقنية. وتحديدها سيُشكّل مباشرةً الجولة القادمة من عمل الضبط.</w:t>
      </w:r>
    </w:p>
    <w:p>
      <w:pPr>
        <w:keepNext/>
        <w:bidi/>
        <w:spacing w:before="360" w:after="140"/>
        <w:jc w:val="right"/>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الاستنتاج الأول لهذه الفترة معماري لا خوارزمي: أن قابلية الصيانة في مجال يتّسع كتالوجه باستمرار تتحدد بكيفية توزيع المسؤوليات بين المكوّنات أكثر مما تتحدد بدقة أي نموذج منفرد. فعزل الجزء المتقلّب من المشكلة عن الجزء المستقر هو ما حوّل نمو الكتالوج من عملية إعادة تدريب إلى عملية إضافة بيانات.</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الثاني أن شكل النمو يستحق القياس بقدر ما تستحقه الدقة. فالفارق بين ‎O(N×K)‎ و‎O(N)‎ لا يظهر في صورة واحدة، لكنه يحدد ما إذا كان النظام سيظل عملياً بعد عشر علامات تجارية أو سينهار تحت وزنه. وقياس ذلك مبكراً — قبل أن يصبح K كبيراً — كان أرخص بكثير من اكتشافه لاحقاً.</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الثالث أن جودة البيانات تُقيّد سقف أي معمارية. فأكثر ما أخّر التقدّم في هذه الفترة لم يكن قصوراً في النماذج بل غياب أمثلة حقيقية لما نطلب من النظام تمييزه. ولذلك فإن أهم بند في خطة المرحلة القادمة ليس بنداً هندسياً على الإطلاق،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وأخيراً، فإن ما تحقّق حتى الآن — كاشف أدقّ على ثلث البيانات، وأربع طبقات تصنيف عاملة، ومعمارية توجيه مُثبَتة مرتين، وتطبيق ميداني يُنتج تقارير حقيقية — يمثّل أساساً صالحاً للبناء عليه، لا منتجاً مكتملاً. والفجوات المذكورة في القسم التاسع محددة ومعروفة الكلفة، وليس فيها ما يشير إلى خلل في التصميم الأساسي؛ وهذا في تقديري أهم ما يمكن قوله بعد ثلاثة أسابيع.</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