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فصل التوطين عن الهوية في التدقيق الآلي لرفوف التجزئة</w:t>
      </w:r>
    </w:p>
    <w:p>
      <w:pPr>
        <w:keepNext w:val="0"/>
        <w:bidi/>
        <w:spacing w:after="1280" w:before="0" w:line="348" w:lineRule="auto"/>
        <w:jc w:val="center"/>
      </w:pPr>
      <w:r>
        <w:rPr>
          <w:rFonts w:ascii="Times New Roman" w:hAnsi="Times New Roman" w:cs="Noto Naskh Arabic"/>
          <w:b w:val="0"/>
          <w:i w:val="0"/>
          <w:color w:val="555555"/>
          <w:sz w:val="28"/>
          <w:szCs w:val="28"/>
          <w:rtl/>
          <w:cs/>
        </w:rPr>
        <w:t>دراسة تطبيقية في معمارية أنظمة الرؤية الحاسوبية القابلة للتوسّع</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البحث:  </w:t>
      </w:r>
      <w:r>
        <w:rPr>
          <w:rFonts w:ascii="Times New Roman" w:hAnsi="Times New Roman" w:cs="Noto Naskh Arabic"/>
          <w:b w:val="0"/>
          <w:i w:val="0"/>
          <w:color w:val="111111"/>
          <w:sz w:val="23"/>
          <w:szCs w:val="23"/>
          <w:rtl/>
          <w:cs/>
        </w:rPr>
        <w:t>٢٧ تموز ٢٠٢٦ – ١٨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١٨ آب ٢٠٢٦</w:t>
      </w:r>
    </w:p>
    <w:p>
      <w:r>
        <w:br w:type="page"/>
      </w:r>
    </w:p>
    <w:p>
      <w:pPr>
        <w:keepNext/>
        <w:bidi/>
        <w:spacing w:before="360" w:after="140"/>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تتناول هذه الدراسة مسألة معمارية في أنظمة الرؤية الحاسوبية التطبيقية: كيف تُوزَّع مسؤوليتا تحديد موضع الجسم وتحديد هويته على مكوّنات النظام، وما أثر هذا التوزيع في الدقة وفي كلفة التوسّع. والمجال التطبيقي هو التدقيق الآلي لرفوف التجزئة، حيث تُحوَّل صورة فوتوغرافية لرفّ تجاري إلى جرد مُهيكل للمنتجات وحصص العلامات التجارية.</w:t>
      </w:r>
    </w:p>
    <w:p>
      <w:pPr>
        <w:keepNext w:val="0"/>
        <w:bidi/>
        <w:spacing w:after="160" w:before="0" w:line="348" w:lineRule="auto"/>
        <w:jc w:val="both"/>
      </w:pPr>
      <w:r>
        <w:rPr>
          <w:rFonts w:ascii="Times New Roman" w:hAnsi="Times New Roman" w:cs="Noto Naskh Arabic"/>
          <w:b w:val="0"/>
          <w:i w:val="0"/>
          <w:color w:val="111111"/>
          <w:sz w:val="22"/>
          <w:szCs w:val="22"/>
          <w:rtl/>
          <w:cs/>
        </w:rPr>
        <w:t>يقارن البحث نهجين. النهج الأول ‏(v1)‎ طبقة واحدة لكشف الكائنات، أصنافها هي العلامات التجارية مباشرةً — أي نموذج واحد يجيب عن السؤالين معاً. والنهج الثاني ‏(v2)‎ معمارية متعددة الطبقات تفصلهما: كاشف محايد صنفياً يحدد المواضع دون معرفة بالهوية، تليه مُصنِّفات مستقلة موجَّهة شرطياً تحدد العلامة ثم المتغيّر ثم مادة التعبئة. وقُيِّم النهجان تحت البروتوكول ذاته وعلى معمارية النموذج ذاتها، انطلاقاً من مجموعة الصور المصدرية نفسها.</w:t>
      </w:r>
    </w:p>
    <w:p>
      <w:pPr>
        <w:keepNext w:val="0"/>
        <w:bidi/>
        <w:spacing w:after="160" w:before="0" w:line="348" w:lineRule="auto"/>
        <w:jc w:val="both"/>
      </w:pPr>
      <w:r>
        <w:rPr>
          <w:rFonts w:ascii="Times New Roman" w:hAnsi="Times New Roman" w:cs="Noto Naskh Arabic"/>
          <w:b w:val="0"/>
          <w:i w:val="0"/>
          <w:color w:val="111111"/>
          <w:sz w:val="22"/>
          <w:szCs w:val="22"/>
          <w:rtl/>
          <w:cs/>
        </w:rPr>
        <w:t>وجميع أرقام الدقة في هذه الدراسة مقيسة عند عتبة ثقة موحّدة قدرها ٠٫٧٠ — لا عند العتبة المثلى الخاصة بكل صنف، إذ إن نظاماً واحداً لا يستطيع تشغيل عتبة مختلفة لكل صنف. وتفوّق النهج متعدد الطبقات في مقاييس الكشف الستة جميعاً: متوسط دقة ٩٣٫٣٣٪ مقابل ٨٨٫٦٢٪، وmAP50-95 يبلغ ٧٦٫٤٩٪ مقابل ٧٠٫٠٩٪، واستدعاء ٨٠٫٧٪ مقابل ٧٤٫٠٪ — وذلك رغم أن النهج الأحادي قُيِّم على قصاصات مُكبَّرة تمثّل الظرف الأيسر للكشف. ويُظهر التفصيل الصنفي للنهج الأحادي تضوّراً في الإشارة: تفاوت يبلغ ٦٫٣٥ نقطة بين أصنافه المُمثَّلة، وانهيار كامل لصنف غير مُمثَّل.</w:t>
      </w:r>
    </w:p>
    <w:p>
      <w:pPr>
        <w:keepNext w:val="0"/>
        <w:bidi/>
        <w:spacing w:after="160" w:before="0" w:line="348" w:lineRule="auto"/>
        <w:jc w:val="both"/>
      </w:pPr>
      <w:r>
        <w:rPr>
          <w:rFonts w:ascii="Times New Roman" w:hAnsi="Times New Roman" w:cs="Noto Naskh Arabic"/>
          <w:b w:val="0"/>
          <w:i w:val="0"/>
          <w:color w:val="111111"/>
          <w:sz w:val="22"/>
          <w:szCs w:val="22"/>
          <w:rtl/>
          <w:cs/>
        </w:rPr>
        <w:t>كما خُفِّض التعقيد الحسابي لطبقة تصنيف المتغيّرات من ‎O(N×K)‎ إلى ‎O(N)‎ بإدخال توجيه شرطي، وقِيس أثر ذلك مباشرةً بانخفاض زمن المعالجة ٦٥٪ مع تطابق تام في المُخرَجات. وبلغت الكلفة الحدّية لإضافة علامة جديدة إلى الكتالوج نحو أربع دقائق من زمن معالج الرسوميات، وقد تكرّر قياسها أربع مرات. والنتيجة الجامعة أن كل ضعف مُقاس في المنظومة يرتد إلى ندرة بيانات محدّدة قابلة للعدّ، لا إلى قصور في المعمارية أو في اختيار النموذج.</w:t>
      </w:r>
    </w:p>
    <w:p>
      <w:r>
        <w:br w:type="page"/>
      </w:r>
    </w:p>
    <w:p>
      <w:pPr>
        <w:keepNext/>
        <w:bidi/>
        <w:spacing w:before="360" w:after="140"/>
      </w:pPr>
      <w:r>
        <w:rPr>
          <w:rFonts w:ascii="Times New Roman" w:hAnsi="Times New Roman" w:cs="Noto Naskh Arabic"/>
          <w:b/>
          <w:bCs w:val="1"/>
          <w:i w:val="0"/>
          <w:color w:val="1A3A5C"/>
          <w:sz w:val="28"/>
          <w:szCs w:val="28"/>
          <w:rtl/>
          <w:cs/>
        </w:rPr>
        <w:t>١. المقدمة</w:t>
      </w:r>
    </w:p>
    <w:p>
      <w:pPr>
        <w:keepNext/>
        <w:bidi/>
        <w:spacing w:before="240" w:after="140"/>
      </w:pPr>
      <w:r>
        <w:rPr>
          <w:rFonts w:ascii="Times New Roman" w:hAnsi="Times New Roman" w:cs="Noto Naskh Arabic"/>
          <w:b/>
          <w:bCs w:val="1"/>
          <w:i w:val="0"/>
          <w:color w:val="1A3A5C"/>
          <w:sz w:val="24"/>
          <w:szCs w:val="24"/>
          <w:rtl/>
          <w:cs/>
        </w:rPr>
        <w:t>١٫١ المشكلة التطبيقية</w:t>
      </w:r>
    </w:p>
    <w:p>
      <w:pPr>
        <w:keepNext w:val="0"/>
        <w:bidi/>
        <w:spacing w:after="160" w:before="0" w:line="348" w:lineRule="auto"/>
        <w:jc w:val="both"/>
      </w:pPr>
      <w:r>
        <w:rPr>
          <w:rFonts w:ascii="Times New Roman" w:hAnsi="Times New Roman" w:cs="Noto Naskh Arabic"/>
          <w:b w:val="0"/>
          <w:i w:val="0"/>
          <w:color w:val="111111"/>
          <w:sz w:val="23"/>
          <w:szCs w:val="23"/>
          <w:rtl/>
          <w:cs/>
        </w:rPr>
        <w:t>حصة العلامة التجارية على الرف — عدد الوحدات المعروضة ونصيبها من المساحة المرئية — مؤشر تجاري يدفع المصنِّعون وتجار التجزئة ثمن معرفته. ويُجمَع اليوم يدوياً عبر مندوبين يجولون المتاجر ويسجّلون ما يرونه، وهي عملية بطيئة ومكلفة عند التوسّع ومتفاوتة الجودة بحسب انتباه القائم بها.</w:t>
      </w:r>
    </w:p>
    <w:p>
      <w:pPr>
        <w:keepNext w:val="0"/>
        <w:bidi/>
        <w:spacing w:after="160" w:before="0" w:line="348" w:lineRule="auto"/>
        <w:jc w:val="both"/>
      </w:pPr>
      <w:r>
        <w:rPr>
          <w:rFonts w:ascii="Times New Roman" w:hAnsi="Times New Roman" w:cs="Noto Naskh Arabic"/>
          <w:b w:val="0"/>
          <w:i w:val="0"/>
          <w:color w:val="111111"/>
          <w:sz w:val="23"/>
          <w:szCs w:val="23"/>
          <w:rtl/>
          <w:cs/>
        </w:rPr>
        <w:t>وأتمتة هذه العملية تتطلب من النظام أن يميّز كل منتج معروض عن جاره تمييزاً منفصلاً — إذ لا يكفي معرفة أن العلامة حاضرة، بل يجب عدّ وحداتها. ومن هنا يلزم التوطين: لا بوصفه ناتجاً مطلوباً في ذاته، بل بوصفه الوسيلة التي تفصل النسخ المتشابهة بعضها عن بعض فيصبح العدّ ممكناً.</w:t>
      </w:r>
    </w:p>
    <w:p>
      <w:pPr>
        <w:keepNext/>
        <w:bidi/>
        <w:spacing w:before="240" w:after="140"/>
      </w:pPr>
      <w:r>
        <w:rPr>
          <w:rFonts w:ascii="Times New Roman" w:hAnsi="Times New Roman" w:cs="Noto Naskh Arabic"/>
          <w:b/>
          <w:bCs w:val="1"/>
          <w:i w:val="0"/>
          <w:color w:val="1A3A5C"/>
          <w:sz w:val="24"/>
          <w:szCs w:val="24"/>
          <w:rtl/>
          <w:cs/>
        </w:rPr>
        <w:t>١٫٢ الفرضية</w:t>
      </w:r>
    </w:p>
    <w:p>
      <w:pPr>
        <w:keepNext w:val="0"/>
        <w:bidi/>
        <w:spacing w:after="160" w:before="0" w:line="348" w:lineRule="auto"/>
        <w:jc w:val="both"/>
      </w:pPr>
      <w:r>
        <w:rPr>
          <w:rFonts w:ascii="Times New Roman" w:hAnsi="Times New Roman" w:cs="Noto Naskh Arabic"/>
          <w:b w:val="0"/>
          <w:i w:val="0"/>
          <w:color w:val="111111"/>
          <w:sz w:val="23"/>
          <w:szCs w:val="23"/>
          <w:rtl/>
          <w:cs/>
        </w:rPr>
        <w:t>تنطلق الدراسة من ملاحظة أن للسؤالين — أين، وما هو — خصائص مختلفة جوهرياً. فالتوطين مسألة مستقرة: «هل يوجد جسم معروض هنا؟» سؤال بصري عام لا تتغيّر إجابته بتغيّر كتالوج المنتجات، وقابل للتعلّم من أي مجموعة منتجات. أما الهوية فمسألة متقلّبة: كتالوج السوق يتغيّر باستمرار، فمنتجات تدخل وأخرى تخرج ونكهات تُستحدث.</w:t>
      </w:r>
    </w:p>
    <w:p>
      <w:pPr>
        <w:keepNext w:val="0"/>
        <w:bidi/>
        <w:spacing w:after="160" w:before="0" w:line="348" w:lineRule="auto"/>
        <w:jc w:val="both"/>
      </w:pPr>
      <w:r>
        <w:rPr>
          <w:rFonts w:ascii="Times New Roman" w:hAnsi="Times New Roman" w:cs="Noto Naskh Arabic"/>
          <w:b w:val="0"/>
          <w:i w:val="0"/>
          <w:color w:val="111111"/>
          <w:sz w:val="23"/>
          <w:szCs w:val="23"/>
          <w:rtl/>
          <w:cs/>
        </w:rPr>
        <w:t>والفرضية أن كَبْل هاتين المسألتين في نموذج واحد يفرض كلفة مضاعفة: كلفة اقتصادية، إذ يستوجب كل تغيّر في الكتالوج إعادة تدريب النموذج كله؛ وكلفة إحصائية، إذ تُقسَّم إشارة تدريب محدودة على أصناف متعددة فيتضوّر كلٌّ منها.</w:t>
      </w:r>
    </w:p>
    <w:p>
      <w:pPr>
        <w:keepNext/>
        <w:bidi/>
        <w:spacing w:before="240" w:after="140"/>
      </w:pPr>
      <w:r>
        <w:rPr>
          <w:rFonts w:ascii="Times New Roman" w:hAnsi="Times New Roman" w:cs="Noto Naskh Arabic"/>
          <w:b/>
          <w:bCs w:val="1"/>
          <w:i w:val="0"/>
          <w:color w:val="1A3A5C"/>
          <w:sz w:val="24"/>
          <w:szCs w:val="24"/>
          <w:rtl/>
          <w:cs/>
        </w:rPr>
        <w:t>١٫٣ الإسهامات</w:t>
      </w:r>
    </w:p>
    <w:p>
      <w:pPr>
        <w:keepNext w:val="0"/>
        <w:bidi/>
        <w:spacing w:after="120" w:before="0" w:line="348" w:lineRule="auto"/>
        <w:jc w:val="both"/>
      </w:pPr>
      <w:r>
        <w:rPr>
          <w:rFonts w:ascii="Times New Roman" w:hAnsi="Times New Roman" w:cs="Noto Naskh Arabic"/>
          <w:b w:val="0"/>
          <w:i w:val="0"/>
          <w:color w:val="111111"/>
          <w:sz w:val="23"/>
          <w:szCs w:val="23"/>
          <w:rtl/>
          <w:cs/>
        </w:rPr>
        <w:t>١. دليل تجريبي مقيس على أن فصل التوطين عن الهوية يحسّن أداء الكشف من مجموعة الصور المصدرية ذاتها، مع توثيق آلية التحسّن عبر التفصيل الصنفي.</w:t>
      </w:r>
    </w:p>
    <w:p>
      <w:pPr>
        <w:keepNext w:val="0"/>
        <w:bidi/>
        <w:spacing w:after="120" w:before="0" w:line="348" w:lineRule="auto"/>
        <w:jc w:val="both"/>
      </w:pPr>
      <w:r>
        <w:rPr>
          <w:rFonts w:ascii="Times New Roman" w:hAnsi="Times New Roman" w:cs="Noto Naskh Arabic"/>
          <w:b w:val="0"/>
          <w:i w:val="0"/>
          <w:color w:val="111111"/>
          <w:sz w:val="23"/>
          <w:szCs w:val="23"/>
          <w:rtl/>
          <w:cs/>
        </w:rPr>
        <w:t>٢. معمارية توجيه شرطي تجعل كلفة طبقة تصنيف المتغيّرات مستقلة عن اتساع الكتالوج ‏(O(N)‎ بدل ‎O(N×K))‎، مع قياس مباشر لأثرها الزمني.</w:t>
      </w:r>
    </w:p>
    <w:p>
      <w:pPr>
        <w:keepNext w:val="0"/>
        <w:bidi/>
        <w:spacing w:after="120" w:before="0" w:line="348" w:lineRule="auto"/>
        <w:jc w:val="both"/>
      </w:pPr>
      <w:r>
        <w:rPr>
          <w:rFonts w:ascii="Times New Roman" w:hAnsi="Times New Roman" w:cs="Noto Naskh Arabic"/>
          <w:b w:val="0"/>
          <w:i w:val="0"/>
          <w:color w:val="111111"/>
          <w:sz w:val="23"/>
          <w:szCs w:val="23"/>
          <w:rtl/>
          <w:cs/>
        </w:rPr>
        <w:t>٣. قياس متكرّر للكلفة الحدّية لتوسيع الكتالوج تحت المعمارية المقترحة.</w:t>
      </w:r>
    </w:p>
    <w:p>
      <w:pPr>
        <w:keepNext w:val="0"/>
        <w:bidi/>
        <w:spacing w:after="120" w:before="0" w:line="348" w:lineRule="auto"/>
        <w:jc w:val="both"/>
      </w:pPr>
      <w:r>
        <w:rPr>
          <w:rFonts w:ascii="Times New Roman" w:hAnsi="Times New Roman" w:cs="Noto Naskh Arabic"/>
          <w:b w:val="0"/>
          <w:i w:val="0"/>
          <w:color w:val="111111"/>
          <w:sz w:val="23"/>
          <w:szCs w:val="23"/>
          <w:rtl/>
          <w:cs/>
        </w:rPr>
        <w:t>٤. نتيجة تصميمية في التعلّم النشط: إثبات أن أخذ العيّنات المستند إلى عتبة الثقة عاجز بنيوياً عن التقاط الخطأ الواثق، واقتراح معيار بديل.</w:t>
      </w:r>
    </w:p>
    <w:p>
      <w:pPr>
        <w:keepNext/>
        <w:bidi/>
        <w:spacing w:before="360" w:after="140"/>
      </w:pPr>
      <w:r>
        <w:rPr>
          <w:rFonts w:ascii="Times New Roman" w:hAnsi="Times New Roman" w:cs="Noto Naskh Arabic"/>
          <w:b/>
          <w:bCs w:val="1"/>
          <w:i w:val="0"/>
          <w:color w:val="1A3A5C"/>
          <w:sz w:val="28"/>
          <w:szCs w:val="28"/>
          <w:rtl/>
          <w:cs/>
        </w:rPr>
        <w:t>٢. صياغة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لتكن صورة رفّ تحوي N منتجاً معروضاً. المطلوب من النظام إنتاج جرد مُهيكل: عدد الوحدات لكل تسمية مميّزة، ومنه تُشتق حصة كل علامة من المساحة المعروضة. والتسمية المستهدفة مركّبة من محاور مستقلة على النمط: ‏{العلامة}-{نوع العبوة}-{المتغيّر}-{الحجم}‎.</w:t>
      </w:r>
    </w:p>
    <w:p>
      <w:pPr>
        <w:keepNext w:val="0"/>
        <w:bidi/>
        <w:spacing w:after="160" w:before="0" w:line="348" w:lineRule="auto"/>
        <w:jc w:val="both"/>
      </w:pPr>
      <w:r>
        <w:rPr>
          <w:rFonts w:ascii="Times New Roman" w:hAnsi="Times New Roman" w:cs="Noto Naskh Arabic"/>
          <w:b w:val="0"/>
          <w:i w:val="0"/>
          <w:color w:val="111111"/>
          <w:sz w:val="23"/>
          <w:szCs w:val="23"/>
          <w:rtl/>
          <w:cs/>
        </w:rPr>
        <w:t>وقد أُنجزت المحاور الثلاثة الأولى في هذه الدراسة — العلامة، والمتغيّر، ومادة التعبئة — بينما محور الحجم هو الخطوة التالية المخطَّط لها، ويُناقَش في القسم ١٠.</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التوطين لا يظهر في هذا الناتج. فهو مطلب داخلي لا ناتج نهائي: وظيفته فصل المنتجات المتجاورة بعضها عن بعض حتى يصحّ العدّ، وفصل مناطق الصورة حتى تصلح كلٌّ منها مُدخَلاً لطبقة تصنيف لاحقة. وهذا التمييز جوهري في هذه الدراسة، لأنه ما يجعل تحرير التوطين من عبء الهوية ممكناً أصلاً.</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الأول ‏(v1)‎. كاشف واحد يتعلّم دالّة تربط الصورة مباشرةً بمجموعة من (منطقة، علامة تجارية). وكلفة إضافة علامة جديدة هنا إعادة تدريب كاملة، أي دالّة في حجم الكتالوج كله لا في حجم الإضافة.</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الثاني ‏(v2)‎. كاشف محايد صنفياً يُنتج المناطق تحت صنف عام واحد، تليه دوالّ تصنيف مستقلة تعمل على المناطق المقتطعة. وكلفة إضافة علامة هنا تدريب مُصنِّف صغير واحد، مستقلة عن بقية النظام.</w:t>
      </w:r>
    </w:p>
    <w:p>
      <w:pPr>
        <w:keepNext w:val="0"/>
        <w:bidi/>
        <w:spacing w:after="160" w:before="0" w:line="348" w:lineRule="auto"/>
        <w:jc w:val="both"/>
      </w:pPr>
      <w:r>
        <w:rPr>
          <w:rFonts w:ascii="Times New Roman" w:hAnsi="Times New Roman" w:cs="Noto Naskh Arabic"/>
          <w:b w:val="0"/>
          <w:i w:val="0"/>
          <w:color w:val="111111"/>
          <w:sz w:val="23"/>
          <w:szCs w:val="23"/>
          <w:rtl/>
          <w:cs/>
        </w:rPr>
        <w:t>ويطرح النهج الثاني مسألته الخاصة: إذا وُجد K مُصنِّف متغيّرات وشُغِّل كلٌّ منها على كل منطقة، فعدد الاستدعاءات ‎O(N×K)‎ رغم أن استدعاءً واحداً من كل K مفيد فعلاً. وهذا ما يعالجه القسم ٤.</w:t>
      </w:r>
    </w:p>
    <w:p>
      <w:pPr>
        <w:keepNext/>
        <w:bidi/>
        <w:spacing w:before="360" w:after="140"/>
      </w:pPr>
      <w:r>
        <w:rPr>
          <w:rFonts w:ascii="Times New Roman" w:hAnsi="Times New Roman" w:cs="Noto Naskh Arabic"/>
          <w:b/>
          <w:bCs w:val="1"/>
          <w:i w:val="0"/>
          <w:color w:val="1A3A5C"/>
          <w:sz w:val="28"/>
          <w:szCs w:val="28"/>
          <w:rtl/>
          <w:cs/>
        </w:rPr>
        <w:t>٣. المنهجية</w:t>
      </w:r>
    </w:p>
    <w:p>
      <w:pPr>
        <w:keepNext/>
        <w:bidi/>
        <w:spacing w:before="240" w:after="140"/>
      </w:pPr>
      <w:r>
        <w:rPr>
          <w:rFonts w:ascii="Times New Roman" w:hAnsi="Times New Roman" w:cs="Noto Naskh Arabic"/>
          <w:b/>
          <w:bCs w:val="1"/>
          <w:i w:val="0"/>
          <w:color w:val="1A3A5C"/>
          <w:sz w:val="24"/>
          <w:szCs w:val="24"/>
          <w:rtl/>
          <w:cs/>
        </w:rPr>
        <w:t>٣٫١ بروتوكول التقييم</w:t>
      </w:r>
    </w:p>
    <w:p>
      <w:pPr>
        <w:keepNext w:val="0"/>
        <w:bidi/>
        <w:spacing w:after="160" w:before="0" w:line="348" w:lineRule="auto"/>
        <w:jc w:val="both"/>
      </w:pPr>
      <w:r>
        <w:rPr>
          <w:rFonts w:ascii="Times New Roman" w:hAnsi="Times New Roman" w:cs="Noto Naskh Arabic"/>
          <w:b w:val="0"/>
          <w:i w:val="0"/>
          <w:color w:val="111111"/>
          <w:sz w:val="23"/>
          <w:szCs w:val="23"/>
          <w:rtl/>
          <w:cs/>
        </w:rPr>
        <w:t>قُيِّم النهجان تحت شروط موحّدة قدر الإمكان: معمارية النموذج ذاتها ‏(rfdetr-large)‎ فلا يُعزى الفارق إلى اختلاف السعة؛ ومجموعة الصور المصدرية ذاتها، إذ يحمل كل من المشروعين ٢٢٧ صورة خام وهي الصور نفسها؛ وأداة التقييم ذاتها مُشغَّلة على مجموعة اختبار محجوبة في الحالتين. وجميع الأرقام مأخوذة من أدوات المنصّة مباشرةً، ولم يُقدَّر أي رقم؛ وحيثما لا يوجد قياس يُذكر ذلك صراحةً.</w:t>
      </w:r>
    </w:p>
    <w:p>
      <w:pPr>
        <w:keepNext w:val="0"/>
        <w:bidi/>
        <w:spacing w:after="160" w:before="0" w:line="348" w:lineRule="auto"/>
        <w:jc w:val="both"/>
      </w:pPr>
      <w:r>
        <w:rPr>
          <w:rFonts w:ascii="Times New Roman" w:hAnsi="Times New Roman" w:cs="Noto Naskh Arabic"/>
          <w:b w:val="0"/>
          <w:i w:val="0"/>
          <w:color w:val="111111"/>
          <w:sz w:val="23"/>
          <w:szCs w:val="23"/>
          <w:rtl/>
          <w:cs/>
        </w:rPr>
        <w:t>وثمة فارق لا يمكن توحيده، ويُذكر صراحةً لأنه يمسّ تفسير النتائج: يختلف أنبوب المعالجة المسبقة بين النسختين اختلافاً جوهرياً.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أنبوبا المعالجة المسبقة. الفارق في عدد الصور ناتج عن التوسيع لا عن بيانات مصدرية إضافية.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v1 (النسخة ٢٠)</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v2 (النسخة 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الصور بعد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التدريب / التحقق / الاختبار</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٩٨٢ / ١١٢ / ٩٧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٣١٦ / ٣٤ / ٣٤</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اقتصاص ثابت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الربع الأوسط فقط</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تقطيع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التوسيع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قلب أفقي، دوران ١٥°</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ضبابية، تعريض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كل صورة تقييم في v1 تمثّل نحو سُدس عُشر مساحة الصورة الأصلية، بتكبير خطّي يقارب ٤×، بينما تُقيَّم v2 على صور كاملة. ولهذا الفارق ثلاثة آثار في تفسير النتائج.</w:t>
      </w:r>
    </w:p>
    <w:p>
      <w:pPr>
        <w:keepNext w:val="0"/>
        <w:bidi/>
        <w:spacing w:after="120" w:before="0" w:line="348" w:lineRule="auto"/>
        <w:jc w:val="both"/>
      </w:pPr>
      <w:r>
        <w:rPr>
          <w:rFonts w:ascii="Times New Roman" w:hAnsi="Times New Roman" w:cs="Noto Naskh Arabic"/>
          <w:b w:val="0"/>
          <w:i w:val="0"/>
          <w:color w:val="111111"/>
          <w:sz w:val="23"/>
          <w:szCs w:val="23"/>
          <w:rtl/>
          <w:cs/>
        </w:rPr>
        <w:t>أولاً، الفارق في عدد صور التدريب (‏١٬١٩١ مقابل ٣٨٤) ليس فارقاً في البيانات المصدرية بل في أنبوب التوسيع؛ فالمصدر واحد.</w:t>
      </w:r>
    </w:p>
    <w:p>
      <w:pPr>
        <w:keepNext w:val="0"/>
        <w:bidi/>
        <w:spacing w:after="120" w:before="0" w:line="348" w:lineRule="auto"/>
        <w:jc w:val="both"/>
      </w:pPr>
      <w:r>
        <w:rPr>
          <w:rFonts w:ascii="Times New Roman" w:hAnsi="Times New Roman" w:cs="Noto Naskh Arabic"/>
          <w:b w:val="0"/>
          <w:i w:val="0"/>
          <w:color w:val="111111"/>
          <w:sz w:val="23"/>
          <w:szCs w:val="23"/>
          <w:rtl/>
          <w:cs/>
        </w:rPr>
        <w:t>ثانياً، التقطيع يُكبِّر الأجسام نسبةً إلى الإطار، وهو إعداد أيسر للكشف لا أعسر. أي أن أي تفوّق للنهج متعدد الطبقات في هذه المقارنة يتحقق رغم أن خصمه قُيِّم في الظرف الأسهل — وهو ما يجعل النتيجة متحفِّظة لا مُبالِغة.</w:t>
      </w:r>
    </w:p>
    <w:p>
      <w:pPr>
        <w:keepNext w:val="0"/>
        <w:bidi/>
        <w:spacing w:after="120" w:before="0" w:line="348" w:lineRule="auto"/>
        <w:jc w:val="both"/>
      </w:pPr>
      <w:r>
        <w:rPr>
          <w:rFonts w:ascii="Times New Roman" w:hAnsi="Times New Roman" w:cs="Noto Naskh Arabic"/>
          <w:b w:val="0"/>
          <w:i w:val="0"/>
          <w:color w:val="111111"/>
          <w:sz w:val="23"/>
          <w:szCs w:val="23"/>
          <w:rtl/>
          <w:cs/>
        </w:rPr>
        <w:t>ثالثاً، لا تصحّ مقارنة الأداء مُفصَّلاً بحسب حجم الجسم بين النسختين، لأن فئات «صغير/متوسط/كبير» تُحسب نسبةً إلى الصورة المُقيَّمة؛ فالجسم «الصغير» في قصاصة مُكبَّرة أصغر فيزيائياً بكثير من نظيره في صورة كاملة. ولهذا تُعرَض هذه الأرقام في القسم ٥٫١ توصيفاً للنظام الحالي وحده، لا مقارنةً.</w:t>
      </w:r>
    </w:p>
    <w:p>
      <w:pPr>
        <w:keepNext/>
        <w:bidi/>
        <w:spacing w:before="240" w:after="140"/>
      </w:pPr>
      <w:r>
        <w:rPr>
          <w:rFonts w:ascii="Times New Roman" w:hAnsi="Times New Roman" w:cs="Noto Naskh Arabic"/>
          <w:b/>
          <w:bCs w:val="1"/>
          <w:i w:val="0"/>
          <w:color w:val="1A3A5C"/>
          <w:sz w:val="24"/>
          <w:szCs w:val="24"/>
          <w:rtl/>
          <w:cs/>
        </w:rPr>
        <w:t>٣٫٢ التحقق السلوكي</w:t>
      </w:r>
    </w:p>
    <w:p>
      <w:pPr>
        <w:keepNext w:val="0"/>
        <w:bidi/>
        <w:spacing w:after="160" w:before="0" w:line="348" w:lineRule="auto"/>
        <w:jc w:val="both"/>
      </w:pPr>
      <w:r>
        <w:rPr>
          <w:rFonts w:ascii="Times New Roman" w:hAnsi="Times New Roman" w:cs="Noto Naskh Arabic"/>
          <w:b w:val="0"/>
          <w:i w:val="0"/>
          <w:color w:val="111111"/>
          <w:sz w:val="23"/>
          <w:szCs w:val="23"/>
          <w:rtl/>
          <w:cs/>
        </w:rPr>
        <w:t>اعتُمد مبدأ منهجي ثبتت أهميته تجريبياً: لا يُعتدّ بادّعاء عن سلوك النظام إلا إذا تحقّق باستدلال فعلي على صورة حقيقية. فقد تبيّن أكثر من مرة أن فحص الإعدادات يُعطي انطباعاً بالسلامة بينما السلوك الفعلي مختلف، وأن مقاييس التدريب وحدها لا تكشف ذلك.</w:t>
      </w:r>
    </w:p>
    <w:p>
      <w:pPr>
        <w:keepNext/>
        <w:bidi/>
        <w:spacing w:before="240" w:after="140"/>
      </w:pPr>
      <w:r>
        <w:rPr>
          <w:rFonts w:ascii="Times New Roman" w:hAnsi="Times New Roman" w:cs="Noto Naskh Arabic"/>
          <w:b/>
          <w:bCs w:val="1"/>
          <w:i w:val="0"/>
          <w:color w:val="1A3A5C"/>
          <w:sz w:val="24"/>
          <w:szCs w:val="24"/>
          <w:rtl/>
          <w:cs/>
        </w:rPr>
        <w:t>٣٫٣ تدقيق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عند ضعف الأداء على صنف بعينه، اعتُمد التدقيق البصري المباشر لبيانات التدريب أداةً تشخيصية أولى قبل أي ضبط للنموذج. وطُوِّرت لذلك طريقة تُنزَّل فيها قصاصات الصنف وتُرتَّب في صفحات تباين شبكية مرتّبة بإشارة رخيصة لكنها دالّة — نسبة الأبعاد تفصل العلب عن الزجاجات، واللون السائد يفصل النكهات — فيصبح الحكم البشري ممكناً على نطاقات كاملة دفعةً واحدة بدل صورة بعد صورة. وقد أرجعت هذه الطريقة، في كل حالة فُحصت، سببَ الضعف إلى البيانات لا إلى النموذج.</w:t>
      </w:r>
    </w:p>
    <w:p>
      <w:pPr>
        <w:keepNext/>
        <w:bidi/>
        <w:spacing w:before="360" w:after="140"/>
      </w:pPr>
      <w:r>
        <w:rPr>
          <w:rFonts w:ascii="Times New Roman" w:hAnsi="Times New Roman" w:cs="Noto Naskh Arabic"/>
          <w:b/>
          <w:bCs w:val="1"/>
          <w:i w:val="0"/>
          <w:color w:val="1A3A5C"/>
          <w:sz w:val="28"/>
          <w:szCs w:val="28"/>
          <w:rtl/>
          <w:cs/>
        </w:rPr>
        <w:t>٤. المعمارية المقترحة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فضاء القرار مرحلةً بعد مرحلة، بحيث تكون كل طبقة صغيرة ومستقلة وقابلة للاستبدال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(محايد صنفياً). تُحدَّد مناطق المنتجات تحت صنف عام واحد. لا يحمل هذا النموذج أي معرفة بالهوية، فلا يستوجب إعادة تدريب عند تغيّر الكتالوج مهما اتّسع.</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وتُصنَّف بحسب الشركة المصنِّعة. طبقة مستقرة نسبياً، لأن مجموعة العلامات في سوق ما تتغيّر أبطأ بكثير من مجموعة المنتجات. وهي الطبقة الحرجة، لأن قرارها يحدد مسار كل ما بعده.</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بتوجيه شرطي. إذا كانت العلامة المُحدَّدة تملك مُصنِّف متغيّرات، تُشغِّل خطوة التوجيه ذلك المُصنِّف وحده؛ والمنطقة التي لا تنتمي إلى علامة موصولة لا تمرّ على أي مُصنِّف متغيّرات إطلاقاً. وأربع علامات موصولة بهذا النمط.</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مشترك واحد (علبة / بلاستيك / زجاج) يعمل على كل منطقة، لأن المادة خاصية فيزيائية مستقلة عن المصنِّع — فأي علامة تُضاف مستقبلاً تستفيد منه فوراً بلا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(المتغيّر إن وُجد، وإلا العلامة المجردة) وتضمّها إلى مادة التعبئة. والخاصية المعمارية الجوهرية أن التوجيه في المرحلة الثالثة يفصل تنفيذ المُصنِّف عن مجرد توفّر البيانات له — وهو ما يجعل النمو مستقلاً عن K، كما يبيّن القسم ٥٫٥.</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المحاور مستقلة تصميمياً: فمادة التعبئة لا تتوقف على العلامة، والمتغيّر يتوقف عليها. وهذا الاستقلال هو ما يسمح بإضافة محور الحجم لاحقاً كطبقة رابعة دون المساس بما سبقها.</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مقروءةً من مواصفة سير العمل الحيّة. والفارق الجوهري عن المعماريات المرحلية المعتادة هو خطوات التوجيه (باللون البرتقالي): فهي تفصل تنفيذ مُصنِّفات المتغيّرات عن مجرد توفّر البيانات لها، وهو ما يقيسه القسم ٥٫٥.</w:t>
      </w:r>
    </w:p>
    <w:p>
      <w:pPr>
        <w:keepNext/>
        <w:bidi/>
        <w:spacing w:before="360" w:after="140"/>
      </w:pPr>
      <w:r>
        <w:rPr>
          <w:rFonts w:ascii="Times New Roman" w:hAnsi="Times New Roman" w:cs="Noto Naskh Arabic"/>
          <w:b/>
          <w:bCs w:val="1"/>
          <w:i w:val="0"/>
          <w:color w:val="1A3A5C"/>
          <w:sz w:val="28"/>
          <w:szCs w:val="28"/>
          <w:rtl/>
          <w:cs/>
        </w:rPr>
        <w:t>٥. النتائج التجريبية</w:t>
      </w:r>
    </w:p>
    <w:p>
      <w:pPr>
        <w:keepNext/>
        <w:bidi/>
        <w:spacing w:before="240" w:after="140"/>
      </w:pPr>
      <w:r>
        <w:rPr>
          <w:rFonts w:ascii="Times New Roman" w:hAnsi="Times New Roman" w:cs="Noto Naskh Arabic"/>
          <w:b/>
          <w:bCs w:val="1"/>
          <w:i w:val="0"/>
          <w:color w:val="1A3A5C"/>
          <w:sz w:val="24"/>
          <w:szCs w:val="24"/>
          <w:rtl/>
          <w:cs/>
        </w:rPr>
        <w:t>٥٫١ الكشف: النهج الأحادي مقابل متعدد الطبقات</w:t>
      </w:r>
    </w:p>
    <w:p>
      <w:pPr>
        <w:keepNext w:val="0"/>
        <w:bidi/>
        <w:spacing w:after="160" w:before="0" w:line="348" w:lineRule="auto"/>
        <w:jc w:val="both"/>
      </w:pPr>
      <w:r>
        <w:rPr>
          <w:rFonts w:ascii="Times New Roman" w:hAnsi="Times New Roman" w:cs="Noto Naskh Arabic"/>
          <w:b w:val="0"/>
          <w:i w:val="0"/>
          <w:color w:val="111111"/>
          <w:sz w:val="23"/>
          <w:szCs w:val="23"/>
          <w:rtl/>
          <w:cs/>
        </w:rPr>
        <w:t>تُقاس دقة أي نظام تصنيف عند عتبة ثقة مُعلَنة: فالنموذج يُصدر مع كل تنبؤ درجةَ ثقة، ولا يُعتدّ بالتنبؤ إلا إذا تجاوزت هذه الدرجة عتبةً متفقاً عليها. وتعتمد هذه الدراسة عتبة موحّدة قدرها ٠٫٧٠ في كل رقم تصنيفي ترِد فيه — للكاشفين وللمُصنِّفات الستة جميعاً.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الاختيار منهجيّ لا شكليّ. فأداة التقييم تحسب لكل صنف «عتبته المثلى» الخاصة التي يبلغ عندها أفضل أداء ممكن، وهي تتراوح هنا بين صفر و٠٫٩١ بحسب الصنف. والإبلاغ عن كل صنف عند عتبته الخاصة يُنتج أرقاماً مرتفعة لكنها لا تصف نظاماً واحداً: فالنظام العامل لا يستطيع تشغيل عتبة مختلفة لكل صنف في آنٍ واحد. أما العتبة الموحّدة فتصف ما يحدث فعلاً حين تُشغَّل المنظومة كوحدة واحدة، وهي أشدّ صرامةً — فالأرقام أدناه أدنى من نظيرتها عند العتب المثلى، وهذا مقصود.</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أداء الكاشفين على مجموعة اختبار محجوبة، بأداة التقييم ذاتها ومعمارية النموذج ذاتها. الإحكام والاستدعاء وF1 عند عتبة ٠٫٧٠ للطرفين؛ ومقاييس mAP لا تتعلق بعتبة لأنها محسوبة عبر العتبات كلها.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المقياس</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v1 (أحادي، ٦ 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v2 (متعدد، صنف واحد)</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متوسط الدقة mAP50</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٨٨٫٦٢٪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‎+٤٫٧١‎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mAP50-95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٧٠٫٠٩٪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٧٦٫٤٩٪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mAP75</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٨٠٫٤٣٪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٨٧٫٥٧٪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‎+٧٫١٤‎</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‎+٦٫٧٠‎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‏F1</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‎+٤٫٣٠‎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يتفوّق النهج متعدد الطبقات في المقاييس الستة جميعاً، انطلاقاً من مجموعة الصور المصدرية ذاتها، ورغم أن النهج الأحادي قُيِّم على قصاصات مُكبَّرة تمثّل الظرف الأيسر للكشف (القسم ٣٫١). أي أن الفارق المُقاس حدٌّ أدنى للفارق الحقيقي على الأرجح، لا مبالغة فيه.</w:t>
      </w:r>
    </w:p>
    <w:p>
      <w:pPr>
        <w:keepNext w:val="0"/>
        <w:bidi/>
        <w:spacing w:after="160" w:before="0" w:line="348" w:lineRule="auto"/>
        <w:jc w:val="both"/>
      </w:pPr>
      <w:r>
        <w:rPr>
          <w:rFonts w:ascii="Times New Roman" w:hAnsi="Times New Roman" w:cs="Noto Naskh Arabic"/>
          <w:b w:val="0"/>
          <w:i w:val="0"/>
          <w:color w:val="111111"/>
          <w:sz w:val="23"/>
          <w:szCs w:val="23"/>
          <w:rtl/>
          <w:cs/>
        </w:rPr>
        <w:t>وأوسع الفوارق في الاستدعاء: ‏٨٠٫٧٪ مقابل ٧٤٫٠٪، أي ٦٫٧ نقاط. وهذا هو المقياس الأهم في هذا المجال، لأن منتجاً لم يُكتشَف يُفسِد الجرد ولا سبيل إلى استرجاعه لاحقاً، بينما الاكتشاف الزائد يصحّحه المراجع البشري. وأما الإحكام فمتقارب (‏٩٢٫٠٪ مقابل ٩١٫٦٪)، أي أن المكسب في الاستدعاء لم يُشترَ بتنازل عن الإحكام كما هي المقايضة المعتادة.</w:t>
      </w:r>
    </w:p>
    <w:p>
      <w:pPr>
        <w:keepNext w:val="0"/>
        <w:bidi/>
        <w:spacing w:after="160" w:before="0" w:line="348" w:lineRule="auto"/>
        <w:jc w:val="both"/>
      </w:pPr>
      <w:r>
        <w:rPr>
          <w:rFonts w:ascii="Times New Roman" w:hAnsi="Times New Roman" w:cs="Noto Naskh Arabic"/>
          <w:b w:val="0"/>
          <w:i w:val="0"/>
          <w:color w:val="111111"/>
          <w:sz w:val="23"/>
          <w:szCs w:val="23"/>
          <w:rtl/>
          <w:cs/>
        </w:rPr>
        <w:t>وتوصيفاً للنظام الحالي وحده — لا مقارنةً، للسبب المذكور في القسم ٣٫١ — يبلغ أداؤه موزّعاً على أحجام الأجسام: ٩٢٫٣١٪ للصغيرة، و٩٤٫٤٧٪ للمتوسطة، و٩٦٫٩٨٪ للكبيرة. أي أنه يحافظ على أداء مرتفع عبر نطاق الأحجام كله، وهو مطلب عملي في صور الرفوف حيث تتفاوت أبعاد المنتجات تفاوتاً واسعاً داخل الإطار الواحد.</w:t>
      </w:r>
    </w:p>
    <w:p>
      <w:pPr>
        <w:keepNext/>
        <w:bidi/>
        <w:spacing w:before="240" w:after="140"/>
      </w:pPr>
      <w:r>
        <w:rPr>
          <w:rFonts w:ascii="Times New Roman" w:hAnsi="Times New Roman" w:cs="Noto Naskh Arabic"/>
          <w:b/>
          <w:bCs w:val="1"/>
          <w:i w:val="0"/>
          <w:color w:val="1A3A5C"/>
          <w:sz w:val="24"/>
          <w:szCs w:val="24"/>
          <w:rtl/>
          <w:cs/>
        </w:rPr>
        <w:t>٥٫٢ تضوّر الإشارة الصنفية</w:t>
      </w:r>
    </w:p>
    <w:p>
      <w:pPr>
        <w:keepNext w:val="0"/>
        <w:bidi/>
        <w:spacing w:after="160" w:before="0" w:line="348" w:lineRule="auto"/>
        <w:jc w:val="both"/>
      </w:pPr>
      <w:r>
        <w:rPr>
          <w:rFonts w:ascii="Times New Roman" w:hAnsi="Times New Roman" w:cs="Noto Naskh Arabic"/>
          <w:b w:val="0"/>
          <w:i w:val="0"/>
          <w:color w:val="111111"/>
          <w:sz w:val="23"/>
          <w:szCs w:val="23"/>
          <w:rtl/>
          <w:cs/>
        </w:rPr>
        <w:t>يكشف التفصيل الصنفي لأداء النهج الأحادي آلية القيد الإحصائي الذي تنبّأت به الفرضية. ويُعرَض هنا إلى جانب توزيع التعليم في المشروع نفسه، ليقابَل الأثر بسببه المباشر.</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مُخرَج النهج الأحادي على رفّ حقيقي: ٧٥ اكتشافاً، وكل تسمية عند مستوى العلامة التجارية وحده — وهو سقف هذا النهج بحكم بنيته، إذ إن أصنافه هي العلامات نفسها. وحصص الرف في الأسفل محسوبة عند المستوى ذاته. كما تظهر هنا ظروف المجال التي يصفها القسم ٧: كثافة عرض عالية، وحجب متبادل، وانعكاسات على الزجاج.</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الأداء الصنفي للكاشف الأحادي مقابل نصيب كل صنف من التعليم (عتبة ٠٫٧٠). المجموع ٤٬٨٧٩ تعليماً.</w:t>
      </w:r>
    </w:p>
    <w:tbl>
      <w:tblPr>
        <w:tblStyle w:val="TableGrid"/>
        <w:bidiVisual/>
        <w:tblW w:type="auto" w:w="0"/>
        <w:jc w:val="right"/>
        <w:tblLook w:firstColumn="1" w:firstRow="1" w:lastColumn="0" w:lastRow="0" w:noHBand="0" w:noVBand="1" w:val="04A0"/>
      </w:tblPr>
      <w:tblGrid>
        <w:gridCol w:w="1493"/>
        <w:gridCol w:w="1493"/>
        <w:gridCol w:w="1493"/>
        <w:gridCol w:w="1493"/>
        <w:gridCol w:w="1493"/>
        <w:gridCol w:w="1493"/>
      </w:tblGrid>
      <w:tr>
        <w:tc>
          <w:tcPr>
            <w:tcW w:type="dxa" w:w="1493"/>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التعليمات</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الحصة</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mAP50</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1493"/>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٢٬٠٧٩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٤٢٫٦٪</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٨٩٫٢٧٪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٩٦٫١٪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٧١٫٣٪</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٩٤٨</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١٩٫٤٪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٨٥٫٦٢٪</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٨٩٫٤٪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٧٥٫٠٪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٦٦١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١٣٫٥٪</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٩١٫٩٧٪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٩٦٫٩٪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٦٦٫٠٪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٦٥١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١٣٫٣٪</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٨٨٫٢٩٪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٧٨٫٥٪</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٤٠٩</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٨٫٤٪</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٨٧٫٩٨٪</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٨٧٫٥٪</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٧٩٫٠٪</w:t>
            </w:r>
          </w:p>
        </w:tc>
      </w:tr>
      <w:tr>
        <w:tc>
          <w:tcPr>
            <w:tcW w:type="dxa" w:w="1493"/>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١٣١</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٢٫٧٪</w:t>
            </w:r>
          </w:p>
        </w:tc>
        <w:tc>
          <w:tcPr>
            <w:tcW w:type="dxa" w:w="1493"/>
          </w:tcPr>
          <w:p>
            <w:pPr>
              <w:bidi/>
              <w:spacing w:before="60" w:after="60"/>
            </w:pPr>
            <w:r>
              <w:rPr>
                <w:rtl/>
                <w:cs/>
              </w:rPr>
            </w:r>
            <w:r>
              <w:rPr>
                <w:rFonts w:ascii="Times New Roman" w:hAnsi="Times New Roman" w:cs="Noto Naskh Arabic"/>
                <w:b w:val="0"/>
                <w:i w:val="0"/>
                <w:color w:val="111111"/>
                <w:sz w:val="20"/>
                <w:szCs w:val="20"/>
                <w:rtl/>
                <w:cs/>
              </w:rPr>
              <w:t>—</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٠٪</w:t>
            </w:r>
          </w:p>
        </w:tc>
        <w:tc>
          <w:tcPr>
            <w:tcW w:type="dxa" w:w="1493"/>
          </w:tcPr>
          <w:p>
            <w:pPr>
              <w:bidi/>
              <w:spacing w:before="60" w:after="60"/>
            </w:pPr>
            <w:r>
              <w:rPr>
                <w:rtl/>
                <w:cs/>
              </w:rPr>
            </w:r>
            <w:r>
              <w:rPr>
                <w:rFonts w:ascii="Times New Roman" w:hAnsi="Times New Roman" w:cs="Noto Naskh Arabic"/>
                <w:b w:val="0"/>
                <w:i w:val="0"/>
                <w:color w:val="111111"/>
                <w:sz w:val="20"/>
                <w:szCs w:val="20"/>
                <w:rtl/>
                <w:cs/>
              </w:rPr>
              <w:t>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يتفاوت الأداء ٦٫٣٥ نقطة بين أقوى الأصناف المُمثَّلة وأضعفها، وينهار صنف pepsi كلياً لانعدام تمثيله في مجموعة الاختبار. وهذا هو تضوّر الإشارة بعينه: إشارة تدريب محدودة مقسومة على ستة أصناف تُنتج أداءً متفاوتاً يحدّه أضعف صنف، لا أقواه.</w:t>
      </w:r>
    </w:p>
    <w:p>
      <w:pPr>
        <w:keepNext w:val="0"/>
        <w:bidi/>
        <w:spacing w:after="160" w:before="0" w:line="348" w:lineRule="auto"/>
        <w:jc w:val="both"/>
      </w:pPr>
      <w:r>
        <w:rPr>
          <w:rFonts w:ascii="Times New Roman" w:hAnsi="Times New Roman" w:cs="Noto Naskh Arabic"/>
          <w:b w:val="0"/>
          <w:i w:val="0"/>
          <w:color w:val="111111"/>
          <w:sz w:val="23"/>
          <w:szCs w:val="23"/>
          <w:rtl/>
          <w:cs/>
        </w:rPr>
        <w:t>ويستحق توزيع التعليم قراءةً دقيقة، لأنه لا يقول ما قد يُظن أنه يقوله. فالعلاقة بين عدد التعليمات والأداء ليست مطّردة بين الأصناف المُمثَّلة: يتفوّق xl_energy بـ ٦٦١ تعليماً على coca-cola بـ ٢٬٠٧٩ — أي أن مضاعفة البيانات ثلاث مرات لا تشتري بالضرورة دقة أعلى. والقراءة الصحيحة أن ثمة عتبةَ تمثيلٍ دنيا: فوقها يستقر الأداء في نطاق ضيّق لا يتحكم فيه الحجم وحده، وتحتها ينهار الصنف كلياً. وصنف pepsi، بحصة ٢٫٧٪، هو الوحيد الواقع تحت تلك العتبة — وهو الوحيد الذي انهار.</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المعمارية أن المشكلة ليست في ندرة البيانات إجمالاً بل في اقتسامها. فالقسمة على ستة أصناف هي ما دفع أضعفها تحت عتبة التمثيل؛ ولو وُجِّهت الإشارة نفسها كلها إلى صنف واحد لما وُجدت أصناف تحت العتبة أصلاً. وهذا بالضبط ما يفعله النهج التالي.</w:t>
      </w:r>
    </w:p>
    <w:p>
      <w:pPr>
        <w:keepNext w:val="0"/>
        <w:bidi/>
        <w:spacing w:after="160" w:before="0" w:line="348" w:lineRule="auto"/>
        <w:jc w:val="both"/>
      </w:pPr>
      <w:r>
        <w:rPr>
          <w:rFonts w:ascii="Times New Roman" w:hAnsi="Times New Roman" w:cs="Noto Naskh Arabic"/>
          <w:b w:val="0"/>
          <w:i w:val="0"/>
          <w:color w:val="111111"/>
          <w:sz w:val="23"/>
          <w:szCs w:val="23"/>
          <w:rtl/>
          <w:cs/>
        </w:rPr>
        <w:t>أما النهج متعدد الطبقات فيوحّد الإشارة كلها في صنف واحد بلغ ٩٣٫٣٣٪ — أعلى من كل صنف مفرد في النهج الأحادي — ويؤجّل التمييز إلى طبقات لاحقة تعمل على مناطق مقتطعة ومُعاد تحجيمها، أي بتفصيل بصري أوفر مما يتاح للكاشف على الصورة الكاملة. والدلالة أن الفصل لا يحسّن الكشف مصادفةً، بل لأنه يحرّر الكاشف من مهمة لا يملك التفصيل البصري الكافي لأدائها جيداً، ويوكلها إلى طبقة تملكه.</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يساراً: الأداء الصنفي للكاشف الأحادي، والخط المتقطّع هو أداء الكاشف المحايد صنفياً بصنفه الواحد. يميناً: المقاييس الرئيسية للنهجين، بأداة التقييم ذاتها.</w:t>
      </w:r>
    </w:p>
    <w:p>
      <w:pPr>
        <w:keepNext/>
        <w:bidi/>
        <w:spacing w:before="240" w:after="140"/>
      </w:pPr>
      <w:r>
        <w:rPr>
          <w:rFonts w:ascii="Times New Roman" w:hAnsi="Times New Roman" w:cs="Noto Naskh Arabic"/>
          <w:b/>
          <w:bCs w:val="1"/>
          <w:i w:val="0"/>
          <w:color w:val="1A3A5C"/>
          <w:sz w:val="24"/>
          <w:szCs w:val="24"/>
          <w:rtl/>
          <w:cs/>
        </w:rPr>
        <w:t>٥٫٣ أداء طبقات التصنيف</w:t>
      </w:r>
    </w:p>
    <w:p>
      <w:pPr>
        <w:keepNext/>
        <w:bidi/>
        <w:spacing w:before="240" w:after="100"/>
        <w:jc w:val="center"/>
      </w:pPr>
      <w:r>
        <w:rPr>
          <w:rFonts w:ascii="Times New Roman" w:hAnsi="Times New Roman" w:cs="Noto Naskh Arabic"/>
          <w:b/>
          <w:bCs w:val="1"/>
          <w:i w:val="0"/>
          <w:color w:val="555555"/>
          <w:sz w:val="19"/>
          <w:szCs w:val="19"/>
          <w:rtl/>
          <w:cs/>
        </w:rPr>
        <w:t xml:space="preserve">الجدول ٤. </w:t>
      </w:r>
      <w:r>
        <w:rPr>
          <w:rFonts w:ascii="Times New Roman" w:hAnsi="Times New Roman" w:cs="Noto Naskh Arabic"/>
          <w:b w:val="0"/>
          <w:i w:val="0"/>
          <w:color w:val="555555"/>
          <w:sz w:val="19"/>
          <w:szCs w:val="19"/>
          <w:rtl/>
          <w:cs/>
        </w:rPr>
        <w:t>الأداء الإجمالي لطبقات التصنيف الستة عند عتبة ٠٫٧٠، مرتّبة تنازلياً.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الإحكام</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‏F1</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العلامة التجارية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٨٩٫١٪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٩٤٫٠٪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٩٥٫٩٪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٧٩٫٦٪</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 Energy (المتغيّر)</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 (المتغيّر)</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 (النكهة)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٣٦٫٥٪</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ويتّضح من هذا الترتيب تدرّج منتظم: الطبقات الأعلى في الجدول هي الأقدم والأغزر بيانات، والأدنى هي الأحدث والأشحّ. ولا يوجد في هذا الترتيب ما يخالف ترتيب حجم البيانات — وهو ما يمهّد لتشخيص القسم التالي.</w:t>
      </w:r>
    </w:p>
    <w:p>
      <w:pPr>
        <w:keepNext/>
        <w:bidi/>
        <w:spacing w:before="240" w:after="100"/>
        <w:jc w:val="center"/>
      </w:pPr>
      <w:r>
        <w:rPr>
          <w:rFonts w:ascii="Times New Roman" w:hAnsi="Times New Roman" w:cs="Noto Naskh Arabic"/>
          <w:b/>
          <w:bCs w:val="1"/>
          <w:i w:val="0"/>
          <w:color w:val="555555"/>
          <w:sz w:val="19"/>
          <w:szCs w:val="19"/>
          <w:rtl/>
          <w:cs/>
        </w:rPr>
        <w:t xml:space="preserve">الجدول ٥. </w:t>
      </w:r>
      <w:r>
        <w:rPr>
          <w:rFonts w:ascii="Times New Roman" w:hAnsi="Times New Roman" w:cs="Noto Naskh Arabic"/>
          <w:b w:val="0"/>
          <w:i w:val="0"/>
          <w:color w:val="555555"/>
          <w:sz w:val="19"/>
          <w:szCs w:val="19"/>
          <w:rtl/>
          <w:cs/>
        </w:rPr>
        <w:t>طبقة العلامة التجارية عند عتبة ٠٫٧٠. الإحكام ١٠٠٪ لكل صنف مُمثَّل. المجموع ٤٧ عيّنة.</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عيّنات الاختبار</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إصابات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xl_energy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٨٥٫٧٪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sprite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w:t>
            </w:r>
          </w:p>
        </w:tc>
        <w:tc>
          <w:tcPr>
            <w:tcW w:type="dxa" w:w="2239"/>
          </w:tcPr>
          <w:p>
            <w:pPr>
              <w:bidi/>
              <w:spacing w:before="60" w:after="60"/>
            </w:pPr>
            <w:r>
              <w:rPr>
                <w:rtl/>
                <w:cs/>
              </w:rPr>
            </w:r>
            <w:r>
              <w:rPr>
                <w:rFonts w:ascii="Times New Roman" w:hAnsi="Times New Roman" w:cs="Noto Naskh Arabic"/>
                <w:b w:val="0"/>
                <w:i w:val="0"/>
                <w:color w:val="111111"/>
                <w:sz w:val="20"/>
                <w:szCs w:val="20"/>
                <w:rtl/>
                <w:cs/>
              </w:rPr>
              <w:t>—</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الإحكام ١٠٠٪ لكل علامة لها تصوير ميداني فعلي، حتى عند العتبة الصارمة. وهذه نتيجة حاسمة معمارياً: القرار الذي يعتمد عليه كل ما بعده لا يُخطئ عملياً — فحين يُصدر هذا المُصنِّف حكماً، يكون صحيحاً. فلا تُعزى أخطاء الطبقات اللاحقة إلى توجيه خاطئ، وهو شرط لازم لصحة أي استنتاج عن أداء تلك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٦. </w:t>
      </w:r>
      <w:r>
        <w:rPr>
          <w:rFonts w:ascii="Times New Roman" w:hAnsi="Times New Roman" w:cs="Noto Naskh Arabic"/>
          <w:b w:val="0"/>
          <w:i w:val="0"/>
          <w:color w:val="555555"/>
          <w:sz w:val="19"/>
          <w:szCs w:val="19"/>
          <w:rtl/>
          <w:cs/>
        </w:rPr>
        <w:t>طبقات المتغيّرات ومادة التعبئة عند عتبة ٠٫٧٠. الأصناف عديمة التمثيل غير مذكورة.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الأصناف (عيّنات: إصابات)</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مجموع الاختبار</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‏(١٢:١٢)، redapple ‏(٣:٣)، grape ‏(٣:٢)</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١٨</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plastic ‏(٨٨:٨٤)، can ‏(٧٠:٦٦)، glass ‏(٣:١)</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١٦١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‏(٢٤:٢٤)، red ‏(٤:٤)، sugarfree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classic ‏(٢٦:٢٦)، zero ‏(٣:٢)، diet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٣٠</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orange ‏(٦:٣)، grape ‏(٤:٣)، lemon ‏(٤:١)، mix ‏(٣:٠)، apple ‏(٢:٠)، mango ‏(٢:٢)، peach ‏(١:٠)، strawberry ‏(١:٠)</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٢٣</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وتكشف العتبة الموحّدة تمييزاً لا يظهر عند العتب المثلى، وهو من أهم ما أنتجه هذا التحليل: أن بعض الأصناف الضعيفة «ليست خاطئة بل غير واثقة». فصنف xl-sugarfree يبلغ ١٠٠٪ إحكاماً و١٠٠٪ استدعاءً عند عتبة ٠٫٤٠، ثم يسقط إلى صفر عند ٠٫٧٠ — أي أن النموذج يعرفه ويصيبه، لكن بدرجة ثقة بين العتبتين. وينطبق الأمر ذاته على cappy-strawberry وcappy-apple، وجزئياً على cappy-lemon (استدعاء ٥٠٪ عند ٠٫٤٠ ← ٢٥٪ عند ٠٫٧٠).</w:t>
      </w:r>
    </w:p>
    <w:p>
      <w:pPr>
        <w:keepNext w:val="0"/>
        <w:bidi/>
        <w:spacing w:after="160" w:before="0" w:line="348" w:lineRule="auto"/>
        <w:jc w:val="both"/>
      </w:pPr>
      <w:r>
        <w:rPr>
          <w:rFonts w:ascii="Times New Roman" w:hAnsi="Times New Roman" w:cs="Noto Naskh Arabic"/>
          <w:b w:val="0"/>
          <w:i w:val="0"/>
          <w:color w:val="111111"/>
          <w:sz w:val="23"/>
          <w:szCs w:val="23"/>
          <w:rtl/>
          <w:cs/>
        </w:rPr>
        <w:t>وهذه حالة مختلفة جوهرياً عن coca-diet وglass، اللذين يفشلان عند كل عتبة بلا استثناء. فالأول «متعلَّم لكن غير موثوق للحسم الآلي» ويُعالَج بمزيد من الأمثلة لترسيخ الثقة؛ والثاني «غير متعلَّم أصلاً» ويحتاج بيانات لتوجد أساساً. ولا يفرّق بين الحالتين تبويبٌ واحد عند العتبة المثلى لكل صنف — إذ يُظهرهما كليهما ناجحَين أو فاشلَين بحسب الصنف — وإنما تفرّق بينهما قراءة الأداء عبر عتبتين.</w:t>
      </w:r>
    </w:p>
    <w:p>
      <w:pPr>
        <w:keepNext w:val="0"/>
        <w:bidi/>
        <w:spacing w:after="160" w:before="0" w:line="348" w:lineRule="auto"/>
        <w:jc w:val="both"/>
      </w:pPr>
      <w:r>
        <w:rPr>
          <w:rFonts w:ascii="Times New Roman" w:hAnsi="Times New Roman" w:cs="Noto Naskh Arabic"/>
          <w:b w:val="0"/>
          <w:i w:val="0"/>
          <w:color w:val="111111"/>
          <w:sz w:val="23"/>
          <w:szCs w:val="23"/>
          <w:rtl/>
          <w:cs/>
        </w:rPr>
        <w:t>وفحص مصفوفات الالتباس عند هذه العتبة يكشف خاصية لافتة: في مُصنِّفات العلامة وFanta وXL وCoca وCappy «لا يوجد التباس واحد بين صنف وآخر في مجموعة الاختبار كلها». فكل خطأ عندها هو امتناع — أي أن النموذج لم يبلغ العتبة فصمت — لا تصنيف خاطئ. وفي طبقة العلامة مثلاً: ٤٧ عيّنة، ٣٩ إصابة، ٨ امتناعات، وصفر التباس.</w:t>
      </w:r>
    </w:p>
    <w:p>
      <w:pPr>
        <w:keepNext w:val="0"/>
        <w:bidi/>
        <w:spacing w:after="160" w:before="0" w:line="348" w:lineRule="auto"/>
        <w:jc w:val="both"/>
      </w:pPr>
      <w:r>
        <w:rPr>
          <w:rFonts w:ascii="Times New Roman" w:hAnsi="Times New Roman" w:cs="Noto Naskh Arabic"/>
          <w:b w:val="0"/>
          <w:i w:val="0"/>
          <w:color w:val="111111"/>
          <w:sz w:val="23"/>
          <w:szCs w:val="23"/>
          <w:rtl/>
          <w:cs/>
        </w:rPr>
        <w:t>وهذه خاصية ذات قيمة تشغيلية مباشرة: النظام لا يقول «سبرايت» عن كوكاكولا، بل إما يصيب أو يمتنع. والامتناع خطأ قابل للمعالجة، إذ يُحال إلى المراجعة البشرية ويُصحَّح؛ أما التصنيف الخاطئ الواثق فيتسرّب إلى التقرير من دون أن يثير شكاً. والاستثناء الوحيد مُصنِّف مادة التعبئة، وهو الوحيد الذي يُظهر التباساً حقيقياً (‏can مع plastic ثماني مرات، وglass إلى plastic مرتين) ولا يمتنع إطلاقاً — وهو أيضاً الوحيد الذي يعمل على خاصية فيزيائية لا على هوية تجارية.</w:t>
      </w:r>
    </w:p>
    <w:p>
      <w:pPr>
        <w:keepNext/>
        <w:bidi/>
        <w:spacing w:before="240" w:after="140"/>
      </w:pPr>
      <w:r>
        <w:rPr>
          <w:rFonts w:ascii="Times New Roman" w:hAnsi="Times New Roman" w:cs="Noto Naskh Arabic"/>
          <w:b/>
          <w:bCs w:val="1"/>
          <w:i w:val="0"/>
          <w:color w:val="1A3A5C"/>
          <w:sz w:val="24"/>
          <w:szCs w:val="24"/>
          <w:rtl/>
          <w:cs/>
        </w:rPr>
        <w:t>٥٫٤ موثوقية هذه الأرقام إحصائياً</w:t>
      </w:r>
    </w:p>
    <w:p>
      <w:pPr>
        <w:keepNext w:val="0"/>
        <w:bidi/>
        <w:spacing w:after="160" w:before="0" w:line="348" w:lineRule="auto"/>
        <w:jc w:val="both"/>
      </w:pPr>
      <w:r>
        <w:rPr>
          <w:rFonts w:ascii="Times New Roman" w:hAnsi="Times New Roman" w:cs="Noto Naskh Arabic"/>
          <w:b w:val="0"/>
          <w:i w:val="0"/>
          <w:color w:val="111111"/>
          <w:sz w:val="23"/>
          <w:szCs w:val="23"/>
          <w:rtl/>
          <w:cs/>
        </w:rPr>
        <w:t>تستوجب الأرقام أعلاه تحفّظاً صريحاً، وإغفاله يجعل التقرير مضلِّلاً مهما كانت أرقامه مقيسة: فمجموعات الاختبار صغيرة جداً، وكثير من نسب الـ ١٠٠٪ مبنيّ على عيّنات مفردة.</w:t>
      </w:r>
    </w:p>
    <w:p>
      <w:pPr>
        <w:keepNext/>
        <w:bidi/>
        <w:spacing w:before="240" w:after="100"/>
        <w:jc w:val="center"/>
      </w:pPr>
      <w:r>
        <w:rPr>
          <w:rFonts w:ascii="Times New Roman" w:hAnsi="Times New Roman" w:cs="Noto Naskh Arabic"/>
          <w:b/>
          <w:bCs w:val="1"/>
          <w:i w:val="0"/>
          <w:color w:val="555555"/>
          <w:sz w:val="19"/>
          <w:szCs w:val="19"/>
          <w:rtl/>
          <w:cs/>
        </w:rPr>
        <w:t xml:space="preserve">الجدول ٧. </w:t>
      </w:r>
      <w:r>
        <w:rPr>
          <w:rFonts w:ascii="Times New Roman" w:hAnsi="Times New Roman" w:cs="Noto Naskh Arabic"/>
          <w:b w:val="0"/>
          <w:i w:val="0"/>
          <w:color w:val="555555"/>
          <w:sz w:val="19"/>
          <w:szCs w:val="19"/>
          <w:rtl/>
          <w:cs/>
        </w:rPr>
        <w:t>مجالات ثقة ويلسون عند ٩٥٪ لأصناف سجّلت ١٠٠٪. الرقم ذاته، ودلالات مختلفة تماماً.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الإصابات/العيّنات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الاستدعاء</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مجال الثقة ٩٥٪</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sprite (علامة)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٢٠٫٧٪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 (علامة)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٣٤٫٢٪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cappy-mango</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٣٤٫٢٪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fanta-redapple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٤٣٫٨٪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xl-red</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٥١٫٠٪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fanta-orange</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١٢/١٢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٧٥٫٧٪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xl-classic</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٢٤/٢٤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٨٦٫٢٪ – ١٠٠٪</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coca-classic</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٢٦/٢٦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١٠٠٪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٨٧٫١٪ – ١٠٠٪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فصنف sprite يسجّل ١٠٠٪ على صورة اختبار واحدة فقط، ومجال الثقة الحقيقي لأدائه يمتد من ٢٠٫٧٪ إلى ١٠٠٪ — أي أن الرقم لا يحمل معلومة تُذكر. أما xl-classic بـ ٢٤ عيّنة فمجاله ٨٦٫٢٪–١٠٠٪، وهو قول ذو مضمون. والرقمان متطابقان ظاهرياً ومختلفان جوهرياً، ولا يُميَّز بينهما إلا بذكر عدد العيّنات — ولهذا تُذكر في كل جدول أعلاه.</w:t>
      </w:r>
    </w:p>
    <w:p>
      <w:pPr>
        <w:keepNext w:val="0"/>
        <w:bidi/>
        <w:spacing w:after="160" w:before="0" w:line="348" w:lineRule="auto"/>
        <w:jc w:val="both"/>
      </w:pPr>
      <w:r>
        <w:rPr>
          <w:rFonts w:ascii="Times New Roman" w:hAnsi="Times New Roman" w:cs="Noto Naskh Arabic"/>
          <w:b w:val="0"/>
          <w:i w:val="0"/>
          <w:color w:val="111111"/>
          <w:sz w:val="23"/>
          <w:szCs w:val="23"/>
          <w:rtl/>
          <w:cs/>
        </w:rPr>
        <w:t>ويترتب على صغر العيّنة أثر ثانٍ في الأرقام الإجمالية: فالمنصّة تحسب متوسطاً على الأصناف، فيتساوى صنف بـ ٢٤ عيّنة مع صنف بعيّنة واحدة. والمتوسط المرجّح بعدد العيّنات يعطي صورة مختلفة تماماً.</w:t>
      </w:r>
    </w:p>
    <w:p>
      <w:pPr>
        <w:keepNext/>
        <w:bidi/>
        <w:spacing w:before="240" w:after="100"/>
        <w:jc w:val="center"/>
      </w:pPr>
      <w:r>
        <w:rPr>
          <w:rFonts w:ascii="Times New Roman" w:hAnsi="Times New Roman" w:cs="Noto Naskh Arabic"/>
          <w:b/>
          <w:bCs w:val="1"/>
          <w:i w:val="0"/>
          <w:color w:val="555555"/>
          <w:sz w:val="19"/>
          <w:szCs w:val="19"/>
          <w:rtl/>
          <w:cs/>
        </w:rPr>
        <w:t xml:space="preserve">الجدول ٨. </w:t>
      </w:r>
      <w:r>
        <w:rPr>
          <w:rFonts w:ascii="Times New Roman" w:hAnsi="Times New Roman" w:cs="Noto Naskh Arabic"/>
          <w:b w:val="0"/>
          <w:i w:val="0"/>
          <w:color w:val="555555"/>
          <w:sz w:val="19"/>
          <w:szCs w:val="19"/>
          <w:rtl/>
          <w:cs/>
        </w:rPr>
        <w:t>الاستدعاء محسوباً بطريقتين. الأرقام المُعلَنة في هذه الدراسة هي متوسط الأصناف، وهو الأشدّ تحفّظاً.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pPr>
            <w:r>
              <w:rPr>
                <w:rtl/>
                <w:cs/>
              </w:rPr>
            </w:r>
            <w:r>
              <w:rPr>
                <w:rFonts w:ascii="Times New Roman" w:hAnsi="Times New Roman" w:cs="Noto Naskh Arabic"/>
                <w:b/>
                <w:bCs w:val="1"/>
                <w:i w:val="0"/>
                <w:color w:val="111111"/>
                <w:sz w:val="20"/>
                <w:szCs w:val="20"/>
                <w:rtl/>
                <w:cs/>
              </w:rPr>
              <w:t>المُصنِّف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متوسط الأصناف</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متوسط العيّنات</w:t>
            </w:r>
          </w:p>
        </w:tc>
        <w:tc>
          <w:tcPr>
            <w:tcW w:type="dxa" w:w="2239"/>
          </w:tcPr>
          <w:p>
            <w:pPr>
              <w:bidi/>
              <w:spacing w:before="60" w:after="60"/>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٦٦٫٧٪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٩٦٫٦٪ (٢٨/٢٩)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‎+٢٩٫٩‎</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٥٥٫٦٪</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٩٣٫٣٪ (٢٨/٣٠)</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‎+٣٧٫٧‎</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مادة التعبئة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٧٤٫٤٪</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٩٣٫٨٪ (١٥١/١٦١)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‎+١٩٫٤‎</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٩٤٫٤٪ (١٧/١٨)</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‎+٥٫٥‎</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٣١٫٢٪</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٣٩٫١٪ (٩/٢٣)</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‎+٧٫٩‎</w:t>
            </w:r>
          </w:p>
        </w:tc>
      </w:tr>
      <w:tr>
        <w:tc>
          <w:tcPr>
            <w:tcW w:type="dxa" w:w="2239"/>
          </w:tcPr>
          <w:p>
            <w:pPr>
              <w:bidi/>
              <w:spacing w:before="60" w:after="60"/>
            </w:pPr>
            <w:r>
              <w:rPr>
                <w:rtl/>
                <w:cs/>
              </w:rPr>
            </w:r>
            <w:r>
              <w:rPr>
                <w:rFonts w:ascii="Times New Roman" w:hAnsi="Times New Roman" w:cs="Noto Naskh Arabic"/>
                <w:b w:val="0"/>
                <w:i w:val="0"/>
                <w:color w:val="111111"/>
                <w:sz w:val="20"/>
                <w:szCs w:val="20"/>
                <w:rtl/>
                <w:cs/>
              </w:rPr>
              <w:t>العلامة التجارية</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٨٩٫١٪</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٨٣٫٠٪ (٣٩/٤٧)</w:t>
            </w:r>
          </w:p>
        </w:tc>
        <w:tc>
          <w:tcPr>
            <w:tcW w:type="dxa" w:w="2239"/>
          </w:tcPr>
          <w:p>
            <w:pPr>
              <w:bidi/>
              <w:spacing w:before="60" w:after="60"/>
            </w:pPr>
            <w:r>
              <w:rPr>
                <w:rtl/>
                <w:cs/>
              </w:rPr>
            </w:r>
            <w:r>
              <w:rPr>
                <w:rFonts w:ascii="Times New Roman" w:hAnsi="Times New Roman" w:cs="Noto Naskh Arabic"/>
                <w:b w:val="0"/>
                <w:i w:val="0"/>
                <w:color w:val="111111"/>
                <w:sz w:val="20"/>
                <w:szCs w:val="20"/>
                <w:rtl/>
                <w:cs/>
              </w:rPr>
              <w:t>‎−٦٫١‎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ورقم XL البالغ ٦٦٫٧٪ هو أوضح مثال على هشاشة متوسط الأصناف: فهو يعني «صنفان من ثلاثة»، وأحد الثلاثة يملك عيّنة واحدة. ولو تجاوزت تلك الصورة الواحدة العتبة لصار الرقم ١٠٠٪. أي أن الرقم يتقلّب بمقدار الثلث تبعاً لصورة واحدة — وهذا تقلّب لا قياس. وفي المقابل، ٢٨ من ٢٩ منتجاً فعلياً في مجموعة الاختبار صُنِّفت صحيحاً.</w:t>
      </w:r>
    </w:p>
    <w:p>
      <w:pPr>
        <w:keepNext w:val="0"/>
        <w:bidi/>
        <w:spacing w:after="160" w:before="0" w:line="348" w:lineRule="auto"/>
        <w:jc w:val="both"/>
      </w:pPr>
      <w:r>
        <w:rPr>
          <w:rFonts w:ascii="Times New Roman" w:hAnsi="Times New Roman" w:cs="Noto Naskh Arabic"/>
          <w:b w:val="0"/>
          <w:i w:val="0"/>
          <w:color w:val="111111"/>
          <w:sz w:val="23"/>
          <w:szCs w:val="23"/>
          <w:rtl/>
          <w:cs/>
        </w:rPr>
        <w:t>والمتوسطان صحيحان لكنهما يجيبان عن سؤالين مختلفين: متوسط الأصناف يسأل «كيف يتعامل النظام مع الصنف المتوسط؟» فيكشف فجوات البيانات ويعاقب عليها؛ ومتوسط العيّنات يسأل «كيف يتعامل مع المنتج المتوسط على الرف؟» وهو ما يختبره العميل فعلاً. وقد اعتُمد الأول في هذه الدراسة لأنه الأشدّ تحفّظاً، ويُذكر الثاني هنا لئلا يُقرأ الأول على غير وجهه.</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٤. </w:t>
      </w:r>
      <w:r>
        <w:rPr>
          <w:rFonts w:ascii="Times New Roman" w:hAnsi="Times New Roman" w:cs="Noto Naskh Arabic"/>
          <w:b w:val="0"/>
          <w:i w:val="0"/>
          <w:color w:val="555555"/>
          <w:sz w:val="19"/>
          <w:szCs w:val="19"/>
          <w:rtl/>
          <w:cs/>
        </w:rPr>
        <w:t>المعمارية متعددة الطبقات على رفّ Cappy حقيقي: التسمية هنا عند مستوى النكهة (orange / mango / grape / lemon / strawberry) لا عند مستوى العلامة — وهذا ما تُنتجه طبقة المتغيّرات الموجَّهة، ويُقارَن مباشرةً بالشكل السابق. والأهم فيها أن الثقات الظاهرة تتراوح بين ١٩٪ و٦٧٪، أي أن معظمها دون عتبة ٠٫٧٠ المعتمدة في هذه الدراسة. وهذه هي بالضبط الحالة التي يصفها هذا القسم عدداً: النكهة مُميَّزة بصرياً وغالباً مُصابة، لكن دون درجة الثقة التي تُجيز الحسم الآلي — ولهذا يبلغ المُصنِّف ٥٠٪ إحكاماً و٣١٫٢٪ استدعاءً عند تلك العتبة، ولهذا وُجِّه إليه التعلّم النشط (القسم ٦).</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أن أي نقطة ضعف مُقاسة في المنظومة لا تُعزى إلى المعمارية أو إلى اختيار النموذج، بل ترتد كلها إلى ندرة بيانات محدّدة قابلة للقياس. وهذا تمييز عملي حاسم: ندرة البيانات تُعالَج بجمع موجَّه معلوم الكلفة، أما قصور المعمارية فيستوجب إعادة تصميم.</w:t>
      </w:r>
    </w:p>
    <w:p>
      <w:pPr>
        <w:keepNext/>
        <w:bidi/>
        <w:spacing w:before="240" w:after="140"/>
      </w:pPr>
      <w:r>
        <w:rPr>
          <w:rFonts w:ascii="Times New Roman" w:hAnsi="Times New Roman" w:cs="Noto Naskh Arabic"/>
          <w:b/>
          <w:bCs w:val="1"/>
          <w:i w:val="0"/>
          <w:color w:val="1A3A5C"/>
          <w:sz w:val="24"/>
          <w:szCs w:val="24"/>
          <w:rtl/>
          <w:cs/>
        </w:rPr>
        <w:t>٥٫٥ التعقيد الحسابي</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غير الموجَّه يعمل كل مُصنِّف متغيّرات على كل منطقة، فيكون عدد الاستدعاءات ‎O(N×K)‎. وعلى صورة اختبارية تضم ٦٠ منتجاً، عمل مُصنِّف إحدى العلامات على المناطق الستين رغم أن ١٢ منها فقط تخصّها — أي ٤٨ استدعاءً مهدوراً من كل ٦٠. وبالتوجيه الشرطي تمرّ كل منطقة بمُصنِّف واحد على الأكثر، فيصبح النمو ‎O(N)‎ مستقلاً عن K.</w:t>
      </w:r>
    </w:p>
    <w:p>
      <w:pPr>
        <w:keepNext/>
        <w:bidi/>
        <w:spacing w:before="240" w:after="100"/>
        <w:jc w:val="center"/>
      </w:pPr>
      <w:r>
        <w:rPr>
          <w:rFonts w:ascii="Times New Roman" w:hAnsi="Times New Roman" w:cs="Noto Naskh Arabic"/>
          <w:b/>
          <w:bCs w:val="1"/>
          <w:i w:val="0"/>
          <w:color w:val="555555"/>
          <w:sz w:val="19"/>
          <w:szCs w:val="19"/>
          <w:rtl/>
          <w:cs/>
        </w:rPr>
        <w:t xml:space="preserve">الجدول ٩. </w:t>
      </w:r>
      <w:r>
        <w:rPr>
          <w:rFonts w:ascii="Times New Roman" w:hAnsi="Times New Roman" w:cs="Noto Naskh Arabic"/>
          <w:b w:val="0"/>
          <w:i w:val="0"/>
          <w:color w:val="555555"/>
          <w:sz w:val="19"/>
          <w:szCs w:val="19"/>
          <w:rtl/>
          <w:cs/>
        </w:rPr>
        <w:t>قياس مباشر، بتشغيل النسختين تباعاً على الصورة ذاتها وعبر مسار الاستدعاء نفسه.</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غير موجَّه</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موجَّه</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زمن المعالجة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٤٠٫٣٢ ث</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١٤٫٢٠ ث</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التخفيض</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٦٥٪ (‏٢٦٫١ ث)</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تطابق المُخرَجات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تام</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وتطابق المُخرَجات شرط جوهري لا تفصيلاً: التسريع الذي يغيّر النتيجة عطلٌ لا تحسين.</w:t>
      </w:r>
    </w:p>
    <w:p>
      <w:pPr>
        <w:keepNext w:val="0"/>
        <w:bidi/>
        <w:spacing w:after="160" w:before="0" w:line="348" w:lineRule="auto"/>
        <w:jc w:val="both"/>
      </w:pPr>
      <w:r>
        <w:rPr>
          <w:rFonts w:ascii="Times New Roman" w:hAnsi="Times New Roman" w:cs="Noto Naskh Arabic"/>
          <w:b w:val="0"/>
          <w:i w:val="0"/>
          <w:color w:val="111111"/>
          <w:sz w:val="23"/>
          <w:szCs w:val="23"/>
          <w:rtl/>
          <w:cs/>
        </w:rPr>
        <w:t>ويتضاعف الأثر مع اتساع الكتالوج. فقد نما K من واحد إلى أربعة خلال فترة البحث. وباستخدام التوزيع المقيس لمناطق الصورة ذاتها (‏٢٠ + ١٢ + ٨ لعلامات لها مُصنِّفات، و١٢ لعلامة بلا مُصنِّف، و٨ غير مصنَّفة)، يكون العدد تحت التصميم غير الموجَّه عند K = ٤ هو ٦٠ × ٤ = ٢٤٠ استدعاءً، بينما هو تحت التوجيه ٢٠ + ١٢ + ٨ = ٤٠ استدعاءً — أي انخفاض ٨٣٪. وهذا الرقم مشتق حسابياً من توزيع مقيس، لا مقيس بساعة توقيت كالرقمين السابقين.</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أن شكل النمو نفسه تغيّر: فكل علامة تُضاف مستقبلاً كانت ستفرض عبئاً على كل منطقة في كل صورة تحت التصميم غير الموجَّه، بينما تُضيف اليوم عبئاً لا يتراكم. وقياس ذلك حين كان K يساوي واحداً كان أرخص بكثير من اكتشافه بعد أن صار أربعة.</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٥.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والنجمتان هما القياسان الفعليان. يميناً: الزمن المقيس على الصورة ذاتها قبل التوجيه وبعده.</w:t>
      </w:r>
    </w:p>
    <w:p>
      <w:pPr>
        <w:keepNext/>
        <w:bidi/>
        <w:spacing w:before="240" w:after="140"/>
      </w:pPr>
      <w:r>
        <w:rPr>
          <w:rFonts w:ascii="Times New Roman" w:hAnsi="Times New Roman" w:cs="Noto Naskh Arabic"/>
          <w:b/>
          <w:bCs w:val="1"/>
          <w:i w:val="0"/>
          <w:color w:val="1A3A5C"/>
          <w:sz w:val="24"/>
          <w:szCs w:val="24"/>
          <w:rtl/>
          <w:cs/>
        </w:rPr>
        <w:t>٥٫٦ كلفة التدريب والكلفة الحدّية للتوسّع</w:t>
      </w:r>
    </w:p>
    <w:p>
      <w:pPr>
        <w:keepNext/>
        <w:bidi/>
        <w:spacing w:before="240" w:after="100"/>
        <w:jc w:val="center"/>
      </w:pPr>
      <w:r>
        <w:rPr>
          <w:rFonts w:ascii="Times New Roman" w:hAnsi="Times New Roman" w:cs="Noto Naskh Arabic"/>
          <w:b/>
          <w:bCs w:val="1"/>
          <w:i w:val="0"/>
          <w:color w:val="555555"/>
          <w:sz w:val="19"/>
          <w:szCs w:val="19"/>
          <w:rtl/>
          <w:cs/>
        </w:rPr>
        <w:t xml:space="preserve">الجدول ١٠. </w:t>
      </w:r>
      <w:r>
        <w:rPr>
          <w:rFonts w:ascii="Times New Roman" w:hAnsi="Times New Roman" w:cs="Noto Naskh Arabic"/>
          <w:b w:val="0"/>
          <w:i w:val="0"/>
          <w:color w:val="555555"/>
          <w:sz w:val="19"/>
          <w:szCs w:val="19"/>
          <w:rtl/>
          <w:cs/>
        </w:rPr>
        <w:t>كلفة تدريب النماذج السبعة العاملة، محسوبة من أزمنة التدريب المسجَّلة وفق المعدل المُعلَن.</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١٫٤٧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٨٫٢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٠٫٢٧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متغيّرات Coca-Cola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٥٫١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٠٫١٧</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٤٫٠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٠٫١٣</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Cappy</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٣٫٦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٠٫١٢</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٣٫٣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٠٫١١</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٧٢٫٧ دقيقة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٢٫٤٢</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سبعة نماذج بكلفة تدريب إجمالية تقلّ عن ساعة وربع من زمن معالج الرسوميات. ويستهلك الكاشف وحده ٦١٪ منها، بينما تبلغ الكلفة الحدّية لإضافة مُصنِّف متغيّرات نحو أربع دقائق.</w:t>
      </w:r>
    </w:p>
    <w:p>
      <w:pPr>
        <w:keepNext w:val="0"/>
        <w:bidi/>
        <w:spacing w:after="160" w:before="0" w:line="348" w:lineRule="auto"/>
        <w:jc w:val="both"/>
      </w:pPr>
      <w:r>
        <w:rPr>
          <w:rFonts w:ascii="Times New Roman" w:hAnsi="Times New Roman" w:cs="Noto Naskh Arabic"/>
          <w:b w:val="0"/>
          <w:i w:val="0"/>
          <w:color w:val="111111"/>
          <w:sz w:val="23"/>
          <w:szCs w:val="23"/>
          <w:rtl/>
          <w:cs/>
        </w:rPr>
        <w:t>وهذا هو الادّعاء المركزي للمعمارية، وقد قيس أربع مرات لا مرة واحدة. وفي كل مرة كان العمل هو نفسه: تعليم بضع مئات من المناطق المتاحة أصلاً، وتدريب مُصنِّف واحد، ووصله بخطوة توجيه — دون أي مساس بالكاشف أو بطبقة العلامة. وتكرار النمط أربع مرات هو ما يحوّل «الكلفة الحدّية منخفضة» من استنتاج مبنيّ على حالة واحدة إلى ملاحظة مُثبَتة.</w:t>
      </w:r>
    </w:p>
    <w:p>
      <w:pPr>
        <w:keepNext w:val="0"/>
        <w:bidi/>
        <w:spacing w:after="160" w:before="0" w:line="348" w:lineRule="auto"/>
        <w:jc w:val="both"/>
      </w:pPr>
      <w:r>
        <w:rPr>
          <w:rFonts w:ascii="Times New Roman" w:hAnsi="Times New Roman" w:cs="Noto Naskh Arabic"/>
          <w:b w:val="0"/>
          <w:i w:val="0"/>
          <w:color w:val="111111"/>
          <w:sz w:val="23"/>
          <w:szCs w:val="23"/>
          <w:rtl/>
          <w:cs/>
        </w:rPr>
        <w:t>وللمقارنة، فإن الكلفة المكافئة تحت النهج الأحادي هي إعادة تدريب الكاشف كله (‏٤٤٫٢ دقيقة)، مع ما يصحبها من مخاطرة تدهور غير مقصود في أصناف كانت تعمل بصورة صحيحة.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كما تبيّن أن الاستدلال يُحاسَب لكل صورة تُرسَل إلى خط المعالجة لا لكل نموذج داخلي يُستدعى — أي أن كثافة الرف تكلّف زمناً لا مالاً، وهو ما قِيس في القسم ٥٫٥.</w:t>
      </w:r>
    </w:p>
    <w:p>
      <w:pPr>
        <w:keepNext/>
        <w:bidi/>
        <w:spacing w:before="360" w:after="140"/>
      </w:pPr>
      <w:r>
        <w:rPr>
          <w:rFonts w:ascii="Times New Roman" w:hAnsi="Times New Roman" w:cs="Noto Naskh Arabic"/>
          <w:b/>
          <w:bCs w:val="1"/>
          <w:i w:val="0"/>
          <w:color w:val="1A3A5C"/>
          <w:sz w:val="28"/>
          <w:szCs w:val="28"/>
          <w:rtl/>
          <w:cs/>
        </w:rPr>
        <w:t>٦. التعلّم النشط: نتيجة تصميمية</w:t>
      </w:r>
    </w:p>
    <w:p>
      <w:pPr>
        <w:keepNext w:val="0"/>
        <w:bidi/>
        <w:spacing w:after="160" w:before="0" w:line="348" w:lineRule="auto"/>
        <w:jc w:val="both"/>
      </w:pPr>
      <w:r>
        <w:rPr>
          <w:rFonts w:ascii="Times New Roman" w:hAnsi="Times New Roman" w:cs="Noto Naskh Arabic"/>
          <w:b w:val="0"/>
          <w:i w:val="0"/>
          <w:color w:val="111111"/>
          <w:sz w:val="23"/>
          <w:szCs w:val="23"/>
          <w:rtl/>
          <w:cs/>
        </w:rPr>
        <w:t>بُنيت آلية تُحوّل الاستخدام الميداني إلى بيانات تدريب، معالجةً للقيد الذي أثبته القسم ٥٫٣: أن سقف المنظومة تحدّه ندرة البيانات لا قدرة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والتصميم الأول اتّبع الممارسة الشائعة: رفع المناطق التي تكون ثقة المُصنِّف فيها دون عتبة معيّنة، بافتراض أنها الأرجح خطأً. والملاحظة التجريبية نقضت هذا: فبعد تحسّن مُصنِّفَين ارتفعت ثقتهما فوق ٩٨٪، فتوقّفا عملياً عن إرسال أي عيّنة للمراجعة، بينما ظلّت أخطاء حقيقية تظهر في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والتحليل يكشف قصوراً بنيوياً لا مسألة معايرة. فبوابة الثقة، بحكم تعريفها، تلتقط عدم اليقين لا الخطأ؛ وهما ليسا الشيء نفسه. والنموذج الذي يخطئ بثقة عالية — وهي الحالة الأخطر عملياً، لأنها تمرّ إلى التقارير دون أن تثير شكاً — يقع خارج ما تستطيع هذه البوابة رؤيته مهما ضُبطت عتبتها. فالخلل في المعيار نفسه لا في قيمته.</w:t>
      </w:r>
    </w:p>
    <w:p>
      <w:pPr>
        <w:keepNext w:val="0"/>
        <w:bidi/>
        <w:spacing w:after="160" w:before="0" w:line="348" w:lineRule="auto"/>
        <w:jc w:val="both"/>
      </w:pPr>
      <w:r>
        <w:rPr>
          <w:rFonts w:ascii="Times New Roman" w:hAnsi="Times New Roman" w:cs="Noto Naskh Arabic"/>
          <w:b w:val="0"/>
          <w:i w:val="0"/>
          <w:color w:val="111111"/>
          <w:sz w:val="23"/>
          <w:szCs w:val="23"/>
          <w:rtl/>
          <w:cs/>
        </w:rPr>
        <w:t>والبديل المعتمد: استُبدل بشرط الثقة شرط الانتماء إلى المسار — تُرفَع كل منطقة وجّهها النظام فعلياً إلى فرع تصنيف بعينه، بصرف النظر عن الثقة. ويرفع هذا حجم البيانات المجموعة، وهو ثمن مقصود في مرحلة تصحيح نشط، لكنه يجعل الخطأ الواثق مرئياً للمراجعة البشرية بدل أن يمرّ صامتاً.</w:t>
      </w:r>
    </w:p>
    <w:p>
      <w:pPr>
        <w:keepNext w:val="0"/>
        <w:bidi/>
        <w:spacing w:after="160" w:before="0" w:line="348" w:lineRule="auto"/>
        <w:jc w:val="both"/>
      </w:pPr>
      <w:r>
        <w:rPr>
          <w:rFonts w:ascii="Times New Roman" w:hAnsi="Times New Roman" w:cs="Noto Naskh Arabic"/>
          <w:b w:val="0"/>
          <w:i w:val="0"/>
          <w:color w:val="111111"/>
          <w:sz w:val="23"/>
          <w:szCs w:val="23"/>
          <w:rtl/>
          <w:cs/>
        </w:rPr>
        <w:t>وقاعدة حُفِظت في كل الحالات: تُرفَع المنطقة غير مُعلَّمة، ولا يُدرَّب النظام على تخمينه الخاص دون مراجعة بشرية — وهو ما يمنع الانحدار الذاتي الذي يصيب أنظمة التعلّم النشط حين تُغذَّى بمخرجاتها فتُرسِّخ أخطاءها بدل تصحيحها.</w:t>
      </w:r>
    </w:p>
    <w:p>
      <w:pPr>
        <w:keepNext/>
        <w:bidi/>
        <w:spacing w:before="360" w:after="140"/>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نظاماً صالحاً للتشغيل. فمخرج آلي على صور غير مضبوطة لا يُعتدّ به نهائياً — الالتباس فيها بنيوي لا استثنائي — ولذلك طُوِّر تطبيق متعدد المنصّات يؤدي ثلاث وظائف بحثية.</w:t>
      </w:r>
    </w:p>
    <w:p>
      <w:pPr>
        <w:keepNext w:val="0"/>
        <w:bidi/>
        <w:spacing w:after="120" w:before="0" w:line="348" w:lineRule="auto"/>
        <w:jc w:val="both"/>
      </w:pPr>
      <w:r>
        <w:rPr>
          <w:rFonts w:ascii="Times New Roman" w:hAnsi="Times New Roman" w:cs="Noto Naskh Arabic"/>
          <w:b w:val="0"/>
          <w:i w:val="0"/>
          <w:color w:val="111111"/>
          <w:sz w:val="23"/>
          <w:szCs w:val="23"/>
          <w:rtl/>
          <w:cs/>
        </w:rPr>
        <w:t>أولاً، توحيد ظروف الالتقاط عند نقطة الجمع، فتقلّ التباينات التي لا يتعلّمها النموذج (المسافة، والزاوية، والإطار).</w:t>
      </w:r>
    </w:p>
    <w:p>
      <w:pPr>
        <w:keepNext w:val="0"/>
        <w:bidi/>
        <w:spacing w:after="120" w:before="0" w:line="348" w:lineRule="auto"/>
        <w:jc w:val="both"/>
      </w:pPr>
      <w:r>
        <w:rPr>
          <w:rFonts w:ascii="Times New Roman" w:hAnsi="Times New Roman" w:cs="Noto Naskh Arabic"/>
          <w:b w:val="0"/>
          <w:i w:val="0"/>
          <w:color w:val="111111"/>
          <w:sz w:val="23"/>
          <w:szCs w:val="23"/>
          <w:rtl/>
          <w:cs/>
        </w:rPr>
        <w:t>ثانياً، إقحام مراجع بشري بين مخرج النموذج وأي رقم يُبلَّغ عنه بوصفه حقيقة. والمراجعة هنا جزء من التصميم لا حلٌّ احتياطي: فحيثما يجعل الحجب أو زاوية التصوير التصنيفَ غير موثوق، يحسمه إنسان.</w:t>
      </w:r>
    </w:p>
    <w:p>
      <w:pPr>
        <w:keepNext w:val="0"/>
        <w:bidi/>
        <w:spacing w:after="120" w:before="0" w:line="348" w:lineRule="auto"/>
        <w:jc w:val="both"/>
      </w:pPr>
      <w:r>
        <w:rPr>
          <w:rFonts w:ascii="Times New Roman" w:hAnsi="Times New Roman" w:cs="Noto Naskh Arabic"/>
          <w:b w:val="0"/>
          <w:i w:val="0"/>
          <w:color w:val="111111"/>
          <w:sz w:val="23"/>
          <w:szCs w:val="23"/>
          <w:rtl/>
          <w:cs/>
        </w:rPr>
        <w:t>ثالثاً، إغلاق حلقة البيانات: كل تصحيح بشري إشارة خاضعة للإشراف صالحة لإعادة التدريب، فيُنتج الاستخدام الميداني الاعتيادي بيانات تدريب كناتج عرَضي — وهو ما يجعل القسم ٦ ممكناً عملياً.</w:t>
      </w:r>
    </w:p>
    <w:p>
      <w:pPr>
        <w:keepNext w:val="0"/>
        <w:bidi/>
        <w:spacing w:after="160" w:before="0" w:line="348" w:lineRule="auto"/>
        <w:jc w:val="both"/>
      </w:pPr>
      <w:r>
        <w:rPr>
          <w:rFonts w:ascii="Times New Roman" w:hAnsi="Times New Roman" w:cs="Noto Naskh Arabic"/>
          <w:b w:val="0"/>
          <w:i w:val="0"/>
          <w:color w:val="111111"/>
          <w:sz w:val="23"/>
          <w:szCs w:val="23"/>
          <w:rtl/>
          <w:cs/>
        </w:rPr>
        <w:t>ويتّصل بهذه الوظيفة الثالثة قرارٌ تشغيلي: أن ما يُعرَض على المراجع ليس بالضرورة ما يُحتسَب في التقرير. فعتبة ٠٫٧٠ المعتمدة في القياس تحدّد ما يُعدّ حكماً آلياً موثوقاً، لكن حجب كل ما دونها عن شاشة المراجع يعني حرمانه من رؤية الحالات التي يُفترض أن يصحّحها — وهي بالضبط الحالات التي تحتاجها المنظومة (القسم ٥٫٣). فما دون العتبة يُعرَض للمراجعة ولا يُحتسَب تلقائياً، إذ لا يمكن تصحيح ما لا يُرى.</w:t>
      </w:r>
    </w:p>
    <w:p>
      <w:pPr>
        <w:keepNext/>
        <w:bidi/>
        <w:spacing w:before="360" w:after="140"/>
      </w:pPr>
      <w:r>
        <w:rPr>
          <w:rFonts w:ascii="Times New Roman" w:hAnsi="Times New Roman" w:cs="Noto Naskh Arabic"/>
          <w:b/>
          <w:bCs w:val="1"/>
          <w:i w:val="0"/>
          <w:color w:val="1A3A5C"/>
          <w:sz w:val="28"/>
          <w:szCs w:val="28"/>
          <w:rtl/>
          <w:cs/>
        </w:rPr>
        <w:t>٨. التحديات المُواجَهة</w:t>
      </w:r>
    </w:p>
    <w:p>
      <w:pPr>
        <w:keepNext w:val="0"/>
        <w:bidi/>
        <w:spacing w:after="120" w:before="0" w:line="348" w:lineRule="auto"/>
        <w:jc w:val="both"/>
      </w:pPr>
      <w:r>
        <w:rPr>
          <w:rFonts w:ascii="Times New Roman" w:hAnsi="Times New Roman" w:cs="Noto Naskh Arabic"/>
          <w:b w:val="0"/>
          <w:i w:val="0"/>
          <w:color w:val="111111"/>
          <w:sz w:val="23"/>
          <w:szCs w:val="23"/>
          <w:rtl/>
          <w:cs/>
        </w:rPr>
        <w:t>أولاً: ندرة البيانات هي القيد الملزِم، لا قدرة النماذج. هذا أوضح ما أظهرته الدراسة كمّياً. فعند ضعف الأداء على صنف بعينه، القراءة البديهية دائماً «النموذج يحتاج تدريباً أكثر» — وقد تبيّن مراراً أنها خاطئة. تدقيق بصري لجميع مناطق إحدى العلامات البالغة ٣٠١ أظهر أن ٩٥٪ منها لمتغيّر واحد دون أي مثال مؤكد للمتغيّرات الأخرى. وتدقيق مماثل أظهر أن ٩٠٪ من أمثلة علامة أخرى زجاجات لا علب، أي أن النموذج كان قد تعلّم العلامة بوصفها زجاجة. ولا يُنتج أي قدر من التدريب تمييزاً بين فئات لا توجد صورها.</w:t>
      </w:r>
    </w:p>
    <w:p>
      <w:pPr>
        <w:keepNext w:val="0"/>
        <w:bidi/>
        <w:spacing w:after="120" w:before="0" w:line="348" w:lineRule="auto"/>
        <w:jc w:val="both"/>
      </w:pPr>
      <w:r>
        <w:rPr>
          <w:rFonts w:ascii="Times New Roman" w:hAnsi="Times New Roman" w:cs="Noto Naskh Arabic"/>
          <w:b w:val="0"/>
          <w:i w:val="0"/>
          <w:color w:val="111111"/>
          <w:sz w:val="23"/>
          <w:szCs w:val="23"/>
          <w:rtl/>
          <w:cs/>
        </w:rPr>
        <w:t>ثانياً: مشكلة القياس نفسها. أصعب ما في هذه الفترة لم يكن بناء النماذج بل معرفة ما يفعله النظام فعلياً في مقابل ما يبدو أنه يفعله. فالمقاييس المرتفعة تُثبت أن النموذج تعلّم ما دُرِّب عليه، لا أن ما دُرِّب عليه صحيح؛ وهما سؤالان مختلفان. وقد فرض هذا مبدأ القسم ٣٫٢ بوصفه شرطاً لازماً لكل استنتاج في هذه الدراسة، لا احتياطاً زائداً.</w:t>
      </w:r>
    </w:p>
    <w:p>
      <w:pPr>
        <w:keepNext w:val="0"/>
        <w:bidi/>
        <w:spacing w:after="120" w:before="0" w:line="348" w:lineRule="auto"/>
        <w:jc w:val="both"/>
      </w:pPr>
      <w:r>
        <w:rPr>
          <w:rFonts w:ascii="Times New Roman" w:hAnsi="Times New Roman" w:cs="Noto Naskh Arabic"/>
          <w:b w:val="0"/>
          <w:i w:val="0"/>
          <w:color w:val="111111"/>
          <w:sz w:val="23"/>
          <w:szCs w:val="23"/>
          <w:rtl/>
          <w:cs/>
        </w:rPr>
        <w:t>ثالثاً: توفّر أدوات القياس بوصفه قيداً بحثياً. ظلّ التقييم الآلي للمُصنِّفات غير متاح خلال جزء من فترة الدراسة، فتعذّر خلاله الإبلاغ عن أرقام دقة لطبقات التصنيف. والتزمت الدراسة بعدم استبدال أرقام تقديرية بها. ويُسجَّل هذا لأنه يوضح أن بعض القيود البحثية ليست تقنية بل تتعلق بالوصول إلى الأدوات.</w:t>
      </w:r>
    </w:p>
    <w:p>
      <w:pPr>
        <w:keepNext w:val="0"/>
        <w:bidi/>
        <w:spacing w:after="120" w:before="0" w:line="348" w:lineRule="auto"/>
        <w:jc w:val="both"/>
      </w:pPr>
      <w:r>
        <w:rPr>
          <w:rFonts w:ascii="Times New Roman" w:hAnsi="Times New Roman" w:cs="Noto Naskh Arabic"/>
          <w:b w:val="0"/>
          <w:i w:val="0"/>
          <w:color w:val="111111"/>
          <w:sz w:val="23"/>
          <w:szCs w:val="23"/>
          <w:rtl/>
          <w:cs/>
        </w:rPr>
        <w:t>رابعاً: التحقق من العمل الآلي على البيانات الواسعة. تطلّب تعليم أكثر من ١٬٤٠٠ صورة توزيع العمل على عمليات متوازية، وأثبتت الدراسة أن التقرير الذاتي لأي عملية آلية ليس بديلاً عن فحص البيانات الناتجة مباشرةً؛ فاعتُمد هذا الفحص المباشر قاعدةً في كل عملية تعليم واسعة.</w:t>
      </w:r>
    </w:p>
    <w:p>
      <w:pPr>
        <w:keepNext/>
        <w:bidi/>
        <w:spacing w:before="360" w:after="140"/>
      </w:pPr>
      <w:r>
        <w:rPr>
          <w:rFonts w:ascii="Times New Roman" w:hAnsi="Times New Roman" w:cs="Noto Naskh Arabic"/>
          <w:b/>
          <w:bCs w:val="1"/>
          <w:i w:val="0"/>
          <w:color w:val="1A3A5C"/>
          <w:sz w:val="28"/>
          <w:szCs w:val="28"/>
          <w:rtl/>
          <w:cs/>
        </w:rPr>
        <w:t>٩. القيود</w:t>
      </w:r>
    </w:p>
    <w:p>
      <w:pPr>
        <w:keepNext w:val="0"/>
        <w:bidi/>
        <w:spacing w:after="120" w:before="0" w:line="348" w:lineRule="auto"/>
        <w:jc w:val="both"/>
      </w:pPr>
      <w:r>
        <w:rPr>
          <w:rFonts w:ascii="Times New Roman" w:hAnsi="Times New Roman" w:cs="Noto Naskh Arabic"/>
          <w:b w:val="0"/>
          <w:i w:val="0"/>
          <w:color w:val="111111"/>
          <w:sz w:val="23"/>
          <w:szCs w:val="23"/>
          <w:rtl/>
          <w:cs/>
        </w:rPr>
        <w:t>١. تقسيمات الاختبار صغيرة بصورة غير سليمة — وهو أخطر قيد في هذه الدراسة، ويسبق ما عداه لأنه يمسّ موثوقية كل رقم فيها.</w:t>
      </w:r>
    </w:p>
    <w:p>
      <w:pPr>
        <w:keepNext/>
        <w:bidi/>
        <w:spacing w:before="240" w:after="100"/>
        <w:jc w:val="center"/>
      </w:pPr>
      <w:r>
        <w:rPr>
          <w:rFonts w:ascii="Times New Roman" w:hAnsi="Times New Roman" w:cs="Noto Naskh Arabic"/>
          <w:b/>
          <w:bCs w:val="1"/>
          <w:i w:val="0"/>
          <w:color w:val="555555"/>
          <w:sz w:val="19"/>
          <w:szCs w:val="19"/>
          <w:rtl/>
          <w:cs/>
        </w:rPr>
        <w:t xml:space="preserve">الجدول ١١. </w:t>
      </w:r>
      <w:r>
        <w:rPr>
          <w:rFonts w:ascii="Times New Roman" w:hAnsi="Times New Roman" w:cs="Noto Naskh Arabic"/>
          <w:b w:val="0"/>
          <w:i w:val="0"/>
          <w:color w:val="555555"/>
          <w:sz w:val="19"/>
          <w:szCs w:val="19"/>
          <w:rtl/>
          <w:cs/>
        </w:rPr>
        <w:t>نسب التقسيم الفعلية. النسبة المتعارف عليها للاختبار نحو ٢٠٪.</w:t>
      </w:r>
    </w:p>
    <w:tbl>
      <w:tblPr>
        <w:tblStyle w:val="TableGrid"/>
        <w:bidiVisual/>
        <w:tblW w:type="auto" w:w="0"/>
        <w:jc w:val="right"/>
        <w:tblLook w:firstColumn="1" w:firstRow="1" w:lastColumn="0" w:lastRow="0" w:noHBand="0" w:noVBand="1" w:val="04A0"/>
      </w:tblPr>
      <w:tblGrid>
        <w:gridCol w:w="1792"/>
        <w:gridCol w:w="1792"/>
        <w:gridCol w:w="1792"/>
        <w:gridCol w:w="1792"/>
        <w:gridCol w:w="1792"/>
      </w:tblGrid>
      <w:tr>
        <w:tc>
          <w:tcPr>
            <w:tcW w:type="dxa" w:w="1792"/>
          </w:tcPr>
          <w:p>
            <w:pPr>
              <w:bidi/>
              <w:spacing w:before="60" w:after="60"/>
            </w:pPr>
            <w:r>
              <w:rPr>
                <w:rtl/>
                <w:cs/>
              </w:rPr>
            </w:r>
            <w:r>
              <w:rPr>
                <w:rFonts w:ascii="Times New Roman" w:hAnsi="Times New Roman" w:cs="Noto Naskh Arabic"/>
                <w:b/>
                <w:bCs w:val="1"/>
                <w:i w:val="0"/>
                <w:color w:val="111111"/>
                <w:sz w:val="20"/>
                <w:szCs w:val="20"/>
                <w:rtl/>
                <w:cs/>
              </w:rPr>
              <w:t>المشروع</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تدريب</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تحقق</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اختبار</w:t>
            </w:r>
          </w:p>
        </w:tc>
        <w:tc>
          <w:tcPr>
            <w:tcW w:type="dxa" w:w="1792"/>
          </w:tcPr>
          <w:p>
            <w:pPr>
              <w:bidi/>
              <w:spacing w:before="60" w:after="60"/>
            </w:pPr>
            <w:r>
              <w:rPr>
                <w:rtl/>
                <w:cs/>
              </w:rPr>
            </w:r>
            <w:r>
              <w:rPr>
                <w:rFonts w:ascii="Times New Roman" w:hAnsi="Times New Roman" w:cs="Noto Naskh Arabic"/>
                <w:b/>
                <w:bCs w:val="1"/>
                <w:i w:val="0"/>
                <w:color w:val="111111"/>
                <w:sz w:val="20"/>
                <w:szCs w:val="20"/>
                <w:rtl/>
                <w:cs/>
              </w:rPr>
              <w:t>نسبة الاختبار</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مُصنِّف العلامة</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١٬٥٣٤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١٠٥</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٤٧</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٢٫٨٪</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Coca-Cola</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٧٢٠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٣٠</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٣٫٨٪</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XL Energy</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٦١٢</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٥٨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٢٩</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٤٫١٪</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Fanta</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٢٣٨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٤٣</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١٨</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٦٫٠٪</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الكاشف v2</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٣١٦</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٣٤</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٨٫٩٪</w:t>
            </w:r>
          </w:p>
        </w:tc>
      </w:tr>
      <w:tr>
        <w:tc>
          <w:tcPr>
            <w:tcW w:type="dxa" w:w="1792"/>
          </w:tcPr>
          <w:p>
            <w:pPr>
              <w:bidi/>
              <w:spacing w:before="60" w:after="60"/>
            </w:pPr>
            <w:r>
              <w:rPr>
                <w:rtl/>
                <w:cs/>
              </w:rPr>
            </w:r>
            <w:r>
              <w:rPr>
                <w:rFonts w:ascii="Times New Roman" w:hAnsi="Times New Roman" w:cs="Noto Naskh Arabic"/>
                <w:b w:val="0"/>
                <w:i w:val="0"/>
                <w:color w:val="111111"/>
                <w:sz w:val="20"/>
                <w:szCs w:val="20"/>
                <w:rtl/>
                <w:cs/>
              </w:rPr>
              <w:t>Cappy</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١٦١</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٤٦</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٢٣</w:t>
            </w:r>
          </w:p>
        </w:tc>
        <w:tc>
          <w:tcPr>
            <w:tcW w:type="dxa" w:w="1792"/>
          </w:tcPr>
          <w:p>
            <w:pPr>
              <w:bidi/>
              <w:spacing w:before="60" w:after="60"/>
            </w:pPr>
            <w:r>
              <w:rPr>
                <w:rtl/>
                <w:cs/>
              </w:rPr>
            </w:r>
            <w:r>
              <w:rPr>
                <w:rFonts w:ascii="Times New Roman" w:hAnsi="Times New Roman" w:cs="Noto Naskh Arabic"/>
                <w:b w:val="0"/>
                <w:i w:val="0"/>
                <w:color w:val="111111"/>
                <w:sz w:val="20"/>
                <w:szCs w:val="20"/>
                <w:rtl/>
                <w:cs/>
              </w:rPr>
              <w:t>١٠٫٠٪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والنتيجة أن أصنافاً غزيرة البيانات وصلت إلى الاختبار بعيّنة أو عيّنتين. والمثال الأوضح صنف sprite: يملك المشروع ٣٧٤ صورة له، انتهت واحدة منها فقط إلى مجموعة الاختبار و٣٧٣ إلى التدريب. فالرقم «١٠٠٪» الذي يحمله ليس شهادة أداء بل أثر تقسيم.</w:t>
      </w:r>
    </w:p>
    <w:p>
      <w:pPr>
        <w:keepNext w:val="0"/>
        <w:bidi/>
        <w:spacing w:after="120" w:before="0" w:line="348" w:lineRule="auto"/>
        <w:jc w:val="both"/>
      </w:pPr>
      <w:r>
        <w:rPr>
          <w:rFonts w:ascii="Times New Roman" w:hAnsi="Times New Roman" w:cs="Noto Naskh Arabic"/>
          <w:b w:val="0"/>
          <w:i w:val="0"/>
          <w:color w:val="111111"/>
          <w:sz w:val="23"/>
          <w:szCs w:val="23"/>
          <w:rtl/>
          <w:cs/>
        </w:rPr>
        <w:t>٢. ويترتب على ما سبق تمييز جوهري بين نوعين من الضعف كانا يُخلطان تحت وصف واحد هو «ندرة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الأول قصور في التقسيم لا في البيانات: sprite، وfanta على مستوى العلامة، وxl-red. البيانات موجودة كاملةً في المشروع، لكن التقسيم حجبها عن الاختبار. وعلاجه لا يحتاج تصويراً ولا بيانات جديدة، بل إعادة توليد نسخة بتقسيم متوازن ثم إعادة تدريب — وهي عملية تستغرق دقائق حاسوبياً، ومعلَّقة حالياً على توفّر أرصدة تدريب لا غير.</w:t>
      </w:r>
    </w:p>
    <w:p>
      <w:pPr>
        <w:keepNext w:val="0"/>
        <w:bidi/>
        <w:spacing w:after="160" w:before="0" w:line="348" w:lineRule="auto"/>
        <w:jc w:val="both"/>
      </w:pPr>
      <w:r>
        <w:rPr>
          <w:rFonts w:ascii="Times New Roman" w:hAnsi="Times New Roman" w:cs="Noto Naskh Arabic"/>
          <w:b w:val="0"/>
          <w:i w:val="0"/>
          <w:color w:val="111111"/>
          <w:sz w:val="23"/>
          <w:szCs w:val="23"/>
          <w:rtl/>
          <w:cs/>
        </w:rPr>
        <w:t>والثاني ندرة بيانات حقيقية: coca-diet (‏٥ صور مصدرية)، والزجاج (‏٢٥ صورة في المدوَّنة كلها، ٣ منها في الاختبار)، ونكهات Cappy الرقيقة، وpepsi (بلا تمثيل في الكاشف والمُصنِّف معاً). وهذه لا يُنتجها تقسيم ولا إعادة تدريب، بل تصوير ميداني.</w:t>
      </w:r>
    </w:p>
    <w:p>
      <w:pPr>
        <w:keepNext w:val="0"/>
        <w:bidi/>
        <w:spacing w:after="160" w:before="0" w:line="348" w:lineRule="auto"/>
        <w:jc w:val="both"/>
      </w:pPr>
      <w:r>
        <w:rPr>
          <w:rFonts w:ascii="Times New Roman" w:hAnsi="Times New Roman" w:cs="Noto Naskh Arabic"/>
          <w:b w:val="0"/>
          <w:i w:val="0"/>
          <w:color w:val="111111"/>
          <w:sz w:val="23"/>
          <w:szCs w:val="23"/>
          <w:rtl/>
          <w:cs/>
        </w:rPr>
        <w:t>وخلط النوعين يُضخّم حجم العمل المطلوب: فجزء معتبر مما يبدو فجوةَ بيانات هو في حقيقته فجوة إجرائية تُغلَق بإعادة تدريب واحدة.</w:t>
      </w:r>
    </w:p>
    <w:p>
      <w:pPr>
        <w:keepNext w:val="0"/>
        <w:bidi/>
        <w:spacing w:after="120" w:before="0" w:line="348" w:lineRule="auto"/>
        <w:jc w:val="both"/>
      </w:pPr>
      <w:r>
        <w:rPr>
          <w:rFonts w:ascii="Times New Roman" w:hAnsi="Times New Roman" w:cs="Noto Naskh Arabic"/>
          <w:b w:val="0"/>
          <w:i w:val="0"/>
          <w:color w:val="111111"/>
          <w:sz w:val="23"/>
          <w:szCs w:val="23"/>
          <w:rtl/>
          <w:cs/>
        </w:rPr>
        <w:t>٣. اختلاف أنبوب المعالجة المسبقة بين النسختين المقارَنتين (القسم ٣٫١). وقد خُفِّف أثره بأمرين: أن الفارق يعمل في غير مصلحة الاستنتاج المُعلَن، وأن المقارنة المُفصَّلة بحسب الحجم أُسقِطت لعدم صحّتها. ويبقى أن توحيد الأنبوب في تقييم لاحق يُغلق هذه النقطة نهائياً.</w:t>
      </w:r>
    </w:p>
    <w:p>
      <w:pPr>
        <w:keepNext w:val="0"/>
        <w:bidi/>
        <w:spacing w:after="120" w:before="0" w:line="348" w:lineRule="auto"/>
        <w:jc w:val="both"/>
      </w:pPr>
      <w:r>
        <w:rPr>
          <w:rFonts w:ascii="Times New Roman" w:hAnsi="Times New Roman" w:cs="Noto Naskh Arabic"/>
          <w:b w:val="0"/>
          <w:i w:val="0"/>
          <w:color w:val="111111"/>
          <w:sz w:val="23"/>
          <w:szCs w:val="23"/>
          <w:rtl/>
          <w:cs/>
        </w:rPr>
        <w:t>٤. تقسيمان مستقلّان. يولّد المشروعان تقسيماتهما منفصلَين وإن اشتركا في الصور المصدرية، وهو ما يُضعِف المقارنة نظرياً.</w:t>
      </w:r>
    </w:p>
    <w:p>
      <w:pPr>
        <w:keepNext w:val="0"/>
        <w:bidi/>
        <w:spacing w:after="120" w:before="0" w:line="348" w:lineRule="auto"/>
        <w:jc w:val="both"/>
      </w:pPr>
      <w:r>
        <w:rPr>
          <w:rFonts w:ascii="Times New Roman" w:hAnsi="Times New Roman" w:cs="Noto Naskh Arabic"/>
          <w:b w:val="0"/>
          <w:i w:val="0"/>
          <w:color w:val="111111"/>
          <w:sz w:val="23"/>
          <w:szCs w:val="23"/>
          <w:rtl/>
          <w:cs/>
        </w:rPr>
        <w:t>٥. لم يُقيَّم النظام من طرف إلى طرف — وهو أهم قياس ناقص في الدراسة.</w:t>
      </w:r>
    </w:p>
    <w:p>
      <w:pPr>
        <w:keepNext w:val="0"/>
        <w:bidi/>
        <w:spacing w:after="160" w:before="0" w:line="348" w:lineRule="auto"/>
        <w:jc w:val="both"/>
      </w:pPr>
      <w:r>
        <w:rPr>
          <w:rFonts w:ascii="Times New Roman" w:hAnsi="Times New Roman" w:cs="Noto Naskh Arabic"/>
          <w:b w:val="0"/>
          <w:i w:val="0"/>
          <w:color w:val="111111"/>
          <w:sz w:val="23"/>
          <w:szCs w:val="23"/>
          <w:rtl/>
          <w:cs/>
        </w:rPr>
        <w:t>ويعني «من طرف إلى طرف» أن يُعامَل النظام كله صندوقاً أسود واحداً: تُعطى له صورة رفّ لم يرها من قبل، ويُقارَن مُخرَجه النهائي — التسمية المركّبة الكاملة لكل منتج — بتعليم بشري لتلك الصورة نفسها. أما ما قيس في القسم ٥ فهو أداء كل طبقة على حدة، وهو شيء آخر.</w:t>
      </w:r>
    </w:p>
    <w:p>
      <w:pPr>
        <w:keepNext w:val="0"/>
        <w:bidi/>
        <w:spacing w:after="160" w:before="0" w:line="348" w:lineRule="auto"/>
        <w:jc w:val="both"/>
      </w:pPr>
      <w:r>
        <w:rPr>
          <w:rFonts w:ascii="Times New Roman" w:hAnsi="Times New Roman" w:cs="Noto Naskh Arabic"/>
          <w:b w:val="0"/>
          <w:i w:val="0"/>
          <w:color w:val="111111"/>
          <w:sz w:val="23"/>
          <w:szCs w:val="23"/>
          <w:rtl/>
          <w:cs/>
        </w:rPr>
        <w:t>والفارق بين القياسين معتبر لسببين. الأول أن دقة سلسلة متتابعة حاصلُ ضربٍ لا متوسط: فلكي تصل زجاجة إلى تسميتها الصحيحة يجب أن ينجح الكاشف في إيجادها، ثم تصيب طبقة العلامة، ثم يصيب مُصنِّف المتغيّر — وثلاث خطوات كلٌّ منها عند ٩٠٪ تُنتج نحو ٧٣٪ لا ٩٠٪. والثاني، وهو الأدقّ، أن كل طبقة قُيِّست على مُدخَل نظيف مُعلَّم يدوياً، بينما تستقبل في التشغيل الفعلي مُخرَج الطبقة السابقة: قصاصة قد تكون مزاحة أو مقطوعة الحافة أو محجوبة جزئياً. أي أن رقم ١٠٠٪ لطبقة العلامة يجيب عن سؤال «كم تُصيب على قصاصات مثالية؟» لا عن سؤال «كم تُصيب على قصاصات كاشفنا؟».</w:t>
      </w:r>
    </w:p>
    <w:p>
      <w:pPr>
        <w:keepNext w:val="0"/>
        <w:bidi/>
        <w:spacing w:after="160" w:before="0" w:line="348" w:lineRule="auto"/>
        <w:jc w:val="both"/>
      </w:pPr>
      <w:r>
        <w:rPr>
          <w:rFonts w:ascii="Times New Roman" w:hAnsi="Times New Roman" w:cs="Noto Naskh Arabic"/>
          <w:b w:val="0"/>
          <w:i w:val="0"/>
          <w:color w:val="111111"/>
          <w:sz w:val="23"/>
          <w:szCs w:val="23"/>
          <w:rtl/>
          <w:cs/>
        </w:rPr>
        <w:t>وهذا التمييز عملي لا نظري: الرقم الذي يصحّ إعطاؤه لعميل هو رقم الطرف إلى الطرف وحده، وهو أدنى بالضرورة من كل رقم في القسم ٥. وكلفة سدّ هذه الفجوة ليست حاسوبية بل بشرية — تعليم يدوي كامل لثلاثين إلى خمسين صورة رفّ، بلا تدريب ولا أرصدة.</w:t>
      </w:r>
    </w:p>
    <w:p>
      <w:pPr>
        <w:keepNext/>
        <w:bidi/>
        <w:spacing w:before="360" w:after="140"/>
      </w:pPr>
      <w:r>
        <w:rPr>
          <w:rFonts w:ascii="Times New Roman" w:hAnsi="Times New Roman" w:cs="Noto Naskh Arabic"/>
          <w:b/>
          <w:bCs w:val="1"/>
          <w:i w:val="0"/>
          <w:color w:val="1A3A5C"/>
          <w:sz w:val="28"/>
          <w:szCs w:val="28"/>
          <w:rtl/>
          <w:cs/>
        </w:rPr>
        <w:t>١٠. العمل المستقبلي وما نحتاجه</w:t>
      </w:r>
    </w:p>
    <w:p>
      <w:pPr>
        <w:keepNext/>
        <w:bidi/>
        <w:spacing w:before="240" w:after="140"/>
      </w:pPr>
      <w:r>
        <w:rPr>
          <w:rFonts w:ascii="Times New Roman" w:hAnsi="Times New Roman" w:cs="Noto Naskh Arabic"/>
          <w:b/>
          <w:bCs w:val="1"/>
          <w:i w:val="0"/>
          <w:color w:val="1A3A5C"/>
          <w:sz w:val="24"/>
          <w:szCs w:val="24"/>
          <w:rtl/>
          <w:cs/>
        </w:rPr>
        <w:t>١٠٫١ ما لا يتطلب مُدخَلاً خارجياً</w:t>
      </w:r>
    </w:p>
    <w:p>
      <w:pPr>
        <w:keepNext w:val="0"/>
        <w:bidi/>
        <w:spacing w:after="160" w:before="0" w:line="348" w:lineRule="auto"/>
        <w:jc w:val="both"/>
      </w:pPr>
      <w:r>
        <w:rPr>
          <w:rFonts w:ascii="Times New Roman" w:hAnsi="Times New Roman" w:cs="Noto Naskh Arabic"/>
          <w:b w:val="0"/>
          <w:i w:val="0"/>
          <w:color w:val="111111"/>
          <w:sz w:val="23"/>
          <w:szCs w:val="23"/>
          <w:rtl/>
          <w:cs/>
        </w:rPr>
        <w:t>أولها، وأرخصها وأعلاها مردوداً: إعادة توليد نسخ المُصنِّفات الستة بتقسيم متوازن (‏٧٠/٢٠/١٠) ثم إعادة تدريبها، لإغلاق القيد ١. فمُصنِّف العلامة وحده ينتقل بذلك من ٤٧ عيّنة اختبار إلى نحو ٣٤٠، ويحصل صنف sprite على عشرات العيّنات بدل واحدة — فتصبح أرقام القسم ٥٫٣ ذات دلالة إحصائية بدل أن تكون موحية. والكلفة الحاسوبية نحو أربع دقائق لكل مُصنِّف، أي أقل من نصف ساعة للمجموعة كلها؛ والعائق الوحيد توفّر أرصدة تدريب.</w:t>
      </w:r>
    </w:p>
    <w:p>
      <w:pPr>
        <w:keepNext w:val="0"/>
        <w:bidi/>
        <w:spacing w:after="160" w:before="0" w:line="348" w:lineRule="auto"/>
        <w:jc w:val="both"/>
      </w:pPr>
      <w:r>
        <w:rPr>
          <w:rFonts w:ascii="Times New Roman" w:hAnsi="Times New Roman" w:cs="Noto Naskh Arabic"/>
          <w:b w:val="0"/>
          <w:i w:val="0"/>
          <w:color w:val="111111"/>
          <w:sz w:val="23"/>
          <w:szCs w:val="23"/>
          <w:rtl/>
          <w:cs/>
        </w:rPr>
        <w:t>ويليها تقييم من طرف إلى طرف على مجموعة اختبار مُعلَّمة يدوياً، لقياس تراكم الخطأ عبر السلسلة (القيد ٥) — وهو أعلى البنود أولويةً علمياً، ولا يحتاج أرصدة إطلاقاً. ثم إعادة تقييم الكاشفين تحت أنبوب معالجة موحّد لإغلاق القيد ٣. ثم حصاد أول دفعة من التعلّم النشط ومراجعتها وإعادة التدريب عليها، وهو أول اختبار عملي لانغلاق الحلقة الموصوفة في القسم ٦.</w:t>
      </w:r>
    </w:p>
    <w:p>
      <w:pPr>
        <w:keepNext w:val="0"/>
        <w:bidi/>
        <w:spacing w:after="160" w:before="0" w:line="348" w:lineRule="auto"/>
        <w:jc w:val="both"/>
      </w:pPr>
      <w:r>
        <w:rPr>
          <w:rFonts w:ascii="Times New Roman" w:hAnsi="Times New Roman" w:cs="Noto Naskh Arabic"/>
          <w:b w:val="0"/>
          <w:i w:val="0"/>
          <w:color w:val="111111"/>
          <w:sz w:val="23"/>
          <w:szCs w:val="23"/>
          <w:rtl/>
          <w:cs/>
        </w:rPr>
        <w:t>ويُستحسن في كل ما سبق اعتماد تقسيم طبقي (‏stratified) يضمن حصة اختبار دنيا لكل صنف، بدل التقسيم العشوائي الذي أنتج الحالة الموصوفة في القيد ١ — إذ إن العشوائية على مجموعة غير متوازنة تترك الأصناف الصغيرة بلا تمثيل بحكم الاحتمال وحده.</w:t>
      </w:r>
    </w:p>
    <w:p>
      <w:pPr>
        <w:keepNext/>
        <w:bidi/>
        <w:spacing w:before="240" w:after="140"/>
      </w:pPr>
      <w:r>
        <w:rPr>
          <w:rFonts w:ascii="Times New Roman" w:hAnsi="Times New Roman" w:cs="Noto Naskh Arabic"/>
          <w:b/>
          <w:bCs w:val="1"/>
          <w:i w:val="0"/>
          <w:color w:val="1A3A5C"/>
          <w:sz w:val="24"/>
          <w:szCs w:val="24"/>
          <w:rtl/>
          <w:cs/>
        </w:rPr>
        <w:t>١٠٫٢ المحور المفتوح: إضافة الحجم إلى التسمية المركّبة</w:t>
      </w:r>
    </w:p>
    <w:p>
      <w:pPr>
        <w:keepNext w:val="0"/>
        <w:bidi/>
        <w:spacing w:after="160" w:before="0" w:line="348" w:lineRule="auto"/>
        <w:jc w:val="both"/>
      </w:pPr>
      <w:r>
        <w:rPr>
          <w:rFonts w:ascii="Times New Roman" w:hAnsi="Times New Roman" w:cs="Noto Naskh Arabic"/>
          <w:b w:val="0"/>
          <w:i w:val="0"/>
          <w:color w:val="111111"/>
          <w:sz w:val="23"/>
          <w:szCs w:val="23"/>
          <w:rtl/>
          <w:cs/>
        </w:rPr>
        <w:t>المحور الرابع والأخير في التسمية المستهدفة (القسم ٢) هو حجم العبوة — أي التمييز بين عبوة نصف اللتر ونظيرتها لتراً ونصف. وهو أصعب المحاور تقنياً، لأن الحجم المطلق لا يُستدل عليه من الصورة وحدها دون مرجع للمقياس.</w:t>
      </w:r>
    </w:p>
    <w:p>
      <w:pPr>
        <w:keepNext w:val="0"/>
        <w:bidi/>
        <w:spacing w:after="160" w:before="0" w:line="348" w:lineRule="auto"/>
        <w:jc w:val="both"/>
      </w:pPr>
      <w:r>
        <w:rPr>
          <w:rFonts w:ascii="Times New Roman" w:hAnsi="Times New Roman" w:cs="Noto Naskh Arabic"/>
          <w:b w:val="0"/>
          <w:i w:val="0"/>
          <w:color w:val="111111"/>
          <w:sz w:val="23"/>
          <w:szCs w:val="23"/>
          <w:rtl/>
          <w:cs/>
        </w:rPr>
        <w:t>والخطوة الأولى فيه ليست تقنية بل استقصائية: التحقق مما إذا كان الحجم مُلتبِساً أصلاً في هذا السوق — إذ قد لا تُباع كثير من التركيبات (علامة + متغيّر + نوع عبوة)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وللحالات الملتبسة الباقية، النهج المرشَّح هو المقارنة الهندسية بجسم مرجعي معلوم الحجم في الصورة ذاتها، مع اللجوء إلى مُصنِّف بصري للحجم إن ثبت قصور الأول. وكلاهما يتطلب مجموعة تحقق قبل الوثوق به.</w:t>
      </w:r>
    </w:p>
    <w:p>
      <w:pPr>
        <w:keepNext/>
        <w:bidi/>
        <w:spacing w:before="240" w:after="140"/>
      </w:pPr>
      <w:r>
        <w:rPr>
          <w:rFonts w:ascii="Times New Roman" w:hAnsi="Times New Roman" w:cs="Noto Naskh Arabic"/>
          <w:b/>
          <w:bCs w:val="1"/>
          <w:i w:val="0"/>
          <w:color w:val="1A3A5C"/>
          <w:sz w:val="24"/>
          <w:szCs w:val="24"/>
          <w:rtl/>
          <w:cs/>
        </w:rPr>
        <w:t>١٠٫٣ ما نحتاجه من خارج الفريق</w:t>
      </w:r>
    </w:p>
    <w:p>
      <w:pPr>
        <w:keepNext w:val="0"/>
        <w:bidi/>
        <w:spacing w:after="160" w:before="0" w:line="348" w:lineRule="auto"/>
        <w:jc w:val="both"/>
      </w:pPr>
      <w:r>
        <w:rPr>
          <w:rFonts w:ascii="Times New Roman" w:hAnsi="Times New Roman" w:cs="Noto Naskh Arabic"/>
          <w:b w:val="0"/>
          <w:i w:val="0"/>
          <w:color w:val="111111"/>
          <w:sz w:val="23"/>
          <w:szCs w:val="23"/>
          <w:rtl/>
          <w:cs/>
        </w:rPr>
        <w:t>أولاً، جولة تصوير ميداني موجَّهة، وهي القيد الحقيقي على التقدّم. ليست بنداً هندسياً، وقد حوّلها التقييم من طلب عام إلى قائمة بأولويات مُقاسة.</w:t>
      </w:r>
    </w:p>
    <w:p>
      <w:pPr>
        <w:keepNext/>
        <w:bidi/>
        <w:spacing w:before="240" w:after="100"/>
        <w:jc w:val="center"/>
      </w:pPr>
      <w:r>
        <w:rPr>
          <w:rFonts w:ascii="Times New Roman" w:hAnsi="Times New Roman" w:cs="Noto Naskh Arabic"/>
          <w:b/>
          <w:bCs w:val="1"/>
          <w:i w:val="0"/>
          <w:color w:val="555555"/>
          <w:sz w:val="19"/>
          <w:szCs w:val="19"/>
          <w:rtl/>
          <w:cs/>
        </w:rPr>
        <w:t xml:space="preserve">الجدول ١٢. </w:t>
      </w:r>
      <w:r>
        <w:rPr>
          <w:rFonts w:ascii="Times New Roman" w:hAnsi="Times New Roman" w:cs="Noto Naskh Arabic"/>
          <w:b w:val="0"/>
          <w:i w:val="0"/>
          <w:color w:val="555555"/>
          <w:sz w:val="19"/>
          <w:szCs w:val="19"/>
          <w:rtl/>
          <w:cs/>
        </w:rPr>
        <w:t>فجوات البيانات مرتّبة بأولوية مُقاسة، لا بتقدير.</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pPr>
            <w:r>
              <w:rPr>
                <w:rtl/>
                <w:cs/>
              </w:rPr>
            </w:r>
            <w:r>
              <w:rPr>
                <w:rFonts w:ascii="Times New Roman" w:hAnsi="Times New Roman" w:cs="Noto Naskh Arabic"/>
                <w:b/>
                <w:bCs w:val="1"/>
                <w:i w:val="0"/>
                <w:color w:val="111111"/>
                <w:sz w:val="20"/>
                <w:szCs w:val="20"/>
                <w:rtl/>
                <w:cs/>
              </w:rPr>
              <w:t>الفجوة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الحالة المُقاسة</w:t>
            </w:r>
          </w:p>
        </w:tc>
        <w:tc>
          <w:tcPr>
            <w:tcW w:type="dxa" w:w="2986"/>
          </w:tcPr>
          <w:p>
            <w:pPr>
              <w:bidi/>
              <w:spacing w:before="60" w:after="60"/>
            </w:pPr>
            <w:r>
              <w:rPr>
                <w:rtl/>
                <w:cs/>
              </w:rPr>
            </w:r>
            <w:r>
              <w:rPr>
                <w:rFonts w:ascii="Times New Roman" w:hAnsi="Times New Roman" w:cs="Noto Naskh Arabic"/>
                <w:b/>
                <w:bCs w:val="1"/>
                <w:i w:val="0"/>
                <w:color w:val="111111"/>
                <w:sz w:val="20"/>
                <w:szCs w:val="20"/>
                <w:rtl/>
                <w:cs/>
              </w:rPr>
              <w:t>الأولوية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Diet</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٠٪ / ٠٪ — ٥ صور مصدرية</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منتجات الزجاج</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٣٣٫٣٪ — ٣ عيّنات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نكهات Cappy الست</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Coca-Cola Zero</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استدعاء ٦٦٫٧٪</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 في الكاشف والمُصنِّف</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pPr>
            <w:r>
              <w:rPr>
                <w:rtl/>
                <w:cs/>
              </w:rPr>
            </w:r>
            <w:r>
              <w:rPr>
                <w:rFonts w:ascii="Times New Roman" w:hAnsi="Times New Roman" w:cs="Noto Naskh Arabic"/>
                <w:b w:val="0"/>
                <w:i w:val="0"/>
                <w:color w:val="111111"/>
                <w:sz w:val="20"/>
                <w:szCs w:val="20"/>
                <w:rtl/>
                <w:cs/>
              </w:rPr>
              <w:t>متغيّرا XL الرقيقان</w:t>
            </w:r>
          </w:p>
        </w:tc>
        <w:tc>
          <w:tcPr>
            <w:tcW w:type="dxa" w:w="2986"/>
          </w:tcPr>
          <w:p>
            <w:pPr>
              <w:bidi/>
              <w:spacing w:before="60" w:after="60"/>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pPr>
            <w:r>
              <w:rPr>
                <w:rtl/>
                <w:cs/>
              </w:rPr>
            </w:r>
            <w:r>
              <w:rPr>
                <w:rFonts w:ascii="Times New Roman" w:hAnsi="Times New Roman" w:cs="Noto Naskh Arabic"/>
                <w:b w:val="0"/>
                <w:i w:val="0"/>
                <w:color w:val="111111"/>
                <w:sz w:val="20"/>
                <w:szCs w:val="20"/>
                <w:rtl/>
                <w:cs/>
              </w:rPr>
              <w:t>متوسطة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ويلزم معها مجموعة تحقق للحجم من ٥٠ إلى ١٠٠ صورة يكون الحجم الحقيقي فيها معلوماً بيقين، إذ يتعذّر تقييم أي نهج لتقدير الحجم من دونها — فهي شرط مسبق للمحور الموصوف في القسم ١٠٫٢، لا مُكمِّل له.</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استمرارية الوصول إلى موارد التدريب والتقييم، إذ إن توفّر أدوات القياس هو ما جعل نتائج هذه الدراسة ممكنة.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توجيه لا يستطيع الفريق التقني إصداره وحده، وهو أهم ما نطلبه: ما عتبة الدقة التي تُعدّ جاهزة للإنتاج في هذا المجال؟ وقد صار هذا السؤال ملموساً بعد توفّر الأرقام. فطبقة العلامة عند إحكام ١٠٠٪ جاهزة بأي معيار، ومُصنِّف عند ٥٦٪ ليس جاهزاً بأي معيار. لكن ماذا عن الحالات الوسطى؟ هل يُقبَل صنف عند استدعاء ٦٦٫٧٪ في تقرير يُسلَّم لعميل؟ أم يُعرَض بتحفّظ؟ أم يُحجَب حتى تتحسّن بياناته؟</w:t>
      </w:r>
    </w:p>
    <w:p>
      <w:pPr>
        <w:keepNext w:val="0"/>
        <w:bidi/>
        <w:spacing w:after="160" w:before="0" w:line="348" w:lineRule="auto"/>
        <w:jc w:val="both"/>
      </w:pPr>
      <w:r>
        <w:rPr>
          <w:rFonts w:ascii="Times New Roman" w:hAnsi="Times New Roman" w:cs="Noto Naskh Arabic"/>
          <w:b w:val="0"/>
          <w:i w:val="0"/>
          <w:color w:val="111111"/>
          <w:sz w:val="23"/>
          <w:szCs w:val="23"/>
          <w:rtl/>
          <w:cs/>
        </w:rPr>
        <w:t>والإجابة تحدد مباشرةً السلوك الهندسي: مدى ميل النظام إلى إحالة القرار للمراجعة البشرية بدل الحسم آلياً. وهي حكم تجاري يتعلق بما يقبله العميل ويتحمّله عقد الخدمة، لا مسألة تقنية — وستُشكّل الجولة القادمة من عمل الضبط.</w:t>
      </w:r>
    </w:p>
    <w:p>
      <w:pPr>
        <w:keepNext/>
        <w:bidi/>
        <w:spacing w:before="360" w:after="140"/>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اختبرت هذه الدراسة فرضية مفادها أن فصل التوطين عن الهوية في أنظمة الرؤية الحاسوبية التطبيقية يحسّن الدقة وقابلية التوسّع معاً. وتدعم النتائج الفرضية بأدلة مُقاسة.</w:t>
      </w:r>
    </w:p>
    <w:p>
      <w:pPr>
        <w:keepNext w:val="0"/>
        <w:bidi/>
        <w:spacing w:after="160" w:before="0" w:line="348" w:lineRule="auto"/>
        <w:jc w:val="both"/>
      </w:pPr>
      <w:r>
        <w:rPr>
          <w:rFonts w:ascii="Times New Roman" w:hAnsi="Times New Roman" w:cs="Noto Naskh Arabic"/>
          <w:b w:val="0"/>
          <w:i w:val="0"/>
          <w:color w:val="111111"/>
          <w:sz w:val="23"/>
          <w:szCs w:val="23"/>
          <w:rtl/>
          <w:cs/>
        </w:rPr>
        <w:t>أولاً، تفوّق النهج متعدد الطبقات على النهج الأحادي في كل مقاييس الدقة المتوسطة وفي الاستدعاء، انطلاقاً من الصور المصدرية ذاتها، ورغم أن خصمه قُيِّم في الظرف الأيسر. ويكشف التفصيل الصنفي آلية ذلك: إشارة تدريب محدودة مقسومة على ستة أصناف تُنتج أداءً يحدّه أضعف صنف لا أقواه، بينما يوحّدها الفصل في صنف واحد ويؤجّل التمييز إلى طبقة تملك تفصيلاً بصرياً أوفر.</w:t>
      </w:r>
    </w:p>
    <w:p>
      <w:pPr>
        <w:keepNext w:val="0"/>
        <w:bidi/>
        <w:spacing w:after="160" w:before="0" w:line="348" w:lineRule="auto"/>
        <w:jc w:val="both"/>
      </w:pPr>
      <w:r>
        <w:rPr>
          <w:rFonts w:ascii="Times New Roman" w:hAnsi="Times New Roman" w:cs="Noto Naskh Arabic"/>
          <w:b w:val="0"/>
          <w:i w:val="0"/>
          <w:color w:val="111111"/>
          <w:sz w:val="23"/>
          <w:szCs w:val="23"/>
          <w:rtl/>
          <w:cs/>
        </w:rPr>
        <w:t>وثانياً، شكل النمو يستحق القياس بقدر ما تستحقه الدقة. فالفارق بين ‎O(N×K)‎ و‎O(N)‎ لا يظهر في صورة واحدة، لكنه يحدد ما إذا كان النظام سيظل عملياً بعد عشر علامات أو ينهار تحت وزنه.</w:t>
      </w:r>
    </w:p>
    <w:p>
      <w:pPr>
        <w:keepNext w:val="0"/>
        <w:bidi/>
        <w:spacing w:after="160" w:before="0" w:line="348" w:lineRule="auto"/>
        <w:jc w:val="both"/>
      </w:pPr>
      <w:r>
        <w:rPr>
          <w:rFonts w:ascii="Times New Roman" w:hAnsi="Times New Roman" w:cs="Noto Naskh Arabic"/>
          <w:b w:val="0"/>
          <w:i w:val="0"/>
          <w:color w:val="111111"/>
          <w:sz w:val="23"/>
          <w:szCs w:val="23"/>
          <w:rtl/>
          <w:cs/>
        </w:rPr>
        <w:t>وثالثاً، الكلفة الحدّية لتوسيع الكتالوج — نحو أربع دقائق من زمن معالج الرسوميات، مقيسة أربع مرات — هي الترجمة العملية للمكسب المعماري، وهي المقياس الأهم تجارياً لا دقة النموذج المفردة.</w:t>
      </w:r>
    </w:p>
    <w:p>
      <w:pPr>
        <w:keepNext w:val="0"/>
        <w:bidi/>
        <w:spacing w:after="160" w:before="0" w:line="348" w:lineRule="auto"/>
        <w:jc w:val="both"/>
      </w:pPr>
      <w:r>
        <w:rPr>
          <w:rFonts w:ascii="Times New Roman" w:hAnsi="Times New Roman" w:cs="Noto Naskh Arabic"/>
          <w:b w:val="0"/>
          <w:i w:val="0"/>
          <w:color w:val="111111"/>
          <w:sz w:val="23"/>
          <w:szCs w:val="23"/>
          <w:rtl/>
          <w:cs/>
        </w:rPr>
        <w:t>ورابعاً، جودة البيانات تُقيّد سقف أي معمارية. وقد صار هذا مُقاساً لا مُستنتَجاً: كل نقطة ضعف مفردة ترتد إلى ندرة بيانات محدّدة قابلة للعدّ، ولا واحدة ترتد إلى خلل في التصميم. ولذلك فإن أهم بند في المرحلة القادمة ليس هندسياً،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وما تحقّق — كاشف أدقّ من الصور المصدرية ذاتها، وستّ طبقات تصنيف عاملة ومُقاسة، ومعمارية توجيه مُثبَتة أربع مرات، وحلقة تعلّم نشط حيّة، بكلفة تدريب إجمالية تقلّ عن ساعة وربع — يمثّل أساساً مُثبَتاً تجريبياً للبناء عليه، لا منتجاً مكتملاً. والقيود في القسم ٩ محدّدة ومعروفة الكلفة، وليس فيها ما يشير إلى خلل في التصميم الأساسي.</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