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Every accuracy figure in this study is measured at a single fixed confidence threshold of 0.70 — not at each class's own optimal threshold, since one system cannot run a different threshold per class. The multi-stage approach outperformed the single-layer one on all six detection metrics: 93.33% mAP@50 against 88.62%, 76.49% mAP@50-95 against 70.09%, and 80.7% recall against 74.0%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byte-identical output. The marginal cost of adding a new brand to the catalogue is approximately four minutes of GPU time, measured four separate times. The unifying result is that every measured weakness in the system traces to a specific, countable data-supply gap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“Variant” here is an umbrella term for any distinction within a single brand, whatever its basis — flavour or taste (fanta-orange, cappy-mango), formulation (coca-zero, coca-diet: the same drink at a different sugar content), or product line (xl-classic, xl-red). The general term is deliberate, because the basis is not uniform across brands: Fanta's distinction is purely a flavour one, whereas Coca-Cola's is not a flavour at all. Naming the axis “flavour” would misdescribe half the connected brands.</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Augmentation</w:t>
            </w:r>
          </w:p>
        </w:tc>
        <w:tc>
          <w:tcPr>
            <w:tcW w:type="dxa" w:w="2986"/>
          </w:tcPr>
          <w:p>
            <w:pPr>
              <w:spacing w:before="60" w:after="60"/>
              <w:jc w:val="left"/>
            </w:pPr>
            <w:r/>
            <w:r>
              <w:rPr>
                <w:rFonts w:ascii="Times New Roman" w:hAnsi="Times New Roman" w:cs="Times New Roman"/>
                <w:b w:val="0"/>
                <w:i w:val="0"/>
                <w:color w:val="111111"/>
                <w:sz w:val="20"/>
                <w:szCs w:val="20"/>
              </w:rPr>
              <w:t>horizontal flip, 15° rotation</w:t>
            </w:r>
          </w:p>
        </w:tc>
        <w:tc>
          <w:tcPr>
            <w:tcW w:type="dxa" w:w="2986"/>
          </w:tcPr>
          <w:p>
            <w:pPr>
              <w:spacing w:before="60" w:after="60"/>
              <w:jc w:val="left"/>
            </w:pPr>
            <w:r/>
            <w:r>
              <w:rPr>
                <w:rFonts w:ascii="Times New Roman" w:hAnsi="Times New Roman" w:cs="Times New Roman"/>
                <w:b w:val="0"/>
                <w:i w:val="0"/>
                <w:color w:val="111111"/>
                <w:sz w:val="20"/>
                <w:szCs w:val="20"/>
              </w:rPr>
              <w:t>blur, exposure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(flavour, formulation, or product line, depending on the brand; see Section 2),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5.5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5.5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val="0"/>
        <w:spacing w:after="160" w:before="0" w:line="348" w:lineRule="auto"/>
        <w:jc w:val="both"/>
      </w:pPr>
      <w:r>
        <w:rPr>
          <w:rFonts w:ascii="Times New Roman" w:hAnsi="Times New Roman" w:cs="Times New Roman"/>
          <w:b w:val="0"/>
          <w:i w:val="0"/>
          <w:color w:val="111111"/>
          <w:sz w:val="23"/>
          <w:szCs w:val="23"/>
        </w:rPr>
        <w:t>The accuracy of any classification system is measured at a declared confidence threshold: the model emits a confidence score with every prediction, and the prediction counts only if that score exceeds an agreed threshold. This study adopts a single fixed threshold of 0.70 for every classification figure it reports — for both detectors and all six classifiers.</w:t>
      </w:r>
    </w:p>
    <w:p>
      <w:pPr>
        <w:keepNext w:val="0"/>
        <w:spacing w:after="160" w:before="0" w:line="348" w:lineRule="auto"/>
        <w:jc w:val="both"/>
      </w:pPr>
      <w:r>
        <w:rPr>
          <w:rFonts w:ascii="Times New Roman" w:hAnsi="Times New Roman" w:cs="Times New Roman"/>
          <w:b w:val="0"/>
          <w:i w:val="0"/>
          <w:color w:val="111111"/>
          <w:sz w:val="23"/>
          <w:szCs w:val="23"/>
        </w:rPr>
        <w:t>This choice is methodological, not cosmetic. The evaluation tool computes for each class its own “optimal threshold”, the point at which that class performs best; here those range from zero to 0.91 depending on the class. Reporting each class at its own threshold yields high numbers but does not describe a single system, because a running system cannot apply a different threshold to each class simultaneously. A single fixed threshold describes what actually happens when the pipeline runs as one unit, and it is the stricter choice — the figures below are lower than their optimal-threshold counterparts, deliberately.</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 Precision, recall and F1 at a 0.70 threshold for both; the mAP metrics are threshold-independent, being computed across all thresholds.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91.6%</w:t>
            </w:r>
          </w:p>
        </w:tc>
        <w:tc>
          <w:tcPr>
            <w:tcW w:type="dxa" w:w="2239"/>
          </w:tcPr>
          <w:p>
            <w:pPr>
              <w:spacing w:before="60" w:after="60"/>
              <w:jc w:val="left"/>
            </w:pPr>
            <w:r/>
            <w:r>
              <w:rPr>
                <w:rFonts w:ascii="Times New Roman" w:hAnsi="Times New Roman" w:cs="Times New Roman"/>
                <w:b w:val="0"/>
                <w:i w:val="0"/>
                <w:color w:val="111111"/>
                <w:sz w:val="20"/>
                <w:szCs w:val="20"/>
              </w:rPr>
              <w:t>92.0%</w:t>
            </w:r>
          </w:p>
        </w:tc>
        <w:tc>
          <w:tcPr>
            <w:tcW w:type="dxa" w:w="2239"/>
          </w:tcPr>
          <w:p>
            <w:pPr>
              <w:spacing w:before="60" w:after="60"/>
              <w:jc w:val="left"/>
            </w:pPr>
            <w:r/>
            <w:r>
              <w:rPr>
                <w:rFonts w:ascii="Times New Roman" w:hAnsi="Times New Roman" w:cs="Times New Roman"/>
                <w:b w:val="0"/>
                <w:i w:val="0"/>
                <w:color w:val="111111"/>
                <w:sz w:val="20"/>
                <w:szCs w:val="20"/>
              </w:rPr>
              <w:t>+0.40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74.0%</w:t>
            </w:r>
          </w:p>
        </w:tc>
        <w:tc>
          <w:tcPr>
            <w:tcW w:type="dxa" w:w="2239"/>
          </w:tcPr>
          <w:p>
            <w:pPr>
              <w:spacing w:before="60" w:after="60"/>
              <w:jc w:val="left"/>
            </w:pPr>
            <w:r/>
            <w:r>
              <w:rPr>
                <w:rFonts w:ascii="Times New Roman" w:hAnsi="Times New Roman" w:cs="Times New Roman"/>
                <w:b w:val="0"/>
                <w:i w:val="0"/>
                <w:color w:val="111111"/>
                <w:sz w:val="20"/>
                <w:szCs w:val="20"/>
              </w:rPr>
              <w:t>80.7%</w:t>
            </w:r>
          </w:p>
        </w:tc>
        <w:tc>
          <w:tcPr>
            <w:tcW w:type="dxa" w:w="2239"/>
          </w:tcPr>
          <w:p>
            <w:pPr>
              <w:spacing w:before="60" w:after="60"/>
              <w:jc w:val="left"/>
            </w:pPr>
            <w:r/>
            <w:r>
              <w:rPr>
                <w:rFonts w:ascii="Times New Roman" w:hAnsi="Times New Roman" w:cs="Times New Roman"/>
                <w:b w:val="0"/>
                <w:i w:val="0"/>
                <w:color w:val="111111"/>
                <w:sz w:val="20"/>
                <w:szCs w:val="20"/>
              </w:rPr>
              <w:t>+6.70</w:t>
            </w:r>
          </w:p>
        </w:tc>
      </w:tr>
      <w:tr>
        <w:tc>
          <w:tcPr>
            <w:tcW w:type="dxa" w:w="2239"/>
          </w:tcPr>
          <w:p>
            <w:pPr>
              <w:spacing w:before="60" w:after="60"/>
              <w:jc w:val="left"/>
            </w:pPr>
            <w:r/>
            <w:r>
              <w:rPr>
                <w:rFonts w:ascii="Times New Roman" w:hAnsi="Times New Roman" w:cs="Times New Roman"/>
                <w:b w:val="0"/>
                <w:i w:val="0"/>
                <w:color w:val="111111"/>
                <w:sz w:val="20"/>
                <w:szCs w:val="20"/>
              </w:rPr>
              <w:t>F1</w:t>
            </w:r>
          </w:p>
        </w:tc>
        <w:tc>
          <w:tcPr>
            <w:tcW w:type="dxa" w:w="2239"/>
          </w:tcPr>
          <w:p>
            <w:pPr>
              <w:spacing w:before="60" w:after="60"/>
              <w:jc w:val="left"/>
            </w:pPr>
            <w:r/>
            <w:r>
              <w:rPr>
                <w:rFonts w:ascii="Times New Roman" w:hAnsi="Times New Roman" w:cs="Times New Roman"/>
                <w:b w:val="0"/>
                <w:i w:val="0"/>
                <w:color w:val="111111"/>
                <w:sz w:val="20"/>
                <w:szCs w:val="20"/>
              </w:rPr>
              <w:t>81.6%</w:t>
            </w:r>
          </w:p>
        </w:tc>
        <w:tc>
          <w:tcPr>
            <w:tcW w:type="dxa" w:w="2239"/>
          </w:tcPr>
          <w:p>
            <w:pPr>
              <w:spacing w:before="60" w:after="60"/>
              <w:jc w:val="left"/>
            </w:pPr>
            <w:r/>
            <w:r>
              <w:rPr>
                <w:rFonts w:ascii="Times New Roman" w:hAnsi="Times New Roman" w:cs="Times New Roman"/>
                <w:b w:val="0"/>
                <w:i w:val="0"/>
                <w:color w:val="111111"/>
                <w:sz w:val="20"/>
                <w:szCs w:val="20"/>
              </w:rPr>
              <w:t>85.9%</w:t>
            </w:r>
          </w:p>
        </w:tc>
        <w:tc>
          <w:tcPr>
            <w:tcW w:type="dxa" w:w="2239"/>
          </w:tcPr>
          <w:p>
            <w:pPr>
              <w:spacing w:before="60" w:after="60"/>
              <w:jc w:val="left"/>
            </w:pPr>
            <w:r/>
            <w:r>
              <w:rPr>
                <w:rFonts w:ascii="Times New Roman" w:hAnsi="Times New Roman" w:cs="Times New Roman"/>
                <w:b w:val="0"/>
                <w:i w:val="0"/>
                <w:color w:val="111111"/>
                <w:sz w:val="20"/>
                <w:szCs w:val="20"/>
              </w:rPr>
              <w:t>+4.30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all six metrics,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widest margin is in recall: 80.7% against 74.0%, a gap of 6.7 points. This is the more important metric in this domain, because a product that is never detected corrupts the inventory with no way to recover it later, whereas a spurious detection is corrected by the human reviewer. Precision is near-identical (92.0% against 91.6%), meaning the recall gain was not bought by conceding precision, as the usual trade would have it.</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 It is presented here alongside the annotation distribution of the same project, so that the effect can be set against its direct cause.</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The single-layer approach on a real shelf: 75 detections, every label at brand level only — this approach's ceiling by construction, since its classes are the brands themselves. The share-of-shelf figures beneath are computed at the same level. The domain conditions described in Section 7 are also visible here: high display density, mutual occlusion, and reflections off the glass.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(0.70 threshold) against each class's share of the annotation budget. Total: 4,879 annotations.</w:t>
      </w:r>
    </w:p>
    <w:tbl>
      <w:tblPr>
        <w:tblStyle w:val="TableGrid"/>
        <w:tblW w:type="auto" w:w="0"/>
        <w:jc w:val="left"/>
        <w:tblLook w:firstColumn="1" w:firstRow="1" w:lastColumn="0" w:lastRow="0" w:noHBand="0" w:noVBand="1" w:val="04A0"/>
      </w:tblPr>
      <w:tblGrid>
        <w:gridCol w:w="1493"/>
        <w:gridCol w:w="1493"/>
        <w:gridCol w:w="1493"/>
        <w:gridCol w:w="1493"/>
        <w:gridCol w:w="1493"/>
        <w:gridCol w:w="1493"/>
      </w:tblGrid>
      <w:tr>
        <w:tc>
          <w:tcPr>
            <w:tcW w:type="dxa" w:w="1493"/>
          </w:tcPr>
          <w:p>
            <w:pPr>
              <w:spacing w:before="60" w:after="60"/>
              <w:jc w:val="left"/>
            </w:pPr>
            <w:r/>
            <w:r>
              <w:rPr>
                <w:rFonts w:ascii="Times New Roman" w:hAnsi="Times New Roman" w:cs="Times New Roman"/>
                <w:b/>
                <w:bCs w:val="1"/>
                <w:i w:val="0"/>
                <w:color w:val="111111"/>
                <w:sz w:val="20"/>
                <w:szCs w:val="20"/>
              </w:rPr>
              <w:t>Class</w:t>
            </w:r>
          </w:p>
        </w:tc>
        <w:tc>
          <w:tcPr>
            <w:tcW w:type="dxa" w:w="1493"/>
          </w:tcPr>
          <w:p>
            <w:pPr>
              <w:spacing w:before="60" w:after="60"/>
              <w:jc w:val="left"/>
            </w:pPr>
            <w:r/>
            <w:r>
              <w:rPr>
                <w:rFonts w:ascii="Times New Roman" w:hAnsi="Times New Roman" w:cs="Times New Roman"/>
                <w:b/>
                <w:bCs w:val="1"/>
                <w:i w:val="0"/>
                <w:color w:val="111111"/>
                <w:sz w:val="20"/>
                <w:szCs w:val="20"/>
              </w:rPr>
              <w:t>Annotations</w:t>
            </w:r>
          </w:p>
        </w:tc>
        <w:tc>
          <w:tcPr>
            <w:tcW w:type="dxa" w:w="1493"/>
          </w:tcPr>
          <w:p>
            <w:pPr>
              <w:spacing w:before="60" w:after="60"/>
              <w:jc w:val="left"/>
            </w:pPr>
            <w:r/>
            <w:r>
              <w:rPr>
                <w:rFonts w:ascii="Times New Roman" w:hAnsi="Times New Roman" w:cs="Times New Roman"/>
                <w:b/>
                <w:bCs w:val="1"/>
                <w:i w:val="0"/>
                <w:color w:val="111111"/>
                <w:sz w:val="20"/>
                <w:szCs w:val="20"/>
              </w:rPr>
              <w:t>Share</w:t>
            </w:r>
          </w:p>
        </w:tc>
        <w:tc>
          <w:tcPr>
            <w:tcW w:type="dxa" w:w="1493"/>
          </w:tcPr>
          <w:p>
            <w:pPr>
              <w:spacing w:before="60" w:after="60"/>
              <w:jc w:val="left"/>
            </w:pPr>
            <w:r/>
            <w:r>
              <w:rPr>
                <w:rFonts w:ascii="Times New Roman" w:hAnsi="Times New Roman" w:cs="Times New Roman"/>
                <w:b/>
                <w:bCs w:val="1"/>
                <w:i w:val="0"/>
                <w:color w:val="111111"/>
                <w:sz w:val="20"/>
                <w:szCs w:val="20"/>
              </w:rPr>
              <w:t>mAP@50</w:t>
            </w:r>
          </w:p>
        </w:tc>
        <w:tc>
          <w:tcPr>
            <w:tcW w:type="dxa" w:w="1493"/>
          </w:tcPr>
          <w:p>
            <w:pPr>
              <w:spacing w:before="60" w:after="60"/>
              <w:jc w:val="left"/>
            </w:pPr>
            <w:r/>
            <w:r>
              <w:rPr>
                <w:rFonts w:ascii="Times New Roman" w:hAnsi="Times New Roman" w:cs="Times New Roman"/>
                <w:b/>
                <w:bCs w:val="1"/>
                <w:i w:val="0"/>
                <w:color w:val="111111"/>
                <w:sz w:val="20"/>
                <w:szCs w:val="20"/>
              </w:rPr>
              <w:t>Precision</w:t>
            </w:r>
          </w:p>
        </w:tc>
        <w:tc>
          <w:tcPr>
            <w:tcW w:type="dxa" w:w="1493"/>
          </w:tcPr>
          <w:p>
            <w:pPr>
              <w:spacing w:before="60" w:after="60"/>
              <w:jc w:val="left"/>
            </w:pPr>
            <w:r/>
            <w:r>
              <w:rPr>
                <w:rFonts w:ascii="Times New Roman" w:hAnsi="Times New Roman" w:cs="Times New Roman"/>
                <w:b/>
                <w:bCs w:val="1"/>
                <w:i w:val="0"/>
                <w:color w:val="111111"/>
                <w:sz w:val="20"/>
                <w:szCs w:val="20"/>
              </w:rPr>
              <w:t>Recall</w:t>
            </w:r>
          </w:p>
        </w:tc>
      </w:tr>
      <w:tr>
        <w:tc>
          <w:tcPr>
            <w:tcW w:type="dxa" w:w="1493"/>
          </w:tcPr>
          <w:p>
            <w:pPr>
              <w:spacing w:before="60" w:after="60"/>
              <w:jc w:val="left"/>
            </w:pPr>
            <w:r/>
            <w:r>
              <w:rPr>
                <w:rFonts w:ascii="Times New Roman" w:hAnsi="Times New Roman" w:cs="Times New Roman"/>
                <w:b w:val="0"/>
                <w:i w:val="0"/>
                <w:color w:val="111111"/>
                <w:sz w:val="20"/>
                <w:szCs w:val="20"/>
              </w:rPr>
              <w:t>coca-cola</w:t>
            </w:r>
          </w:p>
        </w:tc>
        <w:tc>
          <w:tcPr>
            <w:tcW w:type="dxa" w:w="1493"/>
          </w:tcPr>
          <w:p>
            <w:pPr>
              <w:spacing w:before="60" w:after="60"/>
              <w:jc w:val="left"/>
            </w:pPr>
            <w:r/>
            <w:r>
              <w:rPr>
                <w:rFonts w:ascii="Times New Roman" w:hAnsi="Times New Roman" w:cs="Times New Roman"/>
                <w:b w:val="0"/>
                <w:i w:val="0"/>
                <w:color w:val="111111"/>
                <w:sz w:val="20"/>
                <w:szCs w:val="20"/>
              </w:rPr>
              <w:t>2,079</w:t>
            </w:r>
          </w:p>
        </w:tc>
        <w:tc>
          <w:tcPr>
            <w:tcW w:type="dxa" w:w="1493"/>
          </w:tcPr>
          <w:p>
            <w:pPr>
              <w:spacing w:before="60" w:after="60"/>
              <w:jc w:val="left"/>
            </w:pPr>
            <w:r/>
            <w:r>
              <w:rPr>
                <w:rFonts w:ascii="Times New Roman" w:hAnsi="Times New Roman" w:cs="Times New Roman"/>
                <w:b w:val="0"/>
                <w:i w:val="0"/>
                <w:color w:val="111111"/>
                <w:sz w:val="20"/>
                <w:szCs w:val="20"/>
              </w:rPr>
              <w:t>42.6%</w:t>
            </w:r>
          </w:p>
        </w:tc>
        <w:tc>
          <w:tcPr>
            <w:tcW w:type="dxa" w:w="1493"/>
          </w:tcPr>
          <w:p>
            <w:pPr>
              <w:spacing w:before="60" w:after="60"/>
              <w:jc w:val="left"/>
            </w:pPr>
            <w:r/>
            <w:r>
              <w:rPr>
                <w:rFonts w:ascii="Times New Roman" w:hAnsi="Times New Roman" w:cs="Times New Roman"/>
                <w:b w:val="0"/>
                <w:i w:val="0"/>
                <w:color w:val="111111"/>
                <w:sz w:val="20"/>
                <w:szCs w:val="20"/>
              </w:rPr>
              <w:t>89.27%</w:t>
            </w:r>
          </w:p>
        </w:tc>
        <w:tc>
          <w:tcPr>
            <w:tcW w:type="dxa" w:w="1493"/>
          </w:tcPr>
          <w:p>
            <w:pPr>
              <w:spacing w:before="60" w:after="60"/>
              <w:jc w:val="left"/>
            </w:pPr>
            <w:r/>
            <w:r>
              <w:rPr>
                <w:rFonts w:ascii="Times New Roman" w:hAnsi="Times New Roman" w:cs="Times New Roman"/>
                <w:b w:val="0"/>
                <w:i w:val="0"/>
                <w:color w:val="111111"/>
                <w:sz w:val="20"/>
                <w:szCs w:val="20"/>
              </w:rPr>
              <w:t>96.1%</w:t>
            </w:r>
          </w:p>
        </w:tc>
        <w:tc>
          <w:tcPr>
            <w:tcW w:type="dxa" w:w="1493"/>
          </w:tcPr>
          <w:p>
            <w:pPr>
              <w:spacing w:before="60" w:after="60"/>
              <w:jc w:val="left"/>
            </w:pPr>
            <w:r/>
            <w:r>
              <w:rPr>
                <w:rFonts w:ascii="Times New Roman" w:hAnsi="Times New Roman" w:cs="Times New Roman"/>
                <w:b w:val="0"/>
                <w:i w:val="0"/>
                <w:color w:val="111111"/>
                <w:sz w:val="20"/>
                <w:szCs w:val="20"/>
              </w:rPr>
              <w:t>71.3%</w:t>
            </w:r>
          </w:p>
        </w:tc>
      </w:tr>
      <w:tr>
        <w:tc>
          <w:tcPr>
            <w:tcW w:type="dxa" w:w="1493"/>
          </w:tcPr>
          <w:p>
            <w:pPr>
              <w:spacing w:before="60" w:after="60"/>
              <w:jc w:val="left"/>
            </w:pPr>
            <w:r/>
            <w:r>
              <w:rPr>
                <w:rFonts w:ascii="Times New Roman" w:hAnsi="Times New Roman" w:cs="Times New Roman"/>
                <w:b w:val="0"/>
                <w:i w:val="0"/>
                <w:color w:val="111111"/>
                <w:sz w:val="20"/>
                <w:szCs w:val="20"/>
              </w:rPr>
              <w:t>cappy</w:t>
            </w:r>
          </w:p>
        </w:tc>
        <w:tc>
          <w:tcPr>
            <w:tcW w:type="dxa" w:w="1493"/>
          </w:tcPr>
          <w:p>
            <w:pPr>
              <w:spacing w:before="60" w:after="60"/>
              <w:jc w:val="left"/>
            </w:pPr>
            <w:r/>
            <w:r>
              <w:rPr>
                <w:rFonts w:ascii="Times New Roman" w:hAnsi="Times New Roman" w:cs="Times New Roman"/>
                <w:b w:val="0"/>
                <w:i w:val="0"/>
                <w:color w:val="111111"/>
                <w:sz w:val="20"/>
                <w:szCs w:val="20"/>
              </w:rPr>
              <w:t>948</w:t>
            </w:r>
          </w:p>
        </w:tc>
        <w:tc>
          <w:tcPr>
            <w:tcW w:type="dxa" w:w="1493"/>
          </w:tcPr>
          <w:p>
            <w:pPr>
              <w:spacing w:before="60" w:after="60"/>
              <w:jc w:val="left"/>
            </w:pPr>
            <w:r/>
            <w:r>
              <w:rPr>
                <w:rFonts w:ascii="Times New Roman" w:hAnsi="Times New Roman" w:cs="Times New Roman"/>
                <w:b w:val="0"/>
                <w:i w:val="0"/>
                <w:color w:val="111111"/>
                <w:sz w:val="20"/>
                <w:szCs w:val="20"/>
              </w:rPr>
              <w:t>19.4%</w:t>
            </w:r>
          </w:p>
        </w:tc>
        <w:tc>
          <w:tcPr>
            <w:tcW w:type="dxa" w:w="1493"/>
          </w:tcPr>
          <w:p>
            <w:pPr>
              <w:spacing w:before="60" w:after="60"/>
              <w:jc w:val="left"/>
            </w:pPr>
            <w:r/>
            <w:r>
              <w:rPr>
                <w:rFonts w:ascii="Times New Roman" w:hAnsi="Times New Roman" w:cs="Times New Roman"/>
                <w:b w:val="0"/>
                <w:i w:val="0"/>
                <w:color w:val="111111"/>
                <w:sz w:val="20"/>
                <w:szCs w:val="20"/>
              </w:rPr>
              <w:t>85.62%</w:t>
            </w:r>
          </w:p>
        </w:tc>
        <w:tc>
          <w:tcPr>
            <w:tcW w:type="dxa" w:w="1493"/>
          </w:tcPr>
          <w:p>
            <w:pPr>
              <w:spacing w:before="60" w:after="60"/>
              <w:jc w:val="left"/>
            </w:pPr>
            <w:r/>
            <w:r>
              <w:rPr>
                <w:rFonts w:ascii="Times New Roman" w:hAnsi="Times New Roman" w:cs="Times New Roman"/>
                <w:b w:val="0"/>
                <w:i w:val="0"/>
                <w:color w:val="111111"/>
                <w:sz w:val="20"/>
                <w:szCs w:val="20"/>
              </w:rPr>
              <w:t>89.4%</w:t>
            </w:r>
          </w:p>
        </w:tc>
        <w:tc>
          <w:tcPr>
            <w:tcW w:type="dxa" w:w="1493"/>
          </w:tcPr>
          <w:p>
            <w:pPr>
              <w:spacing w:before="60" w:after="60"/>
              <w:jc w:val="left"/>
            </w:pPr>
            <w:r/>
            <w:r>
              <w:rPr>
                <w:rFonts w:ascii="Times New Roman" w:hAnsi="Times New Roman" w:cs="Times New Roman"/>
                <w:b w:val="0"/>
                <w:i w:val="0"/>
                <w:color w:val="111111"/>
                <w:sz w:val="20"/>
                <w:szCs w:val="20"/>
              </w:rPr>
              <w:t>75.0%</w:t>
            </w:r>
          </w:p>
        </w:tc>
      </w:tr>
      <w:tr>
        <w:tc>
          <w:tcPr>
            <w:tcW w:type="dxa" w:w="1493"/>
          </w:tcPr>
          <w:p>
            <w:pPr>
              <w:spacing w:before="60" w:after="60"/>
              <w:jc w:val="left"/>
            </w:pPr>
            <w:r/>
            <w:r>
              <w:rPr>
                <w:rFonts w:ascii="Times New Roman" w:hAnsi="Times New Roman" w:cs="Times New Roman"/>
                <w:b w:val="0"/>
                <w:i w:val="0"/>
                <w:color w:val="111111"/>
                <w:sz w:val="20"/>
                <w:szCs w:val="20"/>
              </w:rPr>
              <w:t>xl_energy</w:t>
            </w:r>
          </w:p>
        </w:tc>
        <w:tc>
          <w:tcPr>
            <w:tcW w:type="dxa" w:w="1493"/>
          </w:tcPr>
          <w:p>
            <w:pPr>
              <w:spacing w:before="60" w:after="60"/>
              <w:jc w:val="left"/>
            </w:pPr>
            <w:r/>
            <w:r>
              <w:rPr>
                <w:rFonts w:ascii="Times New Roman" w:hAnsi="Times New Roman" w:cs="Times New Roman"/>
                <w:b w:val="0"/>
                <w:i w:val="0"/>
                <w:color w:val="111111"/>
                <w:sz w:val="20"/>
                <w:szCs w:val="20"/>
              </w:rPr>
              <w:t>661</w:t>
            </w:r>
          </w:p>
        </w:tc>
        <w:tc>
          <w:tcPr>
            <w:tcW w:type="dxa" w:w="1493"/>
          </w:tcPr>
          <w:p>
            <w:pPr>
              <w:spacing w:before="60" w:after="60"/>
              <w:jc w:val="left"/>
            </w:pPr>
            <w:r/>
            <w:r>
              <w:rPr>
                <w:rFonts w:ascii="Times New Roman" w:hAnsi="Times New Roman" w:cs="Times New Roman"/>
                <w:b w:val="0"/>
                <w:i w:val="0"/>
                <w:color w:val="111111"/>
                <w:sz w:val="20"/>
                <w:szCs w:val="20"/>
              </w:rPr>
              <w:t>13.5%</w:t>
            </w:r>
          </w:p>
        </w:tc>
        <w:tc>
          <w:tcPr>
            <w:tcW w:type="dxa" w:w="1493"/>
          </w:tcPr>
          <w:p>
            <w:pPr>
              <w:spacing w:before="60" w:after="60"/>
              <w:jc w:val="left"/>
            </w:pPr>
            <w:r/>
            <w:r>
              <w:rPr>
                <w:rFonts w:ascii="Times New Roman" w:hAnsi="Times New Roman" w:cs="Times New Roman"/>
                <w:b w:val="0"/>
                <w:i w:val="0"/>
                <w:color w:val="111111"/>
                <w:sz w:val="20"/>
                <w:szCs w:val="20"/>
              </w:rPr>
              <w:t>91.97%</w:t>
            </w:r>
          </w:p>
        </w:tc>
        <w:tc>
          <w:tcPr>
            <w:tcW w:type="dxa" w:w="1493"/>
          </w:tcPr>
          <w:p>
            <w:pPr>
              <w:spacing w:before="60" w:after="60"/>
              <w:jc w:val="left"/>
            </w:pPr>
            <w:r/>
            <w:r>
              <w:rPr>
                <w:rFonts w:ascii="Times New Roman" w:hAnsi="Times New Roman" w:cs="Times New Roman"/>
                <w:b w:val="0"/>
                <w:i w:val="0"/>
                <w:color w:val="111111"/>
                <w:sz w:val="20"/>
                <w:szCs w:val="20"/>
              </w:rPr>
              <w:t>96.9%</w:t>
            </w:r>
          </w:p>
        </w:tc>
        <w:tc>
          <w:tcPr>
            <w:tcW w:type="dxa" w:w="1493"/>
          </w:tcPr>
          <w:p>
            <w:pPr>
              <w:spacing w:before="60" w:after="60"/>
              <w:jc w:val="left"/>
            </w:pPr>
            <w:r/>
            <w:r>
              <w:rPr>
                <w:rFonts w:ascii="Times New Roman" w:hAnsi="Times New Roman" w:cs="Times New Roman"/>
                <w:b w:val="0"/>
                <w:i w:val="0"/>
                <w:color w:val="111111"/>
                <w:sz w:val="20"/>
                <w:szCs w:val="20"/>
              </w:rPr>
              <w:t>66.0%</w:t>
            </w:r>
          </w:p>
        </w:tc>
      </w:tr>
      <w:tr>
        <w:tc>
          <w:tcPr>
            <w:tcW w:type="dxa" w:w="1493"/>
          </w:tcPr>
          <w:p>
            <w:pPr>
              <w:spacing w:before="60" w:after="60"/>
              <w:jc w:val="left"/>
            </w:pPr>
            <w:r/>
            <w:r>
              <w:rPr>
                <w:rFonts w:ascii="Times New Roman" w:hAnsi="Times New Roman" w:cs="Times New Roman"/>
                <w:b w:val="0"/>
                <w:i w:val="0"/>
                <w:color w:val="111111"/>
                <w:sz w:val="20"/>
                <w:szCs w:val="20"/>
              </w:rPr>
              <w:t>sprite</w:t>
            </w:r>
          </w:p>
        </w:tc>
        <w:tc>
          <w:tcPr>
            <w:tcW w:type="dxa" w:w="1493"/>
          </w:tcPr>
          <w:p>
            <w:pPr>
              <w:spacing w:before="60" w:after="60"/>
              <w:jc w:val="left"/>
            </w:pPr>
            <w:r/>
            <w:r>
              <w:rPr>
                <w:rFonts w:ascii="Times New Roman" w:hAnsi="Times New Roman" w:cs="Times New Roman"/>
                <w:b w:val="0"/>
                <w:i w:val="0"/>
                <w:color w:val="111111"/>
                <w:sz w:val="20"/>
                <w:szCs w:val="20"/>
              </w:rPr>
              <w:t>651</w:t>
            </w:r>
          </w:p>
        </w:tc>
        <w:tc>
          <w:tcPr>
            <w:tcW w:type="dxa" w:w="1493"/>
          </w:tcPr>
          <w:p>
            <w:pPr>
              <w:spacing w:before="60" w:after="60"/>
              <w:jc w:val="left"/>
            </w:pPr>
            <w:r/>
            <w:r>
              <w:rPr>
                <w:rFonts w:ascii="Times New Roman" w:hAnsi="Times New Roman" w:cs="Times New Roman"/>
                <w:b w:val="0"/>
                <w:i w:val="0"/>
                <w:color w:val="111111"/>
                <w:sz w:val="20"/>
                <w:szCs w:val="20"/>
              </w:rPr>
              <w:t>13.3%</w:t>
            </w:r>
          </w:p>
        </w:tc>
        <w:tc>
          <w:tcPr>
            <w:tcW w:type="dxa" w:w="1493"/>
          </w:tcPr>
          <w:p>
            <w:pPr>
              <w:spacing w:before="60" w:after="60"/>
              <w:jc w:val="left"/>
            </w:pPr>
            <w:r/>
            <w:r>
              <w:rPr>
                <w:rFonts w:ascii="Times New Roman" w:hAnsi="Times New Roman" w:cs="Times New Roman"/>
                <w:b w:val="0"/>
                <w:i w:val="0"/>
                <w:color w:val="111111"/>
                <w:sz w:val="20"/>
                <w:szCs w:val="20"/>
              </w:rPr>
              <w:t>88.29%</w:t>
            </w:r>
          </w:p>
        </w:tc>
        <w:tc>
          <w:tcPr>
            <w:tcW w:type="dxa" w:w="1493"/>
          </w:tcPr>
          <w:p>
            <w:pPr>
              <w:spacing w:before="60" w:after="60"/>
              <w:jc w:val="left"/>
            </w:pPr>
            <w:r/>
            <w:r>
              <w:rPr>
                <w:rFonts w:ascii="Times New Roman" w:hAnsi="Times New Roman" w:cs="Times New Roman"/>
                <w:b w:val="0"/>
                <w:i w:val="0"/>
                <w:color w:val="111111"/>
                <w:sz w:val="20"/>
                <w:szCs w:val="20"/>
              </w:rPr>
              <w:t>87.9%</w:t>
            </w:r>
          </w:p>
        </w:tc>
        <w:tc>
          <w:tcPr>
            <w:tcW w:type="dxa" w:w="1493"/>
          </w:tcPr>
          <w:p>
            <w:pPr>
              <w:spacing w:before="60" w:after="60"/>
              <w:jc w:val="left"/>
            </w:pPr>
            <w:r/>
            <w:r>
              <w:rPr>
                <w:rFonts w:ascii="Times New Roman" w:hAnsi="Times New Roman" w:cs="Times New Roman"/>
                <w:b w:val="0"/>
                <w:i w:val="0"/>
                <w:color w:val="111111"/>
                <w:sz w:val="20"/>
                <w:szCs w:val="20"/>
              </w:rPr>
              <w:t>78.5%</w:t>
            </w:r>
          </w:p>
        </w:tc>
      </w:tr>
      <w:tr>
        <w:tc>
          <w:tcPr>
            <w:tcW w:type="dxa" w:w="1493"/>
          </w:tcPr>
          <w:p>
            <w:pPr>
              <w:spacing w:before="60" w:after="60"/>
              <w:jc w:val="left"/>
            </w:pPr>
            <w:r/>
            <w:r>
              <w:rPr>
                <w:rFonts w:ascii="Times New Roman" w:hAnsi="Times New Roman" w:cs="Times New Roman"/>
                <w:b w:val="0"/>
                <w:i w:val="0"/>
                <w:color w:val="111111"/>
                <w:sz w:val="20"/>
                <w:szCs w:val="20"/>
              </w:rPr>
              <w:t>fanta</w:t>
            </w:r>
          </w:p>
        </w:tc>
        <w:tc>
          <w:tcPr>
            <w:tcW w:type="dxa" w:w="1493"/>
          </w:tcPr>
          <w:p>
            <w:pPr>
              <w:spacing w:before="60" w:after="60"/>
              <w:jc w:val="left"/>
            </w:pPr>
            <w:r/>
            <w:r>
              <w:rPr>
                <w:rFonts w:ascii="Times New Roman" w:hAnsi="Times New Roman" w:cs="Times New Roman"/>
                <w:b w:val="0"/>
                <w:i w:val="0"/>
                <w:color w:val="111111"/>
                <w:sz w:val="20"/>
                <w:szCs w:val="20"/>
              </w:rPr>
              <w:t>409</w:t>
            </w:r>
          </w:p>
        </w:tc>
        <w:tc>
          <w:tcPr>
            <w:tcW w:type="dxa" w:w="1493"/>
          </w:tcPr>
          <w:p>
            <w:pPr>
              <w:spacing w:before="60" w:after="60"/>
              <w:jc w:val="left"/>
            </w:pPr>
            <w:r/>
            <w:r>
              <w:rPr>
                <w:rFonts w:ascii="Times New Roman" w:hAnsi="Times New Roman" w:cs="Times New Roman"/>
                <w:b w:val="0"/>
                <w:i w:val="0"/>
                <w:color w:val="111111"/>
                <w:sz w:val="20"/>
                <w:szCs w:val="20"/>
              </w:rPr>
              <w:t>8.4%</w:t>
            </w:r>
          </w:p>
        </w:tc>
        <w:tc>
          <w:tcPr>
            <w:tcW w:type="dxa" w:w="1493"/>
          </w:tcPr>
          <w:p>
            <w:pPr>
              <w:spacing w:before="60" w:after="60"/>
              <w:jc w:val="left"/>
            </w:pPr>
            <w:r/>
            <w:r>
              <w:rPr>
                <w:rFonts w:ascii="Times New Roman" w:hAnsi="Times New Roman" w:cs="Times New Roman"/>
                <w:b w:val="0"/>
                <w:i w:val="0"/>
                <w:color w:val="111111"/>
                <w:sz w:val="20"/>
                <w:szCs w:val="20"/>
              </w:rPr>
              <w:t>87.98%</w:t>
            </w:r>
          </w:p>
        </w:tc>
        <w:tc>
          <w:tcPr>
            <w:tcW w:type="dxa" w:w="1493"/>
          </w:tcPr>
          <w:p>
            <w:pPr>
              <w:spacing w:before="60" w:after="60"/>
              <w:jc w:val="left"/>
            </w:pPr>
            <w:r/>
            <w:r>
              <w:rPr>
                <w:rFonts w:ascii="Times New Roman" w:hAnsi="Times New Roman" w:cs="Times New Roman"/>
                <w:b w:val="0"/>
                <w:i w:val="0"/>
                <w:color w:val="111111"/>
                <w:sz w:val="20"/>
                <w:szCs w:val="20"/>
              </w:rPr>
              <w:t>87.5%</w:t>
            </w:r>
          </w:p>
        </w:tc>
        <w:tc>
          <w:tcPr>
            <w:tcW w:type="dxa" w:w="1493"/>
          </w:tcPr>
          <w:p>
            <w:pPr>
              <w:spacing w:before="60" w:after="60"/>
              <w:jc w:val="left"/>
            </w:pPr>
            <w:r/>
            <w:r>
              <w:rPr>
                <w:rFonts w:ascii="Times New Roman" w:hAnsi="Times New Roman" w:cs="Times New Roman"/>
                <w:b w:val="0"/>
                <w:i w:val="0"/>
                <w:color w:val="111111"/>
                <w:sz w:val="20"/>
                <w:szCs w:val="20"/>
              </w:rPr>
              <w:t>79.0%</w:t>
            </w:r>
          </w:p>
        </w:tc>
      </w:tr>
      <w:tr>
        <w:tc>
          <w:tcPr>
            <w:tcW w:type="dxa" w:w="1493"/>
          </w:tcPr>
          <w:p>
            <w:pPr>
              <w:spacing w:before="60" w:after="60"/>
              <w:jc w:val="left"/>
            </w:pPr>
            <w:r/>
            <w:r>
              <w:rPr>
                <w:rFonts w:ascii="Times New Roman" w:hAnsi="Times New Roman" w:cs="Times New Roman"/>
                <w:b w:val="0"/>
                <w:i w:val="0"/>
                <w:color w:val="111111"/>
                <w:sz w:val="20"/>
                <w:szCs w:val="20"/>
              </w:rPr>
              <w:t>pepsi</w:t>
            </w:r>
          </w:p>
        </w:tc>
        <w:tc>
          <w:tcPr>
            <w:tcW w:type="dxa" w:w="1493"/>
          </w:tcPr>
          <w:p>
            <w:pPr>
              <w:spacing w:before="60" w:after="60"/>
              <w:jc w:val="left"/>
            </w:pPr>
            <w:r/>
            <w:r>
              <w:rPr>
                <w:rFonts w:ascii="Times New Roman" w:hAnsi="Times New Roman" w:cs="Times New Roman"/>
                <w:b w:val="0"/>
                <w:i w:val="0"/>
                <w:color w:val="111111"/>
                <w:sz w:val="20"/>
                <w:szCs w:val="20"/>
              </w:rPr>
              <w:t>131</w:t>
            </w:r>
          </w:p>
        </w:tc>
        <w:tc>
          <w:tcPr>
            <w:tcW w:type="dxa" w:w="1493"/>
          </w:tcPr>
          <w:p>
            <w:pPr>
              <w:spacing w:before="60" w:after="60"/>
              <w:jc w:val="left"/>
            </w:pPr>
            <w:r/>
            <w:r>
              <w:rPr>
                <w:rFonts w:ascii="Times New Roman" w:hAnsi="Times New Roman" w:cs="Times New Roman"/>
                <w:b w:val="0"/>
                <w:i w:val="0"/>
                <w:color w:val="111111"/>
                <w:sz w:val="20"/>
                <w:szCs w:val="20"/>
              </w:rPr>
              <w:t>2.7%</w:t>
            </w:r>
          </w:p>
        </w:tc>
        <w:tc>
          <w:tcPr>
            <w:tcW w:type="dxa" w:w="1493"/>
          </w:tcPr>
          <w:p>
            <w:pPr>
              <w:spacing w:before="60" w:after="60"/>
              <w:jc w:val="left"/>
            </w:pPr>
            <w:r/>
            <w:r>
              <w:rPr>
                <w:rFonts w:ascii="Times New Roman" w:hAnsi="Times New Roman" w:cs="Times New Roman"/>
                <w:b w:val="0"/>
                <w:i w:val="0"/>
                <w:color w:val="111111"/>
                <w:sz w:val="20"/>
                <w:szCs w:val="20"/>
              </w:rPr>
              <w:t>—</w:t>
            </w:r>
          </w:p>
        </w:tc>
        <w:tc>
          <w:tcPr>
            <w:tcW w:type="dxa" w:w="1493"/>
          </w:tcPr>
          <w:p>
            <w:pPr>
              <w:spacing w:before="60" w:after="60"/>
              <w:jc w:val="left"/>
            </w:pPr>
            <w:r/>
            <w:r>
              <w:rPr>
                <w:rFonts w:ascii="Times New Roman" w:hAnsi="Times New Roman" w:cs="Times New Roman"/>
                <w:b w:val="0"/>
                <w:i w:val="0"/>
                <w:color w:val="111111"/>
                <w:sz w:val="20"/>
                <w:szCs w:val="20"/>
              </w:rPr>
              <w:t>0%</w:t>
            </w:r>
          </w:p>
        </w:tc>
        <w:tc>
          <w:tcPr>
            <w:tcW w:type="dxa" w:w="1493"/>
          </w:tcPr>
          <w:p>
            <w:pPr>
              <w:spacing w:before="60" w:after="60"/>
              <w:jc w:val="left"/>
            </w:pPr>
            <w:r/>
            <w:r>
              <w:rPr>
                <w:rFonts w:ascii="Times New Roman" w:hAnsi="Times New Roman" w:cs="Times New Roman"/>
                <w:b w:val="0"/>
                <w:i w:val="0"/>
                <w:color w:val="111111"/>
                <w:sz w:val="20"/>
                <w:szCs w:val="20"/>
              </w:rPr>
              <w:t>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annotation distribution deserves careful reading, because it does not say what it might be assumed to say. Among the represented classes the relationship between annotation count and performance is not monotonic: xl_energy, with 661 annotations, outperforms coca-cola with 2,079 — so tripling the data does not necessarily buy accuracy. The correct reading is that there is a floor of representation: above it, performance settles into a narrow band not governed by volume alone; below it, the class collapses outright. At a 2.7% share, pepsi is the only class beneath that floor — and the only one that collapsed.</w:t>
      </w:r>
    </w:p>
    <w:p>
      <w:pPr>
        <w:keepNext w:val="0"/>
        <w:spacing w:after="160" w:before="0" w:line="348" w:lineRule="auto"/>
        <w:jc w:val="both"/>
      </w:pPr>
      <w:r>
        <w:rPr>
          <w:rFonts w:ascii="Times New Roman" w:hAnsi="Times New Roman" w:cs="Times New Roman"/>
          <w:b w:val="0"/>
          <w:i w:val="0"/>
          <w:color w:val="111111"/>
          <w:sz w:val="23"/>
          <w:szCs w:val="23"/>
        </w:rPr>
        <w:t>The architectural implication is that the problem is not data scarcity in aggregate but its division. Splitting the budget six ways is what pushed the weakest class below the floor of representation; had the same signal been directed entirely at one class, no class would have been beneath the floor at all. That is precisely what the next approach does.</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Overall performance of the six classification layers at a 0.70 threshold, in descending order.</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Precision</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F1</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94.0%</w:t>
            </w:r>
          </w:p>
        </w:tc>
      </w:tr>
      <w:tr>
        <w:tc>
          <w:tcPr>
            <w:tcW w:type="dxa" w:w="2239"/>
          </w:tcPr>
          <w:p>
            <w:pPr>
              <w:spacing w:before="60" w:after="60"/>
              <w:jc w:val="left"/>
            </w:pPr>
            <w:r/>
            <w:r>
              <w:rPr>
                <w:rFonts w:ascii="Times New Roman" w:hAnsi="Times New Roman" w:cs="Times New Roman"/>
                <w:b w:val="0"/>
                <w:i w:val="0"/>
                <w:color w:val="111111"/>
                <w:sz w:val="20"/>
                <w:szCs w:val="20"/>
              </w:rPr>
              <w:t>Fanta (flavour)</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93.3%</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95.9%</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79.6%</w:t>
            </w:r>
          </w:p>
        </w:tc>
      </w:tr>
      <w:tr>
        <w:tc>
          <w:tcPr>
            <w:tcW w:type="dxa" w:w="2239"/>
          </w:tcPr>
          <w:p>
            <w:pPr>
              <w:spacing w:before="60" w:after="60"/>
              <w:jc w:val="left"/>
            </w:pPr>
            <w:r/>
            <w:r>
              <w:rPr>
                <w:rFonts w:ascii="Times New Roman" w:hAnsi="Times New Roman" w:cs="Times New Roman"/>
                <w:b w:val="0"/>
                <w:i w:val="0"/>
                <w:color w:val="111111"/>
                <w:sz w:val="20"/>
                <w:szCs w:val="20"/>
              </w:rPr>
              <w:t>XL Energy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r>
      <w:tr>
        <w:tc>
          <w:tcPr>
            <w:tcW w:type="dxa" w:w="2239"/>
          </w:tcPr>
          <w:p>
            <w:pPr>
              <w:spacing w:before="60" w:after="60"/>
              <w:jc w:val="left"/>
            </w:pPr>
            <w:r/>
            <w:r>
              <w:rPr>
                <w:rFonts w:ascii="Times New Roman" w:hAnsi="Times New Roman" w:cs="Times New Roman"/>
                <w:b w:val="0"/>
                <w:i w:val="0"/>
                <w:color w:val="111111"/>
                <w:sz w:val="20"/>
                <w:szCs w:val="20"/>
              </w:rPr>
              <w:t>Coca-Cola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60.0%</w:t>
            </w:r>
          </w:p>
        </w:tc>
      </w:tr>
      <w:tr>
        <w:tc>
          <w:tcPr>
            <w:tcW w:type="dxa" w:w="2239"/>
          </w:tcPr>
          <w:p>
            <w:pPr>
              <w:spacing w:before="60" w:after="60"/>
              <w:jc w:val="left"/>
            </w:pPr>
            <w:r/>
            <w:r>
              <w:rPr>
                <w:rFonts w:ascii="Times New Roman" w:hAnsi="Times New Roman" w:cs="Times New Roman"/>
                <w:b w:val="0"/>
                <w:i w:val="0"/>
                <w:color w:val="111111"/>
                <w:sz w:val="20"/>
                <w:szCs w:val="20"/>
              </w:rPr>
              <w:t>Cappy (flavour)</w:t>
            </w:r>
          </w:p>
        </w:tc>
        <w:tc>
          <w:tcPr>
            <w:tcW w:type="dxa" w:w="2239"/>
          </w:tcPr>
          <w:p>
            <w:pPr>
              <w:spacing w:before="60" w:after="60"/>
              <w:jc w:val="left"/>
            </w:pPr>
            <w:r/>
            <w:r>
              <w:rPr>
                <w:rFonts w:ascii="Times New Roman" w:hAnsi="Times New Roman" w:cs="Times New Roman"/>
                <w:b w:val="0"/>
                <w:i w:val="0"/>
                <w:color w:val="111111"/>
                <w:sz w:val="20"/>
                <w:szCs w:val="20"/>
              </w:rPr>
              <w:t>50.0%</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36.5%</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ordering reveals a regular gradient: the layers at the top are the oldest and best supplied with data, those at the bottom the newest and most starved. Nothing in this ordering departs from the ordering of data volume — which sets up the diagnosis in the section that follows.</w:t>
      </w: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The brand layer at a 0.70 threshold. Precision is 100% for every represented class. Total: 47 instances.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Test instances</w:t>
            </w:r>
          </w:p>
        </w:tc>
        <w:tc>
          <w:tcPr>
            <w:tcW w:type="dxa" w:w="2239"/>
          </w:tcPr>
          <w:p>
            <w:pPr>
              <w:spacing w:before="60" w:after="60"/>
              <w:jc w:val="left"/>
            </w:pPr>
            <w:r/>
            <w:r>
              <w:rPr>
                <w:rFonts w:ascii="Times New Roman" w:hAnsi="Times New Roman" w:cs="Times New Roman"/>
                <w:b/>
                <w:bCs w:val="1"/>
                <w:i w:val="0"/>
                <w:color w:val="111111"/>
                <w:sz w:val="20"/>
                <w:szCs w:val="20"/>
              </w:rPr>
              <w:t>Correct</w:t>
            </w:r>
          </w:p>
        </w:tc>
        <w:tc>
          <w:tcPr>
            <w:tcW w:type="dxa" w:w="2239"/>
          </w:tcPr>
          <w:p>
            <w:pPr>
              <w:spacing w:before="60" w:after="60"/>
              <w:jc w:val="left"/>
            </w:pPr>
            <w:r/>
            <w:r>
              <w:rPr>
                <w:rFonts w:ascii="Times New Roman" w:hAnsi="Times New Roman" w:cs="Times New Roman"/>
                <w:b/>
                <w:bCs w:val="1"/>
                <w:i w:val="0"/>
                <w:color w:val="111111"/>
                <w:sz w:val="20"/>
                <w:szCs w:val="20"/>
              </w:rPr>
              <w:t>Recall</w:t>
            </w:r>
          </w:p>
        </w:tc>
      </w:tr>
      <w:tr>
        <w:tc>
          <w:tcPr>
            <w:tcW w:type="dxa" w:w="2239"/>
          </w:tcPr>
          <w:p>
            <w:pPr>
              <w:spacing w:before="60" w:after="60"/>
              <w:jc w:val="left"/>
            </w:pPr>
            <w:r/>
            <w:r>
              <w:rPr>
                <w:rFonts w:ascii="Times New Roman" w:hAnsi="Times New Roman" w:cs="Times New Roman"/>
                <w:b w:val="0"/>
                <w:i w:val="0"/>
                <w:color w:val="111111"/>
                <w:sz w:val="20"/>
                <w:szCs w:val="20"/>
              </w:rPr>
              <w:t>xl_energy</w:t>
            </w:r>
          </w:p>
        </w:tc>
        <w:tc>
          <w:tcPr>
            <w:tcW w:type="dxa" w:w="2239"/>
          </w:tcPr>
          <w:p>
            <w:pPr>
              <w:spacing w:before="60" w:after="60"/>
              <w:jc w:val="left"/>
            </w:pPr>
            <w:r/>
            <w:r>
              <w:rPr>
                <w:rFonts w:ascii="Times New Roman" w:hAnsi="Times New Roman" w:cs="Times New Roman"/>
                <w:b w:val="0"/>
                <w:i w:val="0"/>
                <w:color w:val="111111"/>
                <w:sz w:val="20"/>
                <w:szCs w:val="20"/>
              </w:rPr>
              <w:t>20</w:t>
            </w:r>
          </w:p>
        </w:tc>
        <w:tc>
          <w:tcPr>
            <w:tcW w:type="dxa" w:w="2239"/>
          </w:tcPr>
          <w:p>
            <w:pPr>
              <w:spacing w:before="60" w:after="60"/>
              <w:jc w:val="left"/>
            </w:pPr>
            <w:r/>
            <w:r>
              <w:rPr>
                <w:rFonts w:ascii="Times New Roman" w:hAnsi="Times New Roman" w:cs="Times New Roman"/>
                <w:b w:val="0"/>
                <w:i w:val="0"/>
                <w:color w:val="111111"/>
                <w:sz w:val="20"/>
                <w:szCs w:val="20"/>
              </w:rPr>
              <w:t>16</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14</w:t>
            </w:r>
          </w:p>
        </w:tc>
        <w:tc>
          <w:tcPr>
            <w:tcW w:type="dxa" w:w="2239"/>
          </w:tcPr>
          <w:p>
            <w:pPr>
              <w:spacing w:before="60" w:after="60"/>
              <w:jc w:val="left"/>
            </w:pPr>
            <w:r/>
            <w:r>
              <w:rPr>
                <w:rFonts w:ascii="Times New Roman" w:hAnsi="Times New Roman" w:cs="Times New Roman"/>
                <w:b w:val="0"/>
                <w:i w:val="0"/>
                <w:color w:val="111111"/>
                <w:sz w:val="20"/>
                <w:szCs w:val="20"/>
              </w:rPr>
              <w:t>12</w:t>
            </w:r>
          </w:p>
        </w:tc>
        <w:tc>
          <w:tcPr>
            <w:tcW w:type="dxa" w:w="2239"/>
          </w:tcPr>
          <w:p>
            <w:pPr>
              <w:spacing w:before="60" w:after="60"/>
              <w:jc w:val="left"/>
            </w:pPr>
            <w:r/>
            <w:r>
              <w:rPr>
                <w:rFonts w:ascii="Times New Roman" w:hAnsi="Times New Roman" w:cs="Times New Roman"/>
                <w:b w:val="0"/>
                <w:i w:val="0"/>
                <w:color w:val="111111"/>
                <w:sz w:val="20"/>
                <w:szCs w:val="20"/>
              </w:rPr>
              <w:t>85.7%</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10</w:t>
            </w:r>
          </w:p>
        </w:tc>
        <w:tc>
          <w:tcPr>
            <w:tcW w:type="dxa" w:w="2239"/>
          </w:tcPr>
          <w:p>
            <w:pPr>
              <w:spacing w:before="60" w:after="60"/>
              <w:jc w:val="left"/>
            </w:pPr>
            <w:r/>
            <w:r>
              <w:rPr>
                <w:rFonts w:ascii="Times New Roman" w:hAnsi="Times New Roman" w:cs="Times New Roman"/>
                <w:b w:val="0"/>
                <w:i w:val="0"/>
                <w:color w:val="111111"/>
                <w:sz w:val="20"/>
                <w:szCs w:val="20"/>
              </w:rPr>
              <w:t>8</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sprite</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pepsi</w:t>
            </w:r>
          </w:p>
        </w:tc>
        <w:tc>
          <w:tcPr>
            <w:tcW w:type="dxa" w:w="2239"/>
          </w:tcPr>
          <w:p>
            <w:pPr>
              <w:spacing w:before="60" w:after="60"/>
              <w:jc w:val="left"/>
            </w:pPr>
            <w:r/>
            <w:r>
              <w:rPr>
                <w:rFonts w:ascii="Times New Roman" w:hAnsi="Times New Roman" w:cs="Times New Roman"/>
                <w:b w:val="0"/>
                <w:i w:val="0"/>
                <w:color w:val="111111"/>
                <w:sz w:val="20"/>
                <w:szCs w:val="20"/>
              </w:rPr>
              <w:t>0</w:t>
            </w:r>
          </w:p>
        </w:tc>
        <w:tc>
          <w:tcPr>
            <w:tcW w:type="dxa" w:w="2239"/>
          </w:tcPr>
          <w:p>
            <w:pPr>
              <w:spacing w:before="60" w:after="60"/>
              <w:jc w:val="left"/>
            </w:pPr>
            <w:r/>
            <w:r>
              <w:rPr>
                <w:rFonts w:ascii="Times New Roman" w:hAnsi="Times New Roman" w:cs="Times New Roman"/>
                <w:b w:val="0"/>
                <w:i w:val="0"/>
                <w:color w:val="111111"/>
                <w:sz w:val="20"/>
                <w:szCs w:val="20"/>
              </w:rPr>
              <w:t>—</w:t>
            </w:r>
          </w:p>
        </w:tc>
        <w:tc>
          <w:tcPr>
            <w:tcW w:type="dxa" w:w="2239"/>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even at the strict threshold. This is an architecturally decisive result: the decision on which everything downstream depends does not, in practice, err — when this classifier issues a verdict, it is correct. No error in the later layers can therefore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Variant and packaging layers at a 0.70 threshold. Classes with no test representation are omitted.</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Classes (instances: correct)</w:t>
            </w:r>
          </w:p>
        </w:tc>
        <w:tc>
          <w:tcPr>
            <w:tcW w:type="dxa" w:w="2986"/>
          </w:tcPr>
          <w:p>
            <w:pPr>
              <w:spacing w:before="60" w:after="60"/>
              <w:jc w:val="left"/>
            </w:pPr>
            <w:r/>
            <w:r>
              <w:rPr>
                <w:rFonts w:ascii="Times New Roman" w:hAnsi="Times New Roman" w:cs="Times New Roman"/>
                <w:b/>
                <w:bCs w:val="1"/>
                <w:i w:val="0"/>
                <w:color w:val="111111"/>
                <w:sz w:val="20"/>
                <w:szCs w:val="20"/>
              </w:rPr>
              <w:t>Test total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(12:12), redapple (3:3), grape (3:2)</w:t>
            </w:r>
          </w:p>
        </w:tc>
        <w:tc>
          <w:tcPr>
            <w:tcW w:type="dxa" w:w="2986"/>
          </w:tcPr>
          <w:p>
            <w:pPr>
              <w:spacing w:before="60" w:after="60"/>
              <w:jc w:val="left"/>
            </w:pPr>
            <w:r/>
            <w:r>
              <w:rPr>
                <w:rFonts w:ascii="Times New Roman" w:hAnsi="Times New Roman" w:cs="Times New Roman"/>
                <w:b w:val="0"/>
                <w:i w:val="0"/>
                <w:color w:val="111111"/>
                <w:sz w:val="20"/>
                <w:szCs w:val="20"/>
              </w:rPr>
              <w:t>18</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plastic (88:84), can (70:66), glass (3:1)</w:t>
            </w:r>
          </w:p>
        </w:tc>
        <w:tc>
          <w:tcPr>
            <w:tcW w:type="dxa" w:w="2986"/>
          </w:tcPr>
          <w:p>
            <w:pPr>
              <w:spacing w:before="60" w:after="60"/>
              <w:jc w:val="left"/>
            </w:pPr>
            <w:r/>
            <w:r>
              <w:rPr>
                <w:rFonts w:ascii="Times New Roman" w:hAnsi="Times New Roman" w:cs="Times New Roman"/>
                <w:b w:val="0"/>
                <w:i w:val="0"/>
                <w:color w:val="111111"/>
                <w:sz w:val="20"/>
                <w:szCs w:val="20"/>
              </w:rPr>
              <w:t>161</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classic (24:24), red (4:4), sugarfree (1:0)</w:t>
            </w:r>
          </w:p>
        </w:tc>
        <w:tc>
          <w:tcPr>
            <w:tcW w:type="dxa" w:w="2986"/>
          </w:tcPr>
          <w:p>
            <w:pPr>
              <w:spacing w:before="60" w:after="60"/>
              <w:jc w:val="left"/>
            </w:pPr>
            <w:r/>
            <w:r>
              <w:rPr>
                <w:rFonts w:ascii="Times New Roman" w:hAnsi="Times New Roman" w:cs="Times New Roman"/>
                <w:b w:val="0"/>
                <w:i w:val="0"/>
                <w:color w:val="111111"/>
                <w:sz w:val="20"/>
                <w:szCs w:val="20"/>
              </w:rPr>
              <w:t>29</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(26:26), zero (3:2), diet (1:0)</w:t>
            </w:r>
          </w:p>
        </w:tc>
        <w:tc>
          <w:tcPr>
            <w:tcW w:type="dxa" w:w="2986"/>
          </w:tcPr>
          <w:p>
            <w:pPr>
              <w:spacing w:before="60" w:after="60"/>
              <w:jc w:val="left"/>
            </w:pPr>
            <w:r/>
            <w:r>
              <w:rPr>
                <w:rFonts w:ascii="Times New Roman" w:hAnsi="Times New Roman" w:cs="Times New Roman"/>
                <w:b w:val="0"/>
                <w:i w:val="0"/>
                <w:color w:val="111111"/>
                <w:sz w:val="20"/>
                <w:szCs w:val="20"/>
              </w:rPr>
              <w:t>30</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orange (6:3), grape (4:3), lemon (4:1), mix (3:0), apple (2:0), mango (2:2), peach (1:0), strawberry (1:0)</w:t>
            </w:r>
          </w:p>
        </w:tc>
        <w:tc>
          <w:tcPr>
            <w:tcW w:type="dxa" w:w="2986"/>
          </w:tcPr>
          <w:p>
            <w:pPr>
              <w:spacing w:before="60" w:after="60"/>
              <w:jc w:val="left"/>
            </w:pPr>
            <w:r/>
            <w:r>
              <w:rPr>
                <w:rFonts w:ascii="Times New Roman" w:hAnsi="Times New Roman" w:cs="Times New Roman"/>
                <w:b w:val="0"/>
                <w:i w:val="0"/>
                <w:color w:val="111111"/>
                <w:sz w:val="20"/>
                <w:szCs w:val="20"/>
              </w:rPr>
              <w:t>23</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fixed threshold exposes a distinction invisible at optimal thresholds, and it is among the most useful things this analysis produced: some weak classes are not wrong but merely unconfident. The xl-sugarfree class scores 100% precision and 100% recall at a 0.40 threshold, then falls to zero at 0.70 — the model knows it and gets it right, but at a confidence lying between the two thresholds. The same holds for cappy-strawberry and cappy-apple, and partially for cappy-lemon (50% recall at 0.40 against 25% at 0.70).</w:t>
      </w:r>
    </w:p>
    <w:p>
      <w:pPr>
        <w:keepNext w:val="0"/>
        <w:spacing w:after="160" w:before="0" w:line="348" w:lineRule="auto"/>
        <w:jc w:val="both"/>
      </w:pPr>
      <w:r>
        <w:rPr>
          <w:rFonts w:ascii="Times New Roman" w:hAnsi="Times New Roman" w:cs="Times New Roman"/>
          <w:b w:val="0"/>
          <w:i w:val="0"/>
          <w:color w:val="111111"/>
          <w:sz w:val="23"/>
          <w:szCs w:val="23"/>
        </w:rPr>
        <w:t>This is fundamentally different from coca-diet and glass, which fail at every threshold without exception. The former case is “learned but not trustworthy for automatic decisions” and is addressed by more examples to consolidate confidence; the latter is “not learned at all” and needs data simply to exist. A single table at each class's own optimal threshold cannot separate the two — it shows both as succeeding or failing depending on the class — whereas reading performance across two thresholds can.</w:t>
      </w:r>
    </w:p>
    <w:p>
      <w:pPr>
        <w:keepNext/>
        <w:spacing w:before="240" w:after="140"/>
        <w:jc w:val="left"/>
      </w:pPr>
      <w:r>
        <w:rPr>
          <w:rFonts w:ascii="Times New Roman" w:hAnsi="Times New Roman" w:cs="Times New Roman"/>
          <w:b/>
          <w:bCs w:val="1"/>
          <w:i w:val="0"/>
          <w:color w:val="1A3A5C"/>
          <w:sz w:val="24"/>
          <w:szCs w:val="24"/>
        </w:rPr>
        <w:t>5.4 How statistically reliable these figures are</w:t>
      </w:r>
    </w:p>
    <w:p>
      <w:pPr>
        <w:keepNext w:val="0"/>
        <w:spacing w:after="160" w:before="0" w:line="348" w:lineRule="auto"/>
        <w:jc w:val="both"/>
      </w:pPr>
      <w:r>
        <w:rPr>
          <w:rFonts w:ascii="Times New Roman" w:hAnsi="Times New Roman" w:cs="Times New Roman"/>
          <w:b w:val="0"/>
          <w:i w:val="0"/>
          <w:color w:val="111111"/>
          <w:sz w:val="23"/>
          <w:szCs w:val="23"/>
        </w:rPr>
        <w:t>The figures above require an explicit caveat, and omitting it would make the report misleading however carefully each number was measured: the test splits are very small, and many of the 100% figures rest on single instances.</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Wilson 95% confidence intervals for classes scoring 100%. The same number, carrying entirely different meanings.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Correct/instances</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95% interval</w:t>
            </w:r>
          </w:p>
        </w:tc>
      </w:tr>
      <w:tr>
        <w:tc>
          <w:tcPr>
            <w:tcW w:type="dxa" w:w="2239"/>
          </w:tcPr>
          <w:p>
            <w:pPr>
              <w:spacing w:before="60" w:after="60"/>
              <w:jc w:val="left"/>
            </w:pPr>
            <w:r/>
            <w:r>
              <w:rPr>
                <w:rFonts w:ascii="Times New Roman" w:hAnsi="Times New Roman" w:cs="Times New Roman"/>
                <w:b w:val="0"/>
                <w:i w:val="0"/>
                <w:color w:val="111111"/>
                <w:sz w:val="20"/>
                <w:szCs w:val="20"/>
              </w:rPr>
              <w:t>sprite (brand)</w:t>
            </w:r>
          </w:p>
        </w:tc>
        <w:tc>
          <w:tcPr>
            <w:tcW w:type="dxa" w:w="2239"/>
          </w:tcPr>
          <w:p>
            <w:pPr>
              <w:spacing w:before="60" w:after="60"/>
              <w:jc w:val="left"/>
            </w:pPr>
            <w:r/>
            <w:r>
              <w:rPr>
                <w:rFonts w:ascii="Times New Roman" w:hAnsi="Times New Roman" w:cs="Times New Roman"/>
                <w:b w:val="0"/>
                <w:i w:val="0"/>
                <w:color w:val="111111"/>
                <w:sz w:val="20"/>
                <w:szCs w:val="20"/>
              </w:rPr>
              <w:t>1/1</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20.7% – 100%</w:t>
            </w:r>
          </w:p>
        </w:tc>
      </w:tr>
      <w:tr>
        <w:tc>
          <w:tcPr>
            <w:tcW w:type="dxa" w:w="2239"/>
          </w:tcPr>
          <w:p>
            <w:pPr>
              <w:spacing w:before="60" w:after="60"/>
              <w:jc w:val="left"/>
            </w:pPr>
            <w:r/>
            <w:r>
              <w:rPr>
                <w:rFonts w:ascii="Times New Roman" w:hAnsi="Times New Roman" w:cs="Times New Roman"/>
                <w:b w:val="0"/>
                <w:i w:val="0"/>
                <w:color w:val="111111"/>
                <w:sz w:val="20"/>
                <w:szCs w:val="20"/>
              </w:rPr>
              <w:t>fanta (brand)</w:t>
            </w:r>
          </w:p>
        </w:tc>
        <w:tc>
          <w:tcPr>
            <w:tcW w:type="dxa" w:w="2239"/>
          </w:tcPr>
          <w:p>
            <w:pPr>
              <w:spacing w:before="60" w:after="60"/>
              <w:jc w:val="left"/>
            </w:pPr>
            <w:r/>
            <w:r>
              <w:rPr>
                <w:rFonts w:ascii="Times New Roman" w:hAnsi="Times New Roman" w:cs="Times New Roman"/>
                <w:b w:val="0"/>
                <w:i w:val="0"/>
                <w:color w:val="111111"/>
                <w:sz w:val="20"/>
                <w:szCs w:val="20"/>
              </w:rPr>
              <w:t>2/2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34.2% – 100%</w:t>
            </w:r>
          </w:p>
        </w:tc>
      </w:tr>
      <w:tr>
        <w:tc>
          <w:tcPr>
            <w:tcW w:type="dxa" w:w="2239"/>
          </w:tcPr>
          <w:p>
            <w:pPr>
              <w:spacing w:before="60" w:after="60"/>
              <w:jc w:val="left"/>
            </w:pPr>
            <w:r/>
            <w:r>
              <w:rPr>
                <w:rFonts w:ascii="Times New Roman" w:hAnsi="Times New Roman" w:cs="Times New Roman"/>
                <w:b w:val="0"/>
                <w:i w:val="0"/>
                <w:color w:val="111111"/>
                <w:sz w:val="20"/>
                <w:szCs w:val="20"/>
              </w:rPr>
              <w:t>cappy-mango</w:t>
            </w:r>
          </w:p>
        </w:tc>
        <w:tc>
          <w:tcPr>
            <w:tcW w:type="dxa" w:w="2239"/>
          </w:tcPr>
          <w:p>
            <w:pPr>
              <w:spacing w:before="60" w:after="60"/>
              <w:jc w:val="left"/>
            </w:pPr>
            <w:r/>
            <w:r>
              <w:rPr>
                <w:rFonts w:ascii="Times New Roman" w:hAnsi="Times New Roman" w:cs="Times New Roman"/>
                <w:b w:val="0"/>
                <w:i w:val="0"/>
                <w:color w:val="111111"/>
                <w:sz w:val="20"/>
                <w:szCs w:val="20"/>
              </w:rPr>
              <w:t>2/2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34.2% – 100%</w:t>
            </w:r>
          </w:p>
        </w:tc>
      </w:tr>
      <w:tr>
        <w:tc>
          <w:tcPr>
            <w:tcW w:type="dxa" w:w="2239"/>
          </w:tcPr>
          <w:p>
            <w:pPr>
              <w:spacing w:before="60" w:after="60"/>
              <w:jc w:val="left"/>
            </w:pPr>
            <w:r/>
            <w:r>
              <w:rPr>
                <w:rFonts w:ascii="Times New Roman" w:hAnsi="Times New Roman" w:cs="Times New Roman"/>
                <w:b w:val="0"/>
                <w:i w:val="0"/>
                <w:color w:val="111111"/>
                <w:sz w:val="20"/>
                <w:szCs w:val="20"/>
              </w:rPr>
              <w:t>fanta-redapple</w:t>
            </w:r>
          </w:p>
        </w:tc>
        <w:tc>
          <w:tcPr>
            <w:tcW w:type="dxa" w:w="2239"/>
          </w:tcPr>
          <w:p>
            <w:pPr>
              <w:spacing w:before="60" w:after="60"/>
              <w:jc w:val="left"/>
            </w:pPr>
            <w:r/>
            <w:r>
              <w:rPr>
                <w:rFonts w:ascii="Times New Roman" w:hAnsi="Times New Roman" w:cs="Times New Roman"/>
                <w:b w:val="0"/>
                <w:i w:val="0"/>
                <w:color w:val="111111"/>
                <w:sz w:val="20"/>
                <w:szCs w:val="20"/>
              </w:rPr>
              <w:t>3/3</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43.8% – 100%</w:t>
            </w:r>
          </w:p>
        </w:tc>
      </w:tr>
      <w:tr>
        <w:tc>
          <w:tcPr>
            <w:tcW w:type="dxa" w:w="2239"/>
          </w:tcPr>
          <w:p>
            <w:pPr>
              <w:spacing w:before="60" w:after="60"/>
              <w:jc w:val="left"/>
            </w:pPr>
            <w:r/>
            <w:r>
              <w:rPr>
                <w:rFonts w:ascii="Times New Roman" w:hAnsi="Times New Roman" w:cs="Times New Roman"/>
                <w:b w:val="0"/>
                <w:i w:val="0"/>
                <w:color w:val="111111"/>
                <w:sz w:val="20"/>
                <w:szCs w:val="20"/>
              </w:rPr>
              <w:t>xl-red</w:t>
            </w:r>
          </w:p>
        </w:tc>
        <w:tc>
          <w:tcPr>
            <w:tcW w:type="dxa" w:w="2239"/>
          </w:tcPr>
          <w:p>
            <w:pPr>
              <w:spacing w:before="60" w:after="60"/>
              <w:jc w:val="left"/>
            </w:pPr>
            <w:r/>
            <w:r>
              <w:rPr>
                <w:rFonts w:ascii="Times New Roman" w:hAnsi="Times New Roman" w:cs="Times New Roman"/>
                <w:b w:val="0"/>
                <w:i w:val="0"/>
                <w:color w:val="111111"/>
                <w:sz w:val="20"/>
                <w:szCs w:val="20"/>
              </w:rPr>
              <w:t>4/4</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51.0% – 100%</w:t>
            </w:r>
          </w:p>
        </w:tc>
      </w:tr>
      <w:tr>
        <w:tc>
          <w:tcPr>
            <w:tcW w:type="dxa" w:w="2239"/>
          </w:tcPr>
          <w:p>
            <w:pPr>
              <w:spacing w:before="60" w:after="60"/>
              <w:jc w:val="left"/>
            </w:pPr>
            <w:r/>
            <w:r>
              <w:rPr>
                <w:rFonts w:ascii="Times New Roman" w:hAnsi="Times New Roman" w:cs="Times New Roman"/>
                <w:b w:val="0"/>
                <w:i w:val="0"/>
                <w:color w:val="111111"/>
                <w:sz w:val="20"/>
                <w:szCs w:val="20"/>
              </w:rPr>
              <w:t>fanta-orange</w:t>
            </w:r>
          </w:p>
        </w:tc>
        <w:tc>
          <w:tcPr>
            <w:tcW w:type="dxa" w:w="2239"/>
          </w:tcPr>
          <w:p>
            <w:pPr>
              <w:spacing w:before="60" w:after="60"/>
              <w:jc w:val="left"/>
            </w:pPr>
            <w:r/>
            <w:r>
              <w:rPr>
                <w:rFonts w:ascii="Times New Roman" w:hAnsi="Times New Roman" w:cs="Times New Roman"/>
                <w:b w:val="0"/>
                <w:i w:val="0"/>
                <w:color w:val="111111"/>
                <w:sz w:val="20"/>
                <w:szCs w:val="20"/>
              </w:rPr>
              <w:t>12/12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75.7% – 100%</w:t>
            </w:r>
          </w:p>
        </w:tc>
      </w:tr>
      <w:tr>
        <w:tc>
          <w:tcPr>
            <w:tcW w:type="dxa" w:w="2239"/>
          </w:tcPr>
          <w:p>
            <w:pPr>
              <w:spacing w:before="60" w:after="60"/>
              <w:jc w:val="left"/>
            </w:pPr>
            <w:r/>
            <w:r>
              <w:rPr>
                <w:rFonts w:ascii="Times New Roman" w:hAnsi="Times New Roman" w:cs="Times New Roman"/>
                <w:b w:val="0"/>
                <w:i w:val="0"/>
                <w:color w:val="111111"/>
                <w:sz w:val="20"/>
                <w:szCs w:val="20"/>
              </w:rPr>
              <w:t>xl-classic</w:t>
            </w:r>
          </w:p>
        </w:tc>
        <w:tc>
          <w:tcPr>
            <w:tcW w:type="dxa" w:w="2239"/>
          </w:tcPr>
          <w:p>
            <w:pPr>
              <w:spacing w:before="60" w:after="60"/>
              <w:jc w:val="left"/>
            </w:pPr>
            <w:r/>
            <w:r>
              <w:rPr>
                <w:rFonts w:ascii="Times New Roman" w:hAnsi="Times New Roman" w:cs="Times New Roman"/>
                <w:b w:val="0"/>
                <w:i w:val="0"/>
                <w:color w:val="111111"/>
                <w:sz w:val="20"/>
                <w:szCs w:val="20"/>
              </w:rPr>
              <w:t>24/24</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86.2% – 100%</w:t>
            </w:r>
          </w:p>
        </w:tc>
      </w:tr>
      <w:tr>
        <w:tc>
          <w:tcPr>
            <w:tcW w:type="dxa" w:w="2239"/>
          </w:tcPr>
          <w:p>
            <w:pPr>
              <w:spacing w:before="60" w:after="60"/>
              <w:jc w:val="left"/>
            </w:pPr>
            <w:r/>
            <w:r>
              <w:rPr>
                <w:rFonts w:ascii="Times New Roman" w:hAnsi="Times New Roman" w:cs="Times New Roman"/>
                <w:b w:val="0"/>
                <w:i w:val="0"/>
                <w:color w:val="111111"/>
                <w:sz w:val="20"/>
                <w:szCs w:val="20"/>
              </w:rPr>
              <w:t>coca-classic</w:t>
            </w:r>
          </w:p>
        </w:tc>
        <w:tc>
          <w:tcPr>
            <w:tcW w:type="dxa" w:w="2239"/>
          </w:tcPr>
          <w:p>
            <w:pPr>
              <w:spacing w:before="60" w:after="60"/>
              <w:jc w:val="left"/>
            </w:pPr>
            <w:r/>
            <w:r>
              <w:rPr>
                <w:rFonts w:ascii="Times New Roman" w:hAnsi="Times New Roman" w:cs="Times New Roman"/>
                <w:b w:val="0"/>
                <w:i w:val="0"/>
                <w:color w:val="111111"/>
                <w:sz w:val="20"/>
                <w:szCs w:val="20"/>
              </w:rPr>
              <w:t>26/26</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87.1% – 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sprite class scores 100% on a single test image, and the true interval for its performance runs from 20.7% to 100% — that is, the number carries almost no information. By contrast xl-classic, on 24 instances, has an interval of 86.2%–100%, which is a statement with content. The two figures are identical on the page and fundamentally different in substance, and nothing distinguishes them except the instance count — which is why it is stated in every table above.</w:t>
      </w:r>
    </w:p>
    <w:p>
      <w:pPr>
        <w:keepNext w:val="0"/>
        <w:spacing w:after="160" w:before="0" w:line="348" w:lineRule="auto"/>
        <w:jc w:val="both"/>
      </w:pPr>
      <w:r>
        <w:rPr>
          <w:rFonts w:ascii="Times New Roman" w:hAnsi="Times New Roman" w:cs="Times New Roman"/>
          <w:b w:val="0"/>
          <w:i w:val="0"/>
          <w:color w:val="111111"/>
          <w:sz w:val="23"/>
          <w:szCs w:val="23"/>
        </w:rPr>
        <w:t>Small samples have a second effect, on the aggregate figures. The platform computes a per-class average, so a class with 24 instances counts equally with a class holding one. Weighting by instance count gives a markedly different picture.</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Recall computed both ways. The figures reported throughout this study are the per-class average, which is the more conservative of the two.</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Per-class average</w:t>
            </w:r>
          </w:p>
        </w:tc>
        <w:tc>
          <w:tcPr>
            <w:tcW w:type="dxa" w:w="2239"/>
          </w:tcPr>
          <w:p>
            <w:pPr>
              <w:spacing w:before="60" w:after="60"/>
              <w:jc w:val="left"/>
            </w:pPr>
            <w:r/>
            <w:r>
              <w:rPr>
                <w:rFonts w:ascii="Times New Roman" w:hAnsi="Times New Roman" w:cs="Times New Roman"/>
                <w:b/>
                <w:bCs w:val="1"/>
                <w:i w:val="0"/>
                <w:color w:val="111111"/>
                <w:sz w:val="20"/>
                <w:szCs w:val="20"/>
              </w:rPr>
              <w:t>Per-instance average</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XL Energy</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96.6% (28/29)</w:t>
            </w:r>
          </w:p>
        </w:tc>
        <w:tc>
          <w:tcPr>
            <w:tcW w:type="dxa" w:w="2239"/>
          </w:tcPr>
          <w:p>
            <w:pPr>
              <w:spacing w:before="60" w:after="60"/>
              <w:jc w:val="left"/>
            </w:pPr>
            <w:r/>
            <w:r>
              <w:rPr>
                <w:rFonts w:ascii="Times New Roman" w:hAnsi="Times New Roman" w:cs="Times New Roman"/>
                <w:b w:val="0"/>
                <w:i w:val="0"/>
                <w:color w:val="111111"/>
                <w:sz w:val="20"/>
                <w:szCs w:val="20"/>
              </w:rPr>
              <w:t>+29.9</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93.3% (28/30)</w:t>
            </w:r>
          </w:p>
        </w:tc>
        <w:tc>
          <w:tcPr>
            <w:tcW w:type="dxa" w:w="2239"/>
          </w:tcPr>
          <w:p>
            <w:pPr>
              <w:spacing w:before="60" w:after="60"/>
              <w:jc w:val="left"/>
            </w:pPr>
            <w:r/>
            <w:r>
              <w:rPr>
                <w:rFonts w:ascii="Times New Roman" w:hAnsi="Times New Roman" w:cs="Times New Roman"/>
                <w:b w:val="0"/>
                <w:i w:val="0"/>
                <w:color w:val="111111"/>
                <w:sz w:val="20"/>
                <w:szCs w:val="20"/>
              </w:rPr>
              <w:t>+37.7</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93.8% (151/161)</w:t>
            </w:r>
          </w:p>
        </w:tc>
        <w:tc>
          <w:tcPr>
            <w:tcW w:type="dxa" w:w="2239"/>
          </w:tcPr>
          <w:p>
            <w:pPr>
              <w:spacing w:before="60" w:after="60"/>
              <w:jc w:val="left"/>
            </w:pPr>
            <w:r/>
            <w:r>
              <w:rPr>
                <w:rFonts w:ascii="Times New Roman" w:hAnsi="Times New Roman" w:cs="Times New Roman"/>
                <w:b w:val="0"/>
                <w:i w:val="0"/>
                <w:color w:val="111111"/>
                <w:sz w:val="20"/>
                <w:szCs w:val="20"/>
              </w:rPr>
              <w:t>+19.4</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94.4% (17/18)</w:t>
            </w:r>
          </w:p>
        </w:tc>
        <w:tc>
          <w:tcPr>
            <w:tcW w:type="dxa" w:w="2239"/>
          </w:tcPr>
          <w:p>
            <w:pPr>
              <w:spacing w:before="60" w:after="60"/>
              <w:jc w:val="left"/>
            </w:pPr>
            <w:r/>
            <w:r>
              <w:rPr>
                <w:rFonts w:ascii="Times New Roman" w:hAnsi="Times New Roman" w:cs="Times New Roman"/>
                <w:b w:val="0"/>
                <w:i w:val="0"/>
                <w:color w:val="111111"/>
                <w:sz w:val="20"/>
                <w:szCs w:val="20"/>
              </w:rPr>
              <w:t>+5.5</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39.1% (9/23)</w:t>
            </w:r>
          </w:p>
        </w:tc>
        <w:tc>
          <w:tcPr>
            <w:tcW w:type="dxa" w:w="2239"/>
          </w:tcPr>
          <w:p>
            <w:pPr>
              <w:spacing w:before="60" w:after="60"/>
              <w:jc w:val="left"/>
            </w:pPr>
            <w:r/>
            <w:r>
              <w:rPr>
                <w:rFonts w:ascii="Times New Roman" w:hAnsi="Times New Roman" w:cs="Times New Roman"/>
                <w:b w:val="0"/>
                <w:i w:val="0"/>
                <w:color w:val="111111"/>
                <w:sz w:val="20"/>
                <w:szCs w:val="20"/>
              </w:rPr>
              <w:t>+7.9</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83.0% (39/47)</w:t>
            </w:r>
          </w:p>
        </w:tc>
        <w:tc>
          <w:tcPr>
            <w:tcW w:type="dxa" w:w="2239"/>
          </w:tcPr>
          <w:p>
            <w:pPr>
              <w:spacing w:before="60" w:after="60"/>
              <w:jc w:val="left"/>
            </w:pPr>
            <w:r/>
            <w:r>
              <w:rPr>
                <w:rFonts w:ascii="Times New Roman" w:hAnsi="Times New Roman" w:cs="Times New Roman"/>
                <w:b w:val="0"/>
                <w:i w:val="0"/>
                <w:color w:val="111111"/>
                <w:sz w:val="20"/>
                <w:szCs w:val="20"/>
              </w:rPr>
              <w:t>−6.1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XL's 66.7% is the clearest illustration of how fragile a per-class average can be: it means “two classes out of three”, and one of the three holds a single instance. Had that one image cleared the threshold, the figure would read 100%. A number that swings by a third on the strength of one image is volatility, not measurement. Set against that, 28 of the 29 actual products in the test set were classified correctly.</w:t>
      </w:r>
    </w:p>
    <w:p>
      <w:pPr>
        <w:keepNext w:val="0"/>
        <w:spacing w:after="160" w:before="0" w:line="348" w:lineRule="auto"/>
        <w:jc w:val="both"/>
      </w:pPr>
      <w:r>
        <w:rPr>
          <w:rFonts w:ascii="Times New Roman" w:hAnsi="Times New Roman" w:cs="Times New Roman"/>
          <w:b w:val="0"/>
          <w:i w:val="0"/>
          <w:color w:val="111111"/>
          <w:sz w:val="23"/>
          <w:szCs w:val="23"/>
        </w:rPr>
        <w:t>Both averages are valid, but they answer different questions. The per-class average asks “how does the system handle the average class?”, exposing and penalising data gaps; the per-instance average asks “how does it handle the average product on a shelf?”, which is what a client actually experiences. This study reports the former because it is the more conservative, and states the latter here so the former is not misread.</w:t>
      </w:r>
    </w:p>
    <w:p>
      <w:pPr>
        <w:keepNext w:val="0"/>
        <w:spacing w:after="160" w:before="0" w:line="348" w:lineRule="auto"/>
        <w:jc w:val="both"/>
      </w:pPr>
      <w:r>
        <w:rPr>
          <w:rFonts w:ascii="Times New Roman" w:hAnsi="Times New Roman" w:cs="Times New Roman"/>
          <w:b w:val="0"/>
          <w:i w:val="0"/>
          <w:color w:val="111111"/>
          <w:sz w:val="23"/>
          <w:szCs w:val="23"/>
        </w:rPr>
        <w:t>Inspecting the confusion matrices at this threshold reveals a striking property: across the brand, Fanta, XL, Coca and Cappy classifiers there is not a single confusion between one class and another in the entire test set. Every error is an abstention — the model failed to reach the threshold and stayed silent — rather than a misclassification. In the brand layer, for instance: 47 instances, 39 correct, 8 abstentions, zero confusions.</w:t>
      </w:r>
    </w:p>
    <w:p>
      <w:pPr>
        <w:keepNext w:val="0"/>
        <w:spacing w:after="160" w:before="0" w:line="348" w:lineRule="auto"/>
        <w:jc w:val="both"/>
      </w:pPr>
      <w:r>
        <w:rPr>
          <w:rFonts w:ascii="Times New Roman" w:hAnsi="Times New Roman" w:cs="Times New Roman"/>
          <w:b w:val="0"/>
          <w:i w:val="0"/>
          <w:color w:val="111111"/>
          <w:sz w:val="23"/>
          <w:szCs w:val="23"/>
        </w:rPr>
        <w:t>This property has direct operational value: the system does not call a Coca-Cola a Sprite; it is either right or silent. An abstention is a tractable error, referred to human review and corrected there, whereas a confident misclassification propagates into the report without arousing suspicion. The sole exception is the packaging classifier, the only one that shows genuine confusion (can with plastic eight times, glass to plastic twice) and never abstains — and also the only one operating on a physical property rather than a commercial identity.</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The multi-stage architecture on a real Cappy shelf: labels here are at flavour level (orange / mango / grape / lemon / strawberry) rather than brand level — this is what the routed variant layer produces, and it is directly comparable with the preceding figure. What matters most in it is that the confidences shown range from 19% to 67% — most of them below the 0.70 threshold this study adopts. This is exactly the case the section quantifies: the flavour is visually distinguished and usually correct, but below the confidence that would license an automatic decision — which is why the classifier scores 50% precision and 31.2% recall at that threshold, and why active learning was directed at it (Section 6).</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specific, measurable data scarcity. This is a decisive practical distinction: data scarcity is addressed by targeted collection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5.5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spacing w:before="240" w:after="100"/>
        <w:jc w:val="center"/>
      </w:pPr>
      <w:r>
        <w:rPr>
          <w:rFonts w:ascii="Times New Roman" w:hAnsi="Times New Roman" w:cs="Times New Roman"/>
          <w:b/>
          <w:bCs w:val="1"/>
          <w:i w:val="0"/>
          <w:color w:val="555555"/>
          <w:sz w:val="19"/>
          <w:szCs w:val="19"/>
        </w:rPr>
        <w:t xml:space="preserve">Table 9. </w:t>
      </w:r>
      <w:r>
        <w:rPr>
          <w:rFonts w:ascii="Times New Roman" w:hAnsi="Times New Roman" w:cs="Times New Roman"/>
          <w:b w:val="0"/>
          <w:i/>
          <w:iCs w:val="1"/>
          <w:color w:val="555555"/>
          <w:sz w:val="19"/>
          <w:szCs w:val="19"/>
        </w:rPr>
        <w:t>Direct measurement, running both versions back to back on the same photograph through the same call path.</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Unrouted</w:t>
            </w:r>
          </w:p>
        </w:tc>
        <w:tc>
          <w:tcPr>
            <w:tcW w:type="dxa" w:w="2986"/>
          </w:tcPr>
          <w:p>
            <w:pPr>
              <w:spacing w:before="60" w:after="60"/>
              <w:jc w:val="left"/>
            </w:pPr>
            <w:r/>
            <w:r>
              <w:rPr>
                <w:rFonts w:ascii="Times New Roman" w:hAnsi="Times New Roman" w:cs="Times New Roman"/>
                <w:b/>
                <w:bCs w:val="1"/>
                <w:i w:val="0"/>
                <w:color w:val="111111"/>
                <w:sz w:val="20"/>
                <w:szCs w:val="20"/>
              </w:rPr>
              <w:t>Routed</w:t>
            </w:r>
          </w:p>
        </w:tc>
      </w:tr>
      <w:tr>
        <w:tc>
          <w:tcPr>
            <w:tcW w:type="dxa" w:w="2986"/>
          </w:tcPr>
          <w:p>
            <w:pPr>
              <w:spacing w:before="60" w:after="60"/>
              <w:jc w:val="left"/>
            </w:pPr>
            <w:r/>
            <w:r>
              <w:rPr>
                <w:rFonts w:ascii="Times New Roman" w:hAnsi="Times New Roman" w:cs="Times New Roman"/>
                <w:b w:val="0"/>
                <w:i w:val="0"/>
                <w:color w:val="111111"/>
                <w:sz w:val="20"/>
                <w:szCs w:val="20"/>
              </w:rPr>
              <w:t>Processing time</w:t>
            </w:r>
          </w:p>
        </w:tc>
        <w:tc>
          <w:tcPr>
            <w:tcW w:type="dxa" w:w="2986"/>
          </w:tcPr>
          <w:p>
            <w:pPr>
              <w:spacing w:before="60" w:after="60"/>
              <w:jc w:val="left"/>
            </w:pPr>
            <w:r/>
            <w:r>
              <w:rPr>
                <w:rFonts w:ascii="Times New Roman" w:hAnsi="Times New Roman" w:cs="Times New Roman"/>
                <w:b w:val="0"/>
                <w:i w:val="0"/>
                <w:color w:val="111111"/>
                <w:sz w:val="20"/>
                <w:szCs w:val="20"/>
              </w:rPr>
              <w:t>40.32 s</w:t>
            </w:r>
          </w:p>
        </w:tc>
        <w:tc>
          <w:tcPr>
            <w:tcW w:type="dxa" w:w="2986"/>
          </w:tcPr>
          <w:p>
            <w:pPr>
              <w:spacing w:before="60" w:after="60"/>
              <w:jc w:val="left"/>
            </w:pPr>
            <w:r/>
            <w:r>
              <w:rPr>
                <w:rFonts w:ascii="Times New Roman" w:hAnsi="Times New Roman" w:cs="Times New Roman"/>
                <w:b w:val="0"/>
                <w:i w:val="0"/>
                <w:color w:val="111111"/>
                <w:sz w:val="20"/>
                <w:szCs w:val="20"/>
              </w:rPr>
              <w:t>14.20 s</w:t>
            </w:r>
          </w:p>
        </w:tc>
      </w:tr>
      <w:tr>
        <w:tc>
          <w:tcPr>
            <w:tcW w:type="dxa" w:w="2986"/>
          </w:tcPr>
          <w:p>
            <w:pPr>
              <w:spacing w:before="60" w:after="60"/>
              <w:jc w:val="left"/>
            </w:pPr>
            <w:r/>
            <w:r>
              <w:rPr>
                <w:rFonts w:ascii="Times New Roman" w:hAnsi="Times New Roman" w:cs="Times New Roman"/>
                <w:b w:val="0"/>
                <w:i w:val="0"/>
                <w:color w:val="111111"/>
                <w:sz w:val="20"/>
                <w:szCs w:val="20"/>
              </w:rPr>
              <w:t>Reduction</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65% (26.1 s)</w:t>
            </w:r>
          </w:p>
        </w:tc>
      </w:tr>
      <w:tr>
        <w:tc>
          <w:tcPr>
            <w:tcW w:type="dxa" w:w="2986"/>
          </w:tcPr>
          <w:p>
            <w:pPr>
              <w:spacing w:before="60" w:after="60"/>
              <w:jc w:val="left"/>
            </w:pPr>
            <w:r/>
            <w:r>
              <w:rPr>
                <w:rFonts w:ascii="Times New Roman" w:hAnsi="Times New Roman" w:cs="Times New Roman"/>
                <w:b w:val="0"/>
                <w:i w:val="0"/>
                <w:color w:val="111111"/>
                <w:sz w:val="20"/>
                <w:szCs w:val="20"/>
              </w:rPr>
              <w:t>Output agreement</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identical</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Identical output is an essential condition rather than a detail: a speed-up that changes the result is a defect, not an improvement.</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5.6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10.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5.5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An operational decision follows from this third function: what is shown to the reviewer is not necessarily what is counted in the report. The 0.70 threshold used for measurement defines what qualifies as a trustworthy automatic verdict, but hiding everything below it from the reviewer's screen would deny them sight of precisely the cases they are meant to correct — the cases the system most needs (Section 5.3). Predictions below the threshold are therefore shown for review but not counted automatically,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The test splits are improperly small — the gravest limitation in this study, and the one that precedes all others because it bears on the reliability of every figure in it.</w:t>
      </w:r>
    </w:p>
    <w:p>
      <w:pPr>
        <w:keepNext/>
        <w:spacing w:before="240" w:after="100"/>
        <w:jc w:val="center"/>
      </w:pPr>
      <w:r>
        <w:rPr>
          <w:rFonts w:ascii="Times New Roman" w:hAnsi="Times New Roman" w:cs="Times New Roman"/>
          <w:b/>
          <w:bCs w:val="1"/>
          <w:i w:val="0"/>
          <w:color w:val="555555"/>
          <w:sz w:val="19"/>
          <w:szCs w:val="19"/>
        </w:rPr>
        <w:t xml:space="preserve">Table 11. </w:t>
      </w:r>
      <w:r>
        <w:rPr>
          <w:rFonts w:ascii="Times New Roman" w:hAnsi="Times New Roman" w:cs="Times New Roman"/>
          <w:b w:val="0"/>
          <w:i/>
          <w:iCs w:val="1"/>
          <w:color w:val="555555"/>
          <w:sz w:val="19"/>
          <w:szCs w:val="19"/>
        </w:rPr>
        <w:t>Actual split proportions. The conventional test share is around 20%.</w:t>
      </w:r>
    </w:p>
    <w:tbl>
      <w:tblPr>
        <w:tblStyle w:val="TableGrid"/>
        <w:tblW w:type="auto" w:w="0"/>
        <w:jc w:val="left"/>
        <w:tblLook w:firstColumn="1" w:firstRow="1" w:lastColumn="0" w:lastRow="0" w:noHBand="0" w:noVBand="1" w:val="04A0"/>
      </w:tblPr>
      <w:tblGrid>
        <w:gridCol w:w="1792"/>
        <w:gridCol w:w="1792"/>
        <w:gridCol w:w="1792"/>
        <w:gridCol w:w="1792"/>
        <w:gridCol w:w="1792"/>
      </w:tblGrid>
      <w:tr>
        <w:tc>
          <w:tcPr>
            <w:tcW w:type="dxa" w:w="1792"/>
          </w:tcPr>
          <w:p>
            <w:pPr>
              <w:spacing w:before="60" w:after="60"/>
              <w:jc w:val="left"/>
            </w:pPr>
            <w:r/>
            <w:r>
              <w:rPr>
                <w:rFonts w:ascii="Times New Roman" w:hAnsi="Times New Roman" w:cs="Times New Roman"/>
                <w:b/>
                <w:bCs w:val="1"/>
                <w:i w:val="0"/>
                <w:color w:val="111111"/>
                <w:sz w:val="20"/>
                <w:szCs w:val="20"/>
              </w:rPr>
              <w:t>Project</w:t>
            </w:r>
          </w:p>
        </w:tc>
        <w:tc>
          <w:tcPr>
            <w:tcW w:type="dxa" w:w="1792"/>
          </w:tcPr>
          <w:p>
            <w:pPr>
              <w:spacing w:before="60" w:after="60"/>
              <w:jc w:val="left"/>
            </w:pPr>
            <w:r/>
            <w:r>
              <w:rPr>
                <w:rFonts w:ascii="Times New Roman" w:hAnsi="Times New Roman" w:cs="Times New Roman"/>
                <w:b/>
                <w:bCs w:val="1"/>
                <w:i w:val="0"/>
                <w:color w:val="111111"/>
                <w:sz w:val="20"/>
                <w:szCs w:val="20"/>
              </w:rPr>
              <w:t>Train</w:t>
            </w:r>
          </w:p>
        </w:tc>
        <w:tc>
          <w:tcPr>
            <w:tcW w:type="dxa" w:w="1792"/>
          </w:tcPr>
          <w:p>
            <w:pPr>
              <w:spacing w:before="60" w:after="60"/>
              <w:jc w:val="left"/>
            </w:pPr>
            <w:r/>
            <w:r>
              <w:rPr>
                <w:rFonts w:ascii="Times New Roman" w:hAnsi="Times New Roman" w:cs="Times New Roman"/>
                <w:b/>
                <w:bCs w:val="1"/>
                <w:i w:val="0"/>
                <w:color w:val="111111"/>
                <w:sz w:val="20"/>
                <w:szCs w:val="20"/>
              </w:rPr>
              <w:t>Valid</w:t>
            </w:r>
          </w:p>
        </w:tc>
        <w:tc>
          <w:tcPr>
            <w:tcW w:type="dxa" w:w="1792"/>
          </w:tcPr>
          <w:p>
            <w:pPr>
              <w:spacing w:before="60" w:after="60"/>
              <w:jc w:val="left"/>
            </w:pPr>
            <w:r/>
            <w:r>
              <w:rPr>
                <w:rFonts w:ascii="Times New Roman" w:hAnsi="Times New Roman" w:cs="Times New Roman"/>
                <w:b/>
                <w:bCs w:val="1"/>
                <w:i w:val="0"/>
                <w:color w:val="111111"/>
                <w:sz w:val="20"/>
                <w:szCs w:val="20"/>
              </w:rPr>
              <w:t>Test</w:t>
            </w:r>
          </w:p>
        </w:tc>
        <w:tc>
          <w:tcPr>
            <w:tcW w:type="dxa" w:w="1792"/>
          </w:tcPr>
          <w:p>
            <w:pPr>
              <w:spacing w:before="60" w:after="60"/>
              <w:jc w:val="left"/>
            </w:pPr>
            <w:r/>
            <w:r>
              <w:rPr>
                <w:rFonts w:ascii="Times New Roman" w:hAnsi="Times New Roman" w:cs="Times New Roman"/>
                <w:b/>
                <w:bCs w:val="1"/>
                <w:i w:val="0"/>
                <w:color w:val="111111"/>
                <w:sz w:val="20"/>
                <w:szCs w:val="20"/>
              </w:rPr>
              <w:t>Test share</w:t>
            </w:r>
          </w:p>
        </w:tc>
      </w:tr>
      <w:tr>
        <w:tc>
          <w:tcPr>
            <w:tcW w:type="dxa" w:w="1792"/>
          </w:tcPr>
          <w:p>
            <w:pPr>
              <w:spacing w:before="60" w:after="60"/>
              <w:jc w:val="left"/>
            </w:pPr>
            <w:r/>
            <w:r>
              <w:rPr>
                <w:rFonts w:ascii="Times New Roman" w:hAnsi="Times New Roman" w:cs="Times New Roman"/>
                <w:b w:val="0"/>
                <w:i w:val="0"/>
                <w:color w:val="111111"/>
                <w:sz w:val="20"/>
                <w:szCs w:val="20"/>
              </w:rPr>
              <w:t>Brand classifier</w:t>
            </w:r>
          </w:p>
        </w:tc>
        <w:tc>
          <w:tcPr>
            <w:tcW w:type="dxa" w:w="1792"/>
          </w:tcPr>
          <w:p>
            <w:pPr>
              <w:spacing w:before="60" w:after="60"/>
              <w:jc w:val="left"/>
            </w:pPr>
            <w:r/>
            <w:r>
              <w:rPr>
                <w:rFonts w:ascii="Times New Roman" w:hAnsi="Times New Roman" w:cs="Times New Roman"/>
                <w:b w:val="0"/>
                <w:i w:val="0"/>
                <w:color w:val="111111"/>
                <w:sz w:val="20"/>
                <w:szCs w:val="20"/>
              </w:rPr>
              <w:t>1,534</w:t>
            </w:r>
          </w:p>
        </w:tc>
        <w:tc>
          <w:tcPr>
            <w:tcW w:type="dxa" w:w="1792"/>
          </w:tcPr>
          <w:p>
            <w:pPr>
              <w:spacing w:before="60" w:after="60"/>
              <w:jc w:val="left"/>
            </w:pPr>
            <w:r/>
            <w:r>
              <w:rPr>
                <w:rFonts w:ascii="Times New Roman" w:hAnsi="Times New Roman" w:cs="Times New Roman"/>
                <w:b w:val="0"/>
                <w:i w:val="0"/>
                <w:color w:val="111111"/>
                <w:sz w:val="20"/>
                <w:szCs w:val="20"/>
              </w:rPr>
              <w:t>105</w:t>
            </w:r>
          </w:p>
        </w:tc>
        <w:tc>
          <w:tcPr>
            <w:tcW w:type="dxa" w:w="1792"/>
          </w:tcPr>
          <w:p>
            <w:pPr>
              <w:spacing w:before="60" w:after="60"/>
              <w:jc w:val="left"/>
            </w:pPr>
            <w:r/>
            <w:r>
              <w:rPr>
                <w:rFonts w:ascii="Times New Roman" w:hAnsi="Times New Roman" w:cs="Times New Roman"/>
                <w:b w:val="0"/>
                <w:i w:val="0"/>
                <w:color w:val="111111"/>
                <w:sz w:val="20"/>
                <w:szCs w:val="20"/>
              </w:rPr>
              <w:t>47</w:t>
            </w:r>
          </w:p>
        </w:tc>
        <w:tc>
          <w:tcPr>
            <w:tcW w:type="dxa" w:w="1792"/>
          </w:tcPr>
          <w:p>
            <w:pPr>
              <w:spacing w:before="60" w:after="60"/>
              <w:jc w:val="left"/>
            </w:pPr>
            <w:r/>
            <w:r>
              <w:rPr>
                <w:rFonts w:ascii="Times New Roman" w:hAnsi="Times New Roman" w:cs="Times New Roman"/>
                <w:b w:val="0"/>
                <w:i w:val="0"/>
                <w:color w:val="111111"/>
                <w:sz w:val="20"/>
                <w:szCs w:val="20"/>
              </w:rPr>
              <w:t>2.8%</w:t>
            </w:r>
          </w:p>
        </w:tc>
      </w:tr>
      <w:tr>
        <w:tc>
          <w:tcPr>
            <w:tcW w:type="dxa" w:w="1792"/>
          </w:tcPr>
          <w:p>
            <w:pPr>
              <w:spacing w:before="60" w:after="60"/>
              <w:jc w:val="left"/>
            </w:pPr>
            <w:r/>
            <w:r>
              <w:rPr>
                <w:rFonts w:ascii="Times New Roman" w:hAnsi="Times New Roman" w:cs="Times New Roman"/>
                <w:b w:val="0"/>
                <w:i w:val="0"/>
                <w:color w:val="111111"/>
                <w:sz w:val="20"/>
                <w:szCs w:val="20"/>
              </w:rPr>
              <w:t>Coca-Cola</w:t>
            </w:r>
          </w:p>
        </w:tc>
        <w:tc>
          <w:tcPr>
            <w:tcW w:type="dxa" w:w="1792"/>
          </w:tcPr>
          <w:p>
            <w:pPr>
              <w:spacing w:before="60" w:after="60"/>
              <w:jc w:val="left"/>
            </w:pPr>
            <w:r/>
            <w:r>
              <w:rPr>
                <w:rFonts w:ascii="Times New Roman" w:hAnsi="Times New Roman" w:cs="Times New Roman"/>
                <w:b w:val="0"/>
                <w:i w:val="0"/>
                <w:color w:val="111111"/>
                <w:sz w:val="20"/>
                <w:szCs w:val="20"/>
              </w:rPr>
              <w:t>720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3.8%</w:t>
            </w:r>
          </w:p>
        </w:tc>
      </w:tr>
      <w:tr>
        <w:tc>
          <w:tcPr>
            <w:tcW w:type="dxa" w:w="1792"/>
          </w:tcPr>
          <w:p>
            <w:pPr>
              <w:spacing w:before="60" w:after="60"/>
              <w:jc w:val="left"/>
            </w:pPr>
            <w:r/>
            <w:r>
              <w:rPr>
                <w:rFonts w:ascii="Times New Roman" w:hAnsi="Times New Roman" w:cs="Times New Roman"/>
                <w:b w:val="0"/>
                <w:i w:val="0"/>
                <w:color w:val="111111"/>
                <w:sz w:val="20"/>
                <w:szCs w:val="20"/>
              </w:rPr>
              <w:t>XL Energy</w:t>
            </w:r>
          </w:p>
        </w:tc>
        <w:tc>
          <w:tcPr>
            <w:tcW w:type="dxa" w:w="1792"/>
          </w:tcPr>
          <w:p>
            <w:pPr>
              <w:spacing w:before="60" w:after="60"/>
              <w:jc w:val="left"/>
            </w:pPr>
            <w:r/>
            <w:r>
              <w:rPr>
                <w:rFonts w:ascii="Times New Roman" w:hAnsi="Times New Roman" w:cs="Times New Roman"/>
                <w:b w:val="0"/>
                <w:i w:val="0"/>
                <w:color w:val="111111"/>
                <w:sz w:val="20"/>
                <w:szCs w:val="20"/>
              </w:rPr>
              <w:t>612</w:t>
            </w:r>
          </w:p>
        </w:tc>
        <w:tc>
          <w:tcPr>
            <w:tcW w:type="dxa" w:w="1792"/>
          </w:tcPr>
          <w:p>
            <w:pPr>
              <w:spacing w:before="60" w:after="60"/>
              <w:jc w:val="left"/>
            </w:pPr>
            <w:r/>
            <w:r>
              <w:rPr>
                <w:rFonts w:ascii="Times New Roman" w:hAnsi="Times New Roman" w:cs="Times New Roman"/>
                <w:b w:val="0"/>
                <w:i w:val="0"/>
                <w:color w:val="111111"/>
                <w:sz w:val="20"/>
                <w:szCs w:val="20"/>
              </w:rPr>
              <w:t>58</w:t>
            </w:r>
          </w:p>
        </w:tc>
        <w:tc>
          <w:tcPr>
            <w:tcW w:type="dxa" w:w="1792"/>
          </w:tcPr>
          <w:p>
            <w:pPr>
              <w:spacing w:before="60" w:after="60"/>
              <w:jc w:val="left"/>
            </w:pPr>
            <w:r/>
            <w:r>
              <w:rPr>
                <w:rFonts w:ascii="Times New Roman" w:hAnsi="Times New Roman" w:cs="Times New Roman"/>
                <w:b w:val="0"/>
                <w:i w:val="0"/>
                <w:color w:val="111111"/>
                <w:sz w:val="20"/>
                <w:szCs w:val="20"/>
              </w:rPr>
              <w:t>29</w:t>
            </w:r>
          </w:p>
        </w:tc>
        <w:tc>
          <w:tcPr>
            <w:tcW w:type="dxa" w:w="1792"/>
          </w:tcPr>
          <w:p>
            <w:pPr>
              <w:spacing w:before="60" w:after="60"/>
              <w:jc w:val="left"/>
            </w:pPr>
            <w:r/>
            <w:r>
              <w:rPr>
                <w:rFonts w:ascii="Times New Roman" w:hAnsi="Times New Roman" w:cs="Times New Roman"/>
                <w:b w:val="0"/>
                <w:i w:val="0"/>
                <w:color w:val="111111"/>
                <w:sz w:val="20"/>
                <w:szCs w:val="20"/>
              </w:rPr>
              <w:t>4.1%</w:t>
            </w:r>
          </w:p>
        </w:tc>
      </w:tr>
      <w:tr>
        <w:tc>
          <w:tcPr>
            <w:tcW w:type="dxa" w:w="1792"/>
          </w:tcPr>
          <w:p>
            <w:pPr>
              <w:spacing w:before="60" w:after="60"/>
              <w:jc w:val="left"/>
            </w:pPr>
            <w:r/>
            <w:r>
              <w:rPr>
                <w:rFonts w:ascii="Times New Roman" w:hAnsi="Times New Roman" w:cs="Times New Roman"/>
                <w:b w:val="0"/>
                <w:i w:val="0"/>
                <w:color w:val="111111"/>
                <w:sz w:val="20"/>
                <w:szCs w:val="20"/>
              </w:rPr>
              <w:t>Fanta</w:t>
            </w:r>
          </w:p>
        </w:tc>
        <w:tc>
          <w:tcPr>
            <w:tcW w:type="dxa" w:w="1792"/>
          </w:tcPr>
          <w:p>
            <w:pPr>
              <w:spacing w:before="60" w:after="60"/>
              <w:jc w:val="left"/>
            </w:pPr>
            <w:r/>
            <w:r>
              <w:rPr>
                <w:rFonts w:ascii="Times New Roman" w:hAnsi="Times New Roman" w:cs="Times New Roman"/>
                <w:b w:val="0"/>
                <w:i w:val="0"/>
                <w:color w:val="111111"/>
                <w:sz w:val="20"/>
                <w:szCs w:val="20"/>
              </w:rPr>
              <w:t>238</w:t>
            </w:r>
          </w:p>
        </w:tc>
        <w:tc>
          <w:tcPr>
            <w:tcW w:type="dxa" w:w="1792"/>
          </w:tcPr>
          <w:p>
            <w:pPr>
              <w:spacing w:before="60" w:after="60"/>
              <w:jc w:val="left"/>
            </w:pPr>
            <w:r/>
            <w:r>
              <w:rPr>
                <w:rFonts w:ascii="Times New Roman" w:hAnsi="Times New Roman" w:cs="Times New Roman"/>
                <w:b w:val="0"/>
                <w:i w:val="0"/>
                <w:color w:val="111111"/>
                <w:sz w:val="20"/>
                <w:szCs w:val="20"/>
              </w:rPr>
              <w:t>43</w:t>
            </w:r>
          </w:p>
        </w:tc>
        <w:tc>
          <w:tcPr>
            <w:tcW w:type="dxa" w:w="1792"/>
          </w:tcPr>
          <w:p>
            <w:pPr>
              <w:spacing w:before="60" w:after="60"/>
              <w:jc w:val="left"/>
            </w:pPr>
            <w:r/>
            <w:r>
              <w:rPr>
                <w:rFonts w:ascii="Times New Roman" w:hAnsi="Times New Roman" w:cs="Times New Roman"/>
                <w:b w:val="0"/>
                <w:i w:val="0"/>
                <w:color w:val="111111"/>
                <w:sz w:val="20"/>
                <w:szCs w:val="20"/>
              </w:rPr>
              <w:t>18</w:t>
            </w:r>
          </w:p>
        </w:tc>
        <w:tc>
          <w:tcPr>
            <w:tcW w:type="dxa" w:w="1792"/>
          </w:tcPr>
          <w:p>
            <w:pPr>
              <w:spacing w:before="60" w:after="60"/>
              <w:jc w:val="left"/>
            </w:pPr>
            <w:r/>
            <w:r>
              <w:rPr>
                <w:rFonts w:ascii="Times New Roman" w:hAnsi="Times New Roman" w:cs="Times New Roman"/>
                <w:b w:val="0"/>
                <w:i w:val="0"/>
                <w:color w:val="111111"/>
                <w:sz w:val="20"/>
                <w:szCs w:val="20"/>
              </w:rPr>
              <w:t>6.0%</w:t>
            </w:r>
          </w:p>
        </w:tc>
      </w:tr>
      <w:tr>
        <w:tc>
          <w:tcPr>
            <w:tcW w:type="dxa" w:w="1792"/>
          </w:tcPr>
          <w:p>
            <w:pPr>
              <w:spacing w:before="60" w:after="60"/>
              <w:jc w:val="left"/>
            </w:pPr>
            <w:r/>
            <w:r>
              <w:rPr>
                <w:rFonts w:ascii="Times New Roman" w:hAnsi="Times New Roman" w:cs="Times New Roman"/>
                <w:b w:val="0"/>
                <w:i w:val="0"/>
                <w:color w:val="111111"/>
                <w:sz w:val="20"/>
                <w:szCs w:val="20"/>
              </w:rPr>
              <w:t>Detector v2</w:t>
            </w:r>
          </w:p>
        </w:tc>
        <w:tc>
          <w:tcPr>
            <w:tcW w:type="dxa" w:w="1792"/>
          </w:tcPr>
          <w:p>
            <w:pPr>
              <w:spacing w:before="60" w:after="60"/>
              <w:jc w:val="left"/>
            </w:pPr>
            <w:r/>
            <w:r>
              <w:rPr>
                <w:rFonts w:ascii="Times New Roman" w:hAnsi="Times New Roman" w:cs="Times New Roman"/>
                <w:b w:val="0"/>
                <w:i w:val="0"/>
                <w:color w:val="111111"/>
                <w:sz w:val="20"/>
                <w:szCs w:val="20"/>
              </w:rPr>
              <w:t>316</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8.9%</w:t>
            </w:r>
          </w:p>
        </w:tc>
      </w:tr>
      <w:tr>
        <w:tc>
          <w:tcPr>
            <w:tcW w:type="dxa" w:w="1792"/>
          </w:tcPr>
          <w:p>
            <w:pPr>
              <w:spacing w:before="60" w:after="60"/>
              <w:jc w:val="left"/>
            </w:pPr>
            <w:r/>
            <w:r>
              <w:rPr>
                <w:rFonts w:ascii="Times New Roman" w:hAnsi="Times New Roman" w:cs="Times New Roman"/>
                <w:b w:val="0"/>
                <w:i w:val="0"/>
                <w:color w:val="111111"/>
                <w:sz w:val="20"/>
                <w:szCs w:val="20"/>
              </w:rPr>
              <w:t>Cappy</w:t>
            </w:r>
          </w:p>
        </w:tc>
        <w:tc>
          <w:tcPr>
            <w:tcW w:type="dxa" w:w="1792"/>
          </w:tcPr>
          <w:p>
            <w:pPr>
              <w:spacing w:before="60" w:after="60"/>
              <w:jc w:val="left"/>
            </w:pPr>
            <w:r/>
            <w:r>
              <w:rPr>
                <w:rFonts w:ascii="Times New Roman" w:hAnsi="Times New Roman" w:cs="Times New Roman"/>
                <w:b w:val="0"/>
                <w:i w:val="0"/>
                <w:color w:val="111111"/>
                <w:sz w:val="20"/>
                <w:szCs w:val="20"/>
              </w:rPr>
              <w:t>161</w:t>
            </w:r>
          </w:p>
        </w:tc>
        <w:tc>
          <w:tcPr>
            <w:tcW w:type="dxa" w:w="1792"/>
          </w:tcPr>
          <w:p>
            <w:pPr>
              <w:spacing w:before="60" w:after="60"/>
              <w:jc w:val="left"/>
            </w:pPr>
            <w:r/>
            <w:r>
              <w:rPr>
                <w:rFonts w:ascii="Times New Roman" w:hAnsi="Times New Roman" w:cs="Times New Roman"/>
                <w:b w:val="0"/>
                <w:i w:val="0"/>
                <w:color w:val="111111"/>
                <w:sz w:val="20"/>
                <w:szCs w:val="20"/>
              </w:rPr>
              <w:t>46</w:t>
            </w:r>
          </w:p>
        </w:tc>
        <w:tc>
          <w:tcPr>
            <w:tcW w:type="dxa" w:w="1792"/>
          </w:tcPr>
          <w:p>
            <w:pPr>
              <w:spacing w:before="60" w:after="60"/>
              <w:jc w:val="left"/>
            </w:pPr>
            <w:r/>
            <w:r>
              <w:rPr>
                <w:rFonts w:ascii="Times New Roman" w:hAnsi="Times New Roman" w:cs="Times New Roman"/>
                <w:b w:val="0"/>
                <w:i w:val="0"/>
                <w:color w:val="111111"/>
                <w:sz w:val="20"/>
                <w:szCs w:val="20"/>
              </w:rPr>
              <w:t>23</w:t>
            </w:r>
          </w:p>
        </w:tc>
        <w:tc>
          <w:tcPr>
            <w:tcW w:type="dxa" w:w="1792"/>
          </w:tcPr>
          <w:p>
            <w:pPr>
              <w:spacing w:before="60" w:after="60"/>
              <w:jc w:val="left"/>
            </w:pPr>
            <w:r/>
            <w:r>
              <w:rPr>
                <w:rFonts w:ascii="Times New Roman" w:hAnsi="Times New Roman" w:cs="Times New Roman"/>
                <w:b w:val="0"/>
                <w:i w:val="0"/>
                <w:color w:val="111111"/>
                <w:sz w:val="20"/>
                <w:szCs w:val="20"/>
              </w:rPr>
              <w:t>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consequence is that classes rich in data reached the test set with one or two instances. The clearest example is sprite: the project holds 374 images of it, of which exactly one landed in the test split and 373 in training. Its “100%” is therefore not a performance certificate but an artefact of the split.</w:t>
      </w:r>
    </w:p>
    <w:p>
      <w:pPr>
        <w:keepNext w:val="0"/>
        <w:spacing w:after="120" w:before="0" w:line="348" w:lineRule="auto"/>
        <w:jc w:val="both"/>
      </w:pPr>
      <w:r>
        <w:rPr>
          <w:rFonts w:ascii="Times New Roman" w:hAnsi="Times New Roman" w:cs="Times New Roman"/>
          <w:b w:val="0"/>
          <w:i w:val="0"/>
          <w:color w:val="111111"/>
          <w:sz w:val="23"/>
          <w:szCs w:val="23"/>
        </w:rPr>
        <w:t>2. From this follows an essential distinction between two kinds of weakness that had been conflated under the single description of “data scarcity”:</w:t>
      </w:r>
    </w:p>
    <w:p>
      <w:pPr>
        <w:keepNext w:val="0"/>
        <w:spacing w:after="160" w:before="0" w:line="348" w:lineRule="auto"/>
        <w:jc w:val="both"/>
      </w:pPr>
      <w:r>
        <w:rPr>
          <w:rFonts w:ascii="Times New Roman" w:hAnsi="Times New Roman" w:cs="Times New Roman"/>
          <w:b w:val="0"/>
          <w:i w:val="0"/>
          <w:color w:val="111111"/>
          <w:sz w:val="23"/>
          <w:szCs w:val="23"/>
        </w:rPr>
        <w:t>The first is a split deficiency rather than a data one: sprite, fanta at brand level, xl-red. The data exists in full within the project, but the split withheld it from the test set. The remedy needs no photography and no new data — only regenerating a version with a balanced split and retraining, a matter of minutes of computation, currently blocked solely on the availability of training credits.</w:t>
      </w:r>
    </w:p>
    <w:p>
      <w:pPr>
        <w:keepNext w:val="0"/>
        <w:spacing w:after="160" w:before="0" w:line="348" w:lineRule="auto"/>
        <w:jc w:val="both"/>
      </w:pPr>
      <w:r>
        <w:rPr>
          <w:rFonts w:ascii="Times New Roman" w:hAnsi="Times New Roman" w:cs="Times New Roman"/>
          <w:b w:val="0"/>
          <w:i w:val="0"/>
          <w:color w:val="111111"/>
          <w:sz w:val="23"/>
          <w:szCs w:val="23"/>
        </w:rPr>
        <w:t>The second is genuine data scarcity: coca-diet (5 source images), glass (25 images in the whole corpus, 3 of them in test), the thin Cappy flavours, and pepsi (unrepresented in both the detector and the classifier). No split and no retraining produces these; only field photography does.</w:t>
      </w:r>
    </w:p>
    <w:p>
      <w:pPr>
        <w:keepNext w:val="0"/>
        <w:spacing w:after="160" w:before="0" w:line="348" w:lineRule="auto"/>
        <w:jc w:val="both"/>
      </w:pPr>
      <w:r>
        <w:rPr>
          <w:rFonts w:ascii="Times New Roman" w:hAnsi="Times New Roman" w:cs="Times New Roman"/>
          <w:b w:val="0"/>
          <w:i w:val="0"/>
          <w:color w:val="111111"/>
          <w:sz w:val="23"/>
          <w:szCs w:val="23"/>
        </w:rPr>
        <w:t>Conflating the two inflates the apparent size of the work outstanding: a substantial part of what looks like a data gap is in fact a procedural one, closable by a single retraining run.</w:t>
      </w:r>
    </w:p>
    <w:p>
      <w:pPr>
        <w:keepNext w:val="0"/>
        <w:spacing w:after="120" w:before="0" w:line="348" w:lineRule="auto"/>
        <w:jc w:val="both"/>
      </w:pPr>
      <w:r>
        <w:rPr>
          <w:rFonts w:ascii="Times New Roman" w:hAnsi="Times New Roman" w:cs="Times New Roman"/>
          <w:b w:val="0"/>
          <w:i w:val="0"/>
          <w:color w:val="111111"/>
          <w:sz w:val="23"/>
          <w:szCs w:val="23"/>
        </w:rPr>
        <w:t>3.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 the most important missing measurement in the study.</w:t>
      </w:r>
    </w:p>
    <w:p>
      <w:pPr>
        <w:keepNext w:val="0"/>
        <w:spacing w:after="160" w:before="0" w:line="348" w:lineRule="auto"/>
        <w:jc w:val="both"/>
      </w:pPr>
      <w:r>
        <w:rPr>
          <w:rFonts w:ascii="Times New Roman" w:hAnsi="Times New Roman" w:cs="Times New Roman"/>
          <w:b w:val="0"/>
          <w:i w:val="0"/>
          <w:color w:val="111111"/>
          <w:sz w:val="23"/>
          <w:szCs w:val="23"/>
        </w:rPr>
        <w:t>“End to end” means treating the whole system as a single black box: it is given a shelf photograph it has never seen, and its final output — the complete compound label for every product — is compared against a human labelling of that same photograph. What Section 5 measured is the performance of each layer in isolation, which is a different thing.</w:t>
      </w:r>
    </w:p>
    <w:p>
      <w:pPr>
        <w:keepNext w:val="0"/>
        <w:spacing w:after="160" w:before="0" w:line="348" w:lineRule="auto"/>
        <w:jc w:val="both"/>
      </w:pPr>
      <w:r>
        <w:rPr>
          <w:rFonts w:ascii="Times New Roman" w:hAnsi="Times New Roman" w:cs="Times New Roman"/>
          <w:b w:val="0"/>
          <w:i w:val="0"/>
          <w:color w:val="111111"/>
          <w:sz w:val="23"/>
          <w:szCs w:val="23"/>
        </w:rPr>
        <w:t>The difference matters for two reasons. First, the accuracy of a chain is a product rather than an average: for a bottle to reach its correct label the detector must find it, then the brand layer must be right, then the variant classifier must be right — and three steps at 90% each yield roughly 73%, not 90%. Second, and more subtly, each layer was measured on clean, manually labelled input, whereas in production it receives the previous layer's output: a crop that may be shifted, clipped at the edge, or partly occluded. The brand layer's 100% answers the question “how often is it right on ideal crops?”, not “how often is it right on our detector's crops?”.</w:t>
      </w:r>
    </w:p>
    <w:p>
      <w:pPr>
        <w:keepNext w:val="0"/>
        <w:spacing w:after="160" w:before="0" w:line="348" w:lineRule="auto"/>
        <w:jc w:val="both"/>
      </w:pPr>
      <w:r>
        <w:rPr>
          <w:rFonts w:ascii="Times New Roman" w:hAnsi="Times New Roman" w:cs="Times New Roman"/>
          <w:b w:val="0"/>
          <w:i w:val="0"/>
          <w:color w:val="111111"/>
          <w:sz w:val="23"/>
          <w:szCs w:val="23"/>
        </w:rPr>
        <w:t>The distinction is practical rather than theoretical: the only figure that may honestly be given to a client is the end-to-end one, and it will necessarily be lower than every figure in Section 5. The cost of closing this gap is not computational but human — fully labelling thirty to fifty shelf photographs by hand, with no training and no credits required.</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and cheapest for the return: regenerating the six classifier versions with a balanced split (70/20/10) and retraining them, closing Limitation 1. The brand classifier alone would move from 47 test instances to roughly 340, and sprite would gain dozens of instances instead of one — turning the figures in Section 5.3 from suggestive into statistically meaningful. The computational cost is about four minutes per classifier, under half an hour for the whole set; the only obstacle is the availability of training credits.</w:t>
      </w:r>
    </w:p>
    <w:p>
      <w:pPr>
        <w:keepNext w:val="0"/>
        <w:spacing w:after="160" w:before="0" w:line="348" w:lineRule="auto"/>
        <w:jc w:val="both"/>
      </w:pPr>
      <w:r>
        <w:rPr>
          <w:rFonts w:ascii="Times New Roman" w:hAnsi="Times New Roman" w:cs="Times New Roman"/>
          <w:b w:val="0"/>
          <w:i w:val="0"/>
          <w:color w:val="111111"/>
          <w:sz w:val="23"/>
          <w:szCs w:val="23"/>
        </w:rPr>
        <w:t>Next, an end-to-end evaluation on a manually labelled test set, to measure error accumulation across the chain (Limitation 5) — scientifically the highest-priority item, and one that needs no credits at all. Then re-evaluating both detectors under a unified preprocessing pipeline, to close Limitation 3. Then harvesting the first batch of active-learning data, reviewing it, and retraining on it — the first practical test of whether the loop described in Section 6 closes.</w:t>
      </w:r>
    </w:p>
    <w:p>
      <w:pPr>
        <w:keepNext w:val="0"/>
        <w:spacing w:after="160" w:before="0" w:line="348" w:lineRule="auto"/>
        <w:jc w:val="both"/>
      </w:pPr>
      <w:r>
        <w:rPr>
          <w:rFonts w:ascii="Times New Roman" w:hAnsi="Times New Roman" w:cs="Times New Roman"/>
          <w:b w:val="0"/>
          <w:i w:val="0"/>
          <w:color w:val="111111"/>
          <w:sz w:val="23"/>
          <w:szCs w:val="23"/>
        </w:rPr>
        <w:t>Throughout the above, a stratified split guaranteeing each class a minimum test share is preferable to the random splitting that produced the situation described in Limitation 1 — because randomness applied to an unbalanced set leaves small classes unrepresented by probability alone.</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This is a cheap step that may eliminate most of the hard cases before anything is built.</w:t>
      </w:r>
    </w:p>
    <w:p>
      <w:pPr>
        <w:keepNext w:val="0"/>
        <w:spacing w:after="160" w:before="0" w:line="348" w:lineRule="auto"/>
        <w:jc w:val="both"/>
      </w:pPr>
      <w:r>
        <w:rPr>
          <w:rFonts w:ascii="Times New Roman" w:hAnsi="Times New Roman" w:cs="Times New Roman"/>
          <w:b w:val="0"/>
          <w:i w:val="0"/>
          <w:color w:val="111111"/>
          <w:sz w:val="23"/>
          <w:szCs w:val="23"/>
        </w:rPr>
        <w:t>For the ambiguous cases that remain, the candidate approach is geometric comparison against a reference object of known size in the same image, falling back to a visual size classifier if the former proves inadequate. Both require a validation set before they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12.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w:t>
      </w:r>
    </w:p>
    <w:p>
      <w:pPr>
        <w:keepNext w:val="0"/>
        <w:spacing w:after="160" w:before="0" w:line="348" w:lineRule="auto"/>
        <w:jc w:val="both"/>
      </w:pPr>
      <w:r>
        <w:rPr>
          <w:rFonts w:ascii="Times New Roman" w:hAnsi="Times New Roman" w:cs="Times New Roman"/>
          <w:b w:val="0"/>
          <w:i w:val="0"/>
          <w:color w:val="111111"/>
          <w:sz w:val="23"/>
          <w:szCs w:val="23"/>
        </w:rPr>
        <w:t>Third, the marginal cost of catalogue expansion — roughly four minutes of GPU time, measured four times — is the practical translation of the architectural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Fourth, data quality bounds the ceiling of any architecture. This is now measured rather than inferred: every individual weakness traces to specific, countable data scarcity, and none traces to a flaw in the design. The most important item in the next phase is therefore not an engineering one at all, but a photography round.</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