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التدقيق الآلي للرفوف التجارية: تحديث التقدّم التقني</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تقدّم بحث وتطوير</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التقرير:  </w:t>
      </w:r>
      <w:r>
        <w:rPr>
          <w:rFonts w:ascii="Times New Roman" w:hAnsi="Times New Roman" w:cs="Noto Naskh Arabic"/>
          <w:b w:val="0"/>
          <w:i w:val="0"/>
          <w:color w:val="111111"/>
          <w:sz w:val="23"/>
          <w:szCs w:val="23"/>
          <w:rtl/>
          <w:cs/>
        </w:rPr>
        <w:t>٢٧ تموز ٢٠٢٦ – ١٧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١٧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 التنفيذي</w:t>
      </w:r>
    </w:p>
    <w:p>
      <w:pPr>
        <w:keepNext w:val="0"/>
        <w:bidi/>
        <w:spacing w:after="160" w:before="0" w:line="348" w:lineRule="auto"/>
        <w:jc w:val="both"/>
      </w:pPr>
      <w:r>
        <w:rPr>
          <w:rFonts w:ascii="Times New Roman" w:hAnsi="Times New Roman" w:cs="Noto Naskh Arabic"/>
          <w:b w:val="0"/>
          <w:i w:val="0"/>
          <w:color w:val="111111"/>
          <w:sz w:val="22"/>
          <w:szCs w:val="22"/>
          <w:rtl/>
          <w:cs/>
        </w:rPr>
        <w:t>يُحدِّث هذا التقرير مسار عمل Aystro التدريبي الميداني حول التدقيق الآلي للرفوف: ما الذي أُنجِز، وما الذي قِيس فعلياً، وما الذي ما يزال مفتوحاً. فمنذ المراجعة السابقة، انتقلت معمارية «الكشف ثم التصنيف» المرحلية من مثال واحد يعمل (Fanta) إلى نمط مُكرَّر ومُثبَت: فقد دُرِّب مُصنِّف ثانٍ لمتغيّرات علامة تجارية (XL Energy) وإشارة جديدة لمادة التعبئة، وكلاهما دُمِج في خط المعالجة الحي بالطريقة ذاتها، كما جرى تحديد السبب الجذري لعلة دقة إنتاجية حقيقية أبلغ عنها مستخدم ميداني مباشرةً وإصلاحها.</w:t>
      </w:r>
    </w:p>
    <w:p>
      <w:pPr>
        <w:keepNext w:val="0"/>
        <w:bidi/>
        <w:spacing w:after="160" w:before="0" w:line="348" w:lineRule="auto"/>
        <w:jc w:val="both"/>
      </w:pPr>
      <w:r>
        <w:rPr>
          <w:rFonts w:ascii="Times New Roman" w:hAnsi="Times New Roman" w:cs="Noto Naskh Arabic"/>
          <w:b w:val="0"/>
          <w:i w:val="0"/>
          <w:color w:val="111111"/>
          <w:sz w:val="22"/>
          <w:szCs w:val="22"/>
          <w:rtl/>
          <w:cs/>
        </w:rPr>
        <w:t>أما الادّعاء المعماري المحوري — أن فصل «أين يقع المنتج» عن «ما هو هذا المنتج» يُبقي كلفة نمو الكتالوج منخفضة — فبات مدعوماً الآن بأدلة على التعقيد الحسابي، لا بأرقام الكلفة وحدها. فحصر تشغيل مُصنِّفات المتغيّرات خلف خطوة توجيه خفّض عدد استدعاءات المُصنِّف لكل صورة من نمو مرتبط بعدد المنتجات وعدد مُصنِّفات المتغيّرات معاً (O(N×K))‎ إلى نمو مرتبط بعدد المنتجات فقط (O(N))‎، بصرف النظر عن عدد العلامات التي لها مُصنِّف نكهة خاص بها. وقد قِيس هذا على الصورة الاختبارية ذاتها وتحت الظروف ذاتها، فخفّض زمن التصنيف الفعلي بنسبة ٦٥٪ (من ٤٠٫٣ ثانية إلى ١٤٫٢ ثانية)، ويصمد الآن مع مُصنِّفَي متغيّرات مستقلَّين لا مُصنِّف واحد. وعلى نحو منفصل، لم تكلّف إضافة كل مُصنِّف متغيّر جديد أكثر من ساعات من التعليم ونموذج صغير واحد، من دون إعادة تدريب الكاشف أو مُصنِّف العلامة — وقد تكرر ذلك مرتين، وهو الأساس الذي يجعل من وصف كلفة نمو الكتالوج الحدّية بأنها صغيرة وشبه ثابتة استنتاجاً مبنياً على تكرار لا على مثال منفرد.</w:t>
      </w:r>
    </w:p>
    <w:p>
      <w:pPr>
        <w:keepNext w:val="0"/>
        <w:bidi/>
        <w:spacing w:after="160" w:before="0" w:line="348" w:lineRule="auto"/>
        <w:jc w:val="both"/>
      </w:pPr>
      <w:r>
        <w:rPr>
          <w:rFonts w:ascii="Times New Roman" w:hAnsi="Times New Roman" w:cs="Noto Naskh Arabic"/>
          <w:b w:val="0"/>
          <w:i w:val="0"/>
          <w:color w:val="111111"/>
          <w:sz w:val="22"/>
          <w:szCs w:val="22"/>
          <w:rtl/>
          <w:cs/>
        </w:rPr>
        <w:t>والتقرير صريح بالقدر ذاته فيما يخص ما ما يزال مفتوحاً. فلا يوجد حتى الآن أي مُصنِّف في المجموعة الحالية يحمل رقم دقة مُسجَّلاً رسمياً — والسبب الجذري بات مفهوماً بدقة الآن (القسم الثالث) والحلّ معروف لا مجهولاً. كما أن متغيّرات نكهة الكوكاكولا ما تزال معلَّقة بفعل فجوة بيانات حقيقية، أكّدها تدقيقٌ مستقلٌّ ثانٍ خلال هذه الفترة، لا قصوراً في النمذجة. وأخيراً، جرى تتبّع مشكلة جودة حقيقية أبلغ عنها مستخدم — عدم اكتشاف علب سبرايت أحياناً أو تصنيفها بثقة منخفضة جداً — إلى اختلال بنسبة ٩ إلى ١ بين أمثلة الزجاجات والعلب في بيانات تدريب تلك العلامة، وعولجت بتنقيب بيانات تاريخية حقيقية غير مستخدَمة سابقاً بدلاً من تكليف تصوير جديد — وهذا هو النوع من الإصلاح الذي يعدّه هذا التقرير النتيجةَ الأجدر بالذكر: ليس أن خللاً وُجِد، بل أن خط معالجة البيانات المبنيّ خلال هذه الفترة جعله قابلاً للتشخيص والإصلاح ضمن جلسة عمل واحدة.</w:t>
      </w:r>
    </w:p>
    <w:p>
      <w:r>
        <w:br w:type="page"/>
      </w:r>
    </w:p>
    <w:p>
      <w:pPr>
        <w:keepNext/>
        <w:bidi/>
        <w:spacing w:before="360" w:after="140"/>
        <w:jc w:val="right"/>
      </w:pPr>
      <w:r>
        <w:rPr>
          <w:rFonts w:ascii="Times New Roman" w:hAnsi="Times New Roman" w:cs="Noto Naskh Arabic"/>
          <w:b/>
          <w:bCs w:val="1"/>
          <w:i w:val="0"/>
          <w:color w:val="1A3A5C"/>
          <w:sz w:val="28"/>
          <w:szCs w:val="28"/>
          <w:rtl/>
          <w:cs/>
        </w:rPr>
        <w:t>١. المشكلة التجارية</w:t>
      </w:r>
    </w:p>
    <w:p>
      <w:pPr>
        <w:keepNext w:val="0"/>
        <w:bidi/>
        <w:spacing w:after="160" w:before="0" w:line="348" w:lineRule="auto"/>
        <w:jc w:val="both"/>
      </w:pPr>
      <w:r>
        <w:rPr>
          <w:rFonts w:ascii="Times New Roman" w:hAnsi="Times New Roman" w:cs="Noto Naskh Arabic"/>
          <w:b w:val="0"/>
          <w:i w:val="0"/>
          <w:color w:val="111111"/>
          <w:sz w:val="23"/>
          <w:szCs w:val="23"/>
          <w:rtl/>
          <w:cs/>
        </w:rPr>
        <w:t>إن حضور علامة تجارية على الرف — عدد الوحدات المخزَّنة، وكيفية ترتيبها، وحصة كل منافس من مساحة الرف — معلومة تجارية يدفع المصنِّعون وتجار التجزئة ثمن معرفتها، وتُجمَع اليوم عبر شخص يجول الممرات بلوحة تدوين أو هاتف. والتدقيق اليدوي بطيء، ومكلف عند التوسّع عبر متاجر كثيرة، ولا يتّسم بثبات يفوق ثبات الشخص الذي يؤديه. والفرصة التجارية هي تحويل صورة عادية للرف إلى بيانات مخزون مُهيكلة وموثوقة آلياً، وبالحجم والسرعة اللذين يتعذّر على التدقيق اليدوي بلوغهما.</w:t>
      </w:r>
    </w:p>
    <w:p>
      <w:pPr>
        <w:keepNext w:val="0"/>
        <w:bidi/>
        <w:spacing w:after="160" w:before="0" w:line="348" w:lineRule="auto"/>
        <w:jc w:val="both"/>
      </w:pPr>
      <w:r>
        <w:rPr>
          <w:rFonts w:ascii="Times New Roman" w:hAnsi="Times New Roman" w:cs="Noto Naskh Arabic"/>
          <w:b w:val="0"/>
          <w:i w:val="0"/>
          <w:color w:val="111111"/>
          <w:sz w:val="23"/>
          <w:szCs w:val="23"/>
          <w:rtl/>
          <w:cs/>
        </w:rPr>
        <w:t>أما التحدي التقني فهو أن هذه ليست مشكلة واحدة بل مشكلتان، تُطرحان على كل كائن في الصورة في آنٍ معاً: أين يقع (التوطين)، وما هو (الهوية). والنظام الذي يجيب عن السؤالين بنموذج واحد أحادي الكتلة يرث عبئاً خطيراً — إذ يستوجب إعادة تدريبه على الكتالوج بأكمله كلما تغيّر منتج واحد — وهو ما يحدد قدرة النظام على مجاراة كتالوج تجزئة لا يتوقف عن التغيّر. ويصف القسم الثاني المعمارية المبنيّة لتفادي هذا العبء؛ ويقيس القسم الثالث ما إذا كانت تحقق الفائدة المقصودة فعلياً.</w:t>
      </w:r>
    </w:p>
    <w:p>
      <w:pPr>
        <w:keepNext/>
        <w:bidi/>
        <w:spacing w:before="360" w:after="140"/>
        <w:jc w:val="right"/>
      </w:pPr>
      <w:r>
        <w:rPr>
          <w:rFonts w:ascii="Times New Roman" w:hAnsi="Times New Roman" w:cs="Noto Naskh Arabic"/>
          <w:b/>
          <w:bCs w:val="1"/>
          <w:i w:val="0"/>
          <w:color w:val="1A3A5C"/>
          <w:sz w:val="28"/>
          <w:szCs w:val="28"/>
          <w:rtl/>
          <w:cs/>
        </w:rPr>
        <w:t>٢. ما الذي بُني: المعمارية</w:t>
      </w:r>
    </w:p>
    <w:p>
      <w:pPr>
        <w:keepNext w:val="0"/>
        <w:bidi/>
        <w:spacing w:after="160" w:before="0" w:line="348" w:lineRule="auto"/>
        <w:jc w:val="both"/>
      </w:pPr>
      <w:r>
        <w:rPr>
          <w:rFonts w:ascii="Times New Roman" w:hAnsi="Times New Roman" w:cs="Noto Naskh Arabic"/>
          <w:b w:val="0"/>
          <w:i w:val="0"/>
          <w:color w:val="111111"/>
          <w:sz w:val="23"/>
          <w:szCs w:val="23"/>
          <w:rtl/>
          <w:cs/>
        </w:rPr>
        <w:t>إن أي نموذج واحد يصنّف كل منتج مباشرةً بحسب هويته يستوجب إعادة تدريب كامل كلما دخلت وحدة مخزون جديدة إلى الكتالوج — وهو مكلف من حيث جهد التعليم والحوسبة، ومُعرَّض لتدهور أداء منتجات كانت تعمل بصورة صحيحة سابقاً. كما يعاني إحصائياً: فمجموعة تدريب ثابتة مقسَّمة على أصناف علامات كثيرة تُجوِّع الأصناف الأندر، وهو بالضبط نمط ضعف الاستدعاء الذي لوحظ في بيانات هذا المشروع المبكرة (القسم ٣.١).</w:t>
      </w:r>
    </w:p>
    <w:p>
      <w:pPr>
        <w:keepNext w:val="0"/>
        <w:bidi/>
        <w:spacing w:after="160" w:before="0" w:line="348" w:lineRule="auto"/>
        <w:jc w:val="both"/>
      </w:pPr>
      <w:r>
        <w:rPr>
          <w:rFonts w:ascii="Times New Roman" w:hAnsi="Times New Roman" w:cs="Noto Naskh Arabic"/>
          <w:b w:val="0"/>
          <w:i w:val="0"/>
          <w:color w:val="111111"/>
          <w:sz w:val="23"/>
          <w:szCs w:val="23"/>
          <w:rtl/>
          <w:cs/>
        </w:rPr>
        <w:t>والنظام المبنيّ خلال هذه الفترة يفصل الجزء المتقلّب من المشكلة (هوية المنتج، الذي يتغيّر باستمرار) عن الجزء المستقر (وجود الكائن، الذي لا يتغيّر)، ويُضيّق فضاء القرار مرحلةً بعد مرحلة:</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كاشف محايد صنفياً يحدد موضع كل منتج على الرف تحت صنف عام واحد هو «product»، بصرف النظر عن العلامة التجارية. ولا يستوجب أبداً إعادة تدريب عند ظهور وحدة مخزون جديدة، لأنه لا يحمل أي معرفة بالهوية أصلاً.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تصنيف العلامة التجارية. تُقتطع كل منطقة مكتشَفة وتُصنَّف بحسب الشركة المصنِّعة. وهذه الطبقة صغيرة ومستقرة، لأن مجموعة العلامات في سوق ما تتغير أبطأ بكثير من مجموعة المنتجات.</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تصنيف المتغيّر، بشرط التوجيه. حين تُحدِّد المرحلة الثانية علامةً لها مُصنِّف متغيّرات خاص بها، تستدعي خطوة توجيه ذلك المُصنِّف وحده — لا كل مُصنِّفات المتغيّرات على كل قصاصة. وعلامتان موصولتان بهذا النمط اليوم: Fanta (النكهة) وXL Energy (النكهة/الصيغة). ثم تختار خطوة دمج تسمية المتغيّر حين تُنتَج، وتُمرِّر العلامة المجردة من دون تغيير خلاف ذلك.</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مستقل عن العلامة (علبة / بلاستيك / زجاج) يعمل على كل قصاصة بصرف النظر عن العلامة، لأن مادة التعبئة لا تتوقف على العلامة. دُرِّب ونُشِر خلال هذه الفترة؛ ولم يُدمَج بعد في التسمية النهائية المُبلَّغ عنها، بل يُعرَض كحقل مستقل فقط (القسم ٣.٤).</w:t>
      </w:r>
    </w:p>
    <w:p>
      <w:pPr>
        <w:keepNext w:val="0"/>
        <w:bidi/>
        <w:spacing w:after="160" w:before="0" w:line="348" w:lineRule="auto"/>
        <w:jc w:val="both"/>
      </w:pPr>
      <w:r>
        <w:rPr>
          <w:rFonts w:ascii="Times New Roman" w:hAnsi="Times New Roman" w:cs="Noto Naskh Arabic"/>
          <w:b w:val="0"/>
          <w:i w:val="0"/>
          <w:color w:val="111111"/>
          <w:sz w:val="23"/>
          <w:szCs w:val="23"/>
          <w:rtl/>
          <w:cs/>
        </w:rPr>
        <w:t>وهذا مُنفَّذ عبر سير عمل Roboflow هرمي حي، لا اقتراح نظري. والتوجيه في المرحلة الثالثة هو التغيير المعماري المقيس في القسم ٣.٥: فهو ما يمنع عدد استدعاءات المُصنِّف من النمو مع عدد مُصنِّفات المتغيّرات المنشورة، وهو أمر تتزايد أهميته مع انضمام مزيد من العلامات إلى مُصنِّف نكهة خاص بها.</w:t>
      </w:r>
    </w:p>
    <w:p>
      <w:pPr>
        <w:keepNext/>
        <w:bidi/>
        <w:spacing w:before="360" w:after="140"/>
        <w:jc w:val="right"/>
      </w:pPr>
      <w:r>
        <w:rPr>
          <w:rFonts w:ascii="Times New Roman" w:hAnsi="Times New Roman" w:cs="Noto Naskh Arabic"/>
          <w:b/>
          <w:bCs w:val="1"/>
          <w:i w:val="0"/>
          <w:color w:val="1A3A5C"/>
          <w:sz w:val="28"/>
          <w:szCs w:val="28"/>
          <w:rtl/>
          <w:cs/>
        </w:rPr>
        <w:t>٣. الأدلة: هل يعمل؟</w:t>
      </w:r>
    </w:p>
    <w:p>
      <w:pPr>
        <w:keepNext/>
        <w:bidi/>
        <w:spacing w:before="240" w:after="140"/>
        <w:jc w:val="right"/>
      </w:pPr>
      <w:r>
        <w:rPr>
          <w:rFonts w:ascii="Times New Roman" w:hAnsi="Times New Roman" w:cs="Noto Naskh Arabic"/>
          <w:b/>
          <w:bCs w:val="1"/>
          <w:i w:val="0"/>
          <w:color w:val="1A3A5C"/>
          <w:sz w:val="24"/>
          <w:szCs w:val="24"/>
          <w:rtl/>
          <w:cs/>
        </w:rPr>
        <w:t>٣.١ دقة الكاشف: تغيير معماري، مقيس</w:t>
      </w:r>
    </w:p>
    <w:p>
      <w:pPr>
        <w:keepNext w:val="0"/>
        <w:bidi/>
        <w:spacing w:after="160" w:before="0" w:line="348" w:lineRule="auto"/>
        <w:jc w:val="both"/>
      </w:pPr>
      <w:r>
        <w:rPr>
          <w:rFonts w:ascii="Times New Roman" w:hAnsi="Times New Roman" w:cs="Noto Naskh Arabic"/>
          <w:b w:val="0"/>
          <w:i w:val="0"/>
          <w:color w:val="111111"/>
          <w:sz w:val="23"/>
          <w:szCs w:val="23"/>
          <w:rtl/>
          <w:cs/>
        </w:rPr>
        <w:t>قُورِن الكاشف الأصلي المُصنَّف بالعلامة التجارية بالكاشف الحالي المحايد صنفياً عند أنضج نسخة من كلٍّ منهما وأكثرها تكافؤاً — إذ دُرِّب كلاهما على المعمارية النموذجية ذاتها (RF-DETR-large) — بدلاً من مقارنة نسخة مبكرة غير مكتملة التدريب من أيٍّ منهما.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دقة الكاشف: المعمارية الأصلية المُصنَّفة بالعلامة التجارية مقابل المعمارية الحالية المحايدة صنفياً، وكلتاهما على نموذج RF-DETR-large.</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الأصلي (مُصنَّف بالعلامة، ٦ أصناف)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الحالي (محايد صنفياً)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التدريب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 الدقة ٥٠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٨٦٫٩٢٪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٨٩٫٣٪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الدقة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٨٥٫٨٪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٨١٫١٪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تبلغ المعمارية الحالية دقة أعلى ودقة إجمالية أعلى باستخدام نحو ثلث صور التدريب التي احتاجها النهج الأصلي — نتيجة حقيقية في كفاءة البيانات، لا مجرد حجة تصميمية. أما الاستدعاء فأدنى قليلاً، والتفسير الصادق فجوة ترحيل بيانات لا ضعف معماري: فالمشروع المحايد صنفياً يضم حالياً ٢٢٦ صورة خام فقط، بينما نما المشروع الأصلي المُصنَّف بالعلامة إلى ١٬١٩١ صورة مُعلَّمة عند أنضج نسخة منه. ونحو ٨٠٠ صورة مُعلَّمة سلفاً لم تُرحَّل بعد. وترحيلها زهيد الكلفة — إعادة تسمية برمجية إلى صنف واحد «product»، لا عمل تعليم جديد — ويظل أعلى إجراء قريب المدى قيمةً في هذا التقرير (القسم ٨).</w:t>
      </w:r>
    </w:p>
    <w:p>
      <w:pPr>
        <w:keepNext/>
        <w:bidi/>
        <w:spacing w:before="240" w:after="140"/>
        <w:jc w:val="right"/>
      </w:pPr>
      <w:r>
        <w:rPr>
          <w:rFonts w:ascii="Times New Roman" w:hAnsi="Times New Roman" w:cs="Noto Naskh Arabic"/>
          <w:b/>
          <w:bCs w:val="1"/>
          <w:i w:val="0"/>
          <w:color w:val="1A3A5C"/>
          <w:sz w:val="24"/>
          <w:szCs w:val="24"/>
          <w:rtl/>
          <w:cs/>
        </w:rPr>
        <w:t>٣.٢ دقة المُصنِّفات: سبب جذري محدَّد، وحل معروف</w:t>
      </w:r>
    </w:p>
    <w:p>
      <w:pPr>
        <w:keepNext w:val="0"/>
        <w:bidi/>
        <w:spacing w:after="160" w:before="0" w:line="348" w:lineRule="auto"/>
        <w:jc w:val="both"/>
      </w:pPr>
      <w:r>
        <w:rPr>
          <w:rFonts w:ascii="Times New Roman" w:hAnsi="Times New Roman" w:cs="Noto Naskh Arabic"/>
          <w:b w:val="0"/>
          <w:i w:val="0"/>
          <w:color w:val="111111"/>
          <w:sz w:val="23"/>
          <w:szCs w:val="23"/>
          <w:rtl/>
          <w:cs/>
        </w:rPr>
        <w:t>كل مُصنِّف في المجموعة الحالية — العلامة، ونكهة Fanta، ومتغيّر XL Energy، ومادة التعبئة — مُدرَّب ويخدم حركة حية، لكن لا أحد منها يحمل تقييم دقة مُسجَّلاً رسمياً. وقد جرى تحقيق هذا الأمر بجدية هذه الفترة بدلاً من تركه سؤالاً مفتوحاً: فخطوة التقييم الآلي للنموذج في منصة التدريب، وهي التي تُنتج مقاييس الدقة لأي مُصنِّف، ميزةٌ حصرية بخطة مدفوعة تعمل تلقائياً عند التدريب، ولا يوجد مُشغِّل يدوي لتشغيلها لاحقاً. وكل مُصنِّف دُرِّب حتى الآن سابق لهذه الميزة، فلم يُقيَّم أيٌّ منها عند تدريبه. وهذه فجوة في مستوى الخطة، لا خطوة هندسية ناقصة، وتصيب المُصنِّفات الأربعة على حدٍّ سواء لا واحداً منها بمعزل عن غيره. ولا يُدَّعى في هذا التقرير أي رقم دقة لمُصنِّف لم يُقَس فعلياً؛ وسد هذه الفجوة أول بند في القسم ٨.</w:t>
      </w:r>
    </w:p>
    <w:p>
      <w:pPr>
        <w:keepNext w:val="0"/>
        <w:bidi/>
        <w:spacing w:after="160" w:before="0" w:line="348" w:lineRule="auto"/>
        <w:jc w:val="both"/>
      </w:pPr>
      <w:r>
        <w:rPr>
          <w:rFonts w:ascii="Times New Roman" w:hAnsi="Times New Roman" w:cs="Noto Naskh Arabic"/>
          <w:b w:val="0"/>
          <w:i w:val="0"/>
          <w:color w:val="111111"/>
          <w:sz w:val="23"/>
          <w:szCs w:val="23"/>
          <w:rtl/>
          <w:cs/>
        </w:rPr>
        <w:t>أما مُصنِّف منفصل، لمتغيّرات نكهة الكوكاكولا، فقد بُني وأُعيد فحصه هذه الفترة تحديداً لأن السؤال طُرح من جديد: هل يوجد تنوّع حقيقي في المتغيّرات ضمن البيانات، أم أن النتيجة السابقة كانت متسرعة؟ وقد وجد تدقيقٌ بصري مستقل ثانٍ — بفرز جميع القصاصات المتاحة البالغة ٣٠١ للكوكاكولا بحسب اللون السائد، وهو أقوى إشارة متاحة لهذا التمييز (الكلاسيكية حمراء، وZero سوداء، والحمية/لايت فضية — النتيجة ذاتها السابقة: نحو ٩٥٪ كلاسيكية، وصفر أمثلة مؤكدة لـZero، أما العنقود الفضي المحتمل الوحيد فتبيَّن عند الفحص المباشر أنه انعكاس ضوئي على زجاجات حمراء عادية، لا علباً حقيقية. والنتيجة لم تتغيّر، لكنها الآن مُتحقَّق منها مستقلاً لا مبنية على تمريرة سابقة واحدة: هذه فجوة تصوير، لا فجوة تعليم أو نمذجة.</w:t>
      </w:r>
    </w:p>
    <w:p>
      <w:pPr>
        <w:keepNext/>
        <w:bidi/>
        <w:spacing w:before="240" w:after="140"/>
        <w:jc w:val="right"/>
      </w:pPr>
      <w:r>
        <w:rPr>
          <w:rFonts w:ascii="Times New Roman" w:hAnsi="Times New Roman" w:cs="Noto Naskh Arabic"/>
          <w:b/>
          <w:bCs w:val="1"/>
          <w:i w:val="0"/>
          <w:color w:val="1A3A5C"/>
          <w:sz w:val="24"/>
          <w:szCs w:val="24"/>
          <w:rtl/>
          <w:cs/>
        </w:rPr>
        <w:t>٣.٣ اكتشاف علب سبرايت: علة حقيقية أبلغ عنها مستخدم، جرى تشخيصها وإصلاحها</w:t>
      </w:r>
    </w:p>
    <w:p>
      <w:pPr>
        <w:keepNext w:val="0"/>
        <w:bidi/>
        <w:spacing w:after="160" w:before="0" w:line="348" w:lineRule="auto"/>
        <w:jc w:val="both"/>
      </w:pPr>
      <w:r>
        <w:rPr>
          <w:rFonts w:ascii="Times New Roman" w:hAnsi="Times New Roman" w:cs="Noto Naskh Arabic"/>
          <w:b w:val="0"/>
          <w:i w:val="0"/>
          <w:color w:val="111111"/>
          <w:sz w:val="23"/>
          <w:szCs w:val="23"/>
          <w:rtl/>
          <w:cs/>
        </w:rPr>
        <w:t>أبلغ مستخدم ميداني، مصحوباً بلقطات شاشة حقيقية من الإنتاج، أن علب سبرايت تحديداً كانت أحياناً لا تُكتشَف إطلاقاً وأحياناً تُصنَّف بثقة تصل إلى ٢٠٪، وأن ذلك مستمر منذ عدة أيام على الأقل لا أنه أمر جديد. وهذا النوع من الإخفاق لا يظهر إلا في مواجهة بيانات ميدانية حقيقية غير مضبوطة — ولم تُعطِ مقاييس زمن التدريب للمُصنِّف أي مؤشر عليه.</w:t>
      </w:r>
    </w:p>
    <w:p>
      <w:pPr>
        <w:keepNext w:val="0"/>
        <w:bidi/>
        <w:spacing w:after="160" w:before="0" w:line="348" w:lineRule="auto"/>
        <w:jc w:val="both"/>
      </w:pPr>
      <w:r>
        <w:rPr>
          <w:rFonts w:ascii="Times New Roman" w:hAnsi="Times New Roman" w:cs="Noto Naskh Arabic"/>
          <w:b w:val="0"/>
          <w:i w:val="0"/>
          <w:color w:val="111111"/>
          <w:sz w:val="23"/>
          <w:szCs w:val="23"/>
          <w:rtl/>
          <w:cs/>
        </w:rPr>
        <w:t>وحُدِّد السبب بالطريقة البصرية ذاتها المستخدمة في مواضع أخرى من هذه الفترة: فرز عيّنة من صور تدريب سبرايت لدى مُصنِّف العلامة بحسب نسبة الأبعاد. فتبيّن أن نحو ١٠٪ فقط علب حقيقية، والباقي زجاجات. وكان مفهوم المُصنِّف الداخلي لـ«سبرايت» عملياً بشكل زجاجة، وهو ما يفسّر كلا العرَضين اللذين أبلغ عنهما المستخدم. وبدلاً من تكليف تصوير جديد للعلب، نقّب الإصلاح عن ٧٧ قصاصة علبة سبرايت حقيقية من مجموعة بيانات أقدم وأغنى تعود إلى الكاشف الأصلي المُصنَّف بالعلامة — لم تُرحَّل قط إلى مشروع المُصنِّف — بمطابقتها وإعادة تحجيمها واقتطاعها من جديد بالإحداثيات الصحيحة قبل إضافتها إلى مجموعة التدريب. وقد ضاعف ذلك تمثيل العلب في الصنف بمقدار الثلاث تقريباً (من نحو ١٠٪ إلى نحو ٢٣٪ من صور سبرايت) من دون صورة جديدة واحدة. والمُصنِّف المُعاد تدريبه حيٌّ الآن، وأُعيد التحقق منه في مواجهة صورة اختبار حقيقية قبل اعتباره مكتملاً.</w:t>
      </w:r>
    </w:p>
    <w:p>
      <w:pPr>
        <w:keepNext w:val="0"/>
        <w:bidi/>
        <w:spacing w:after="160" w:before="0" w:line="348" w:lineRule="auto"/>
        <w:jc w:val="both"/>
      </w:pPr>
      <w:r>
        <w:rPr>
          <w:rFonts w:ascii="Times New Roman" w:hAnsi="Times New Roman" w:cs="Noto Naskh Arabic"/>
          <w:b w:val="0"/>
          <w:i w:val="0"/>
          <w:color w:val="111111"/>
          <w:sz w:val="23"/>
          <w:szCs w:val="23"/>
          <w:rtl/>
          <w:cs/>
        </w:rPr>
        <w:t>وقد أُدرِج هذا بوصفه أوضح دليل في هذا التقرير على أن إصلاح مشكلة إنتاجية حقيقية لا يعني دوماً جمع بيانات جديدة: فقد يعني إيجاد بيانات موجودة أصلاً لكنها لم تُوصَل قط بالمكان الذي احتاجتها فيه.</w:t>
      </w:r>
    </w:p>
    <w:p>
      <w:pPr>
        <w:keepNext/>
        <w:bidi/>
        <w:spacing w:before="240" w:after="140"/>
        <w:jc w:val="right"/>
      </w:pPr>
      <w:r>
        <w:rPr>
          <w:rFonts w:ascii="Times New Roman" w:hAnsi="Times New Roman" w:cs="Noto Naskh Arabic"/>
          <w:b/>
          <w:bCs w:val="1"/>
          <w:i w:val="0"/>
          <w:color w:val="1A3A5C"/>
          <w:sz w:val="24"/>
          <w:szCs w:val="24"/>
          <w:rtl/>
          <w:cs/>
        </w:rPr>
        <w:t>٣.٤ مُصنِّف مادة التعبئة: مُدرَّب وحيّ</w:t>
      </w:r>
    </w:p>
    <w:p>
      <w:pPr>
        <w:keepNext w:val="0"/>
        <w:bidi/>
        <w:spacing w:after="160" w:before="0" w:line="348" w:lineRule="auto"/>
        <w:jc w:val="both"/>
      </w:pPr>
      <w:r>
        <w:rPr>
          <w:rFonts w:ascii="Times New Roman" w:hAnsi="Times New Roman" w:cs="Noto Naskh Arabic"/>
          <w:b w:val="0"/>
          <w:i w:val="0"/>
          <w:color w:val="111111"/>
          <w:sz w:val="23"/>
          <w:szCs w:val="23"/>
          <w:rtl/>
          <w:cs/>
        </w:rPr>
        <w:t>إشارة مادة التعبئة (علبة، بلاستيك، أو زجاج)، التي وُصِفت في المراجعة السابقة بأنها تجربة قيد العمل، باتت الآن مُدرَّبة ومُدمَجة في خط المعالجة الحي كفرع مستقل عن العلامة وغير مشروط، لأن مادة التعبئة لا تتوقف على العلامة. ووجد تدقيق بصري كامل لقصاصات مُصنِّف العلامة المتاحة عيّنتين حقيقيتين فقط من الزجاج في كامل المدوَّنة — أقل بكثير مما يلزم لتدريب صنف زجاج موثوق — فحُصِر المُصنِّف في مسألة ثنائية بلاستيك مقابل علبة، بتوزيع متوازن قابل للعمل (٨٤٤ بلاستيك، ٧٣٧ علبة في مجموعة التدريب النهائية؛ وحُفِظت ٢٢ صورة زجاجية موسومة سلفاً بمعزل عن الصنفين بدلاً من إقحامها في أيٍّ منهما). وعند التحقق منه حياً في مواجهة صورة رف حقيقية، طابقت تنبؤات مادة التعبئة مزيج المنتجات الفعلي على الرف بصورة معقولة. والإشارة مُتاحة كحقل مستقل في مُخرَجات خط المعالجة؛ ولم تُدمَج بعد في تسمية واحدة نهائية مُبلَّغ عنها، وهو خطوة الدمج القادمة (القسم ٨).</w:t>
      </w:r>
    </w:p>
    <w:p>
      <w:pPr>
        <w:keepNext/>
        <w:bidi/>
        <w:spacing w:before="240" w:after="140"/>
        <w:jc w:val="right"/>
      </w:pPr>
      <w:r>
        <w:rPr>
          <w:rFonts w:ascii="Times New Roman" w:hAnsi="Times New Roman" w:cs="Noto Naskh Arabic"/>
          <w:b/>
          <w:bCs w:val="1"/>
          <w:i w:val="0"/>
          <w:color w:val="1A3A5C"/>
          <w:sz w:val="24"/>
          <w:szCs w:val="24"/>
          <w:rtl/>
          <w:cs/>
        </w:rPr>
        <w:t>٣.٥ التعقيد الحسابي: ما الذي حققه تغيير التوجيه فعلياً</w:t>
      </w:r>
    </w:p>
    <w:p>
      <w:pPr>
        <w:keepNext w:val="0"/>
        <w:bidi/>
        <w:spacing w:after="160" w:before="0" w:line="348" w:lineRule="auto"/>
        <w:jc w:val="both"/>
      </w:pPr>
      <w:r>
        <w:rPr>
          <w:rFonts w:ascii="Times New Roman" w:hAnsi="Times New Roman" w:cs="Noto Naskh Arabic"/>
          <w:b w:val="0"/>
          <w:i w:val="0"/>
          <w:color w:val="111111"/>
          <w:sz w:val="23"/>
          <w:szCs w:val="23"/>
          <w:rtl/>
          <w:cs/>
        </w:rPr>
        <w:t>قبل هذه الفترة، كان كل مُصنِّف قد ينطبق على علامة تجارية يعمل على كل قصاصة من تلك العلامة، من دون شرط — فصورة تضم N منتجاً مكتشَفاً وK مُصنِّف متغيّرات خاصاً بعلامات كانت تُصدر حتى N×K استدعاء للمُصنِّف، تنمو في البُعدين معاً. وقد قِيس هذا مباشرة، لا افتراضاً: ففي صورة اختبار حقيقية تضم ٦٠ قصاصة، عمل مُصنِّف نكهة Fanta على القصاصات الستين جميعها رغم أن ١٢ فقط كانت فعلياً Fanta.</w:t>
      </w:r>
    </w:p>
    <w:p>
      <w:pPr>
        <w:keepNext w:val="0"/>
        <w:bidi/>
        <w:spacing w:after="160" w:before="0" w:line="348" w:lineRule="auto"/>
        <w:jc w:val="both"/>
      </w:pPr>
      <w:r>
        <w:rPr>
          <w:rFonts w:ascii="Times New Roman" w:hAnsi="Times New Roman" w:cs="Noto Naskh Arabic"/>
          <w:b w:val="0"/>
          <w:i w:val="0"/>
          <w:color w:val="111111"/>
          <w:sz w:val="23"/>
          <w:szCs w:val="23"/>
          <w:rtl/>
          <w:cs/>
        </w:rPr>
        <w:t>وحصر كل مُصنِّف متغيّرات خلف خطوة توجيه، بحيث لا يُنفَّذ إلا على القصاصات التي حدد مُصنِّف العلامة أصلاً أنها تخصه، يُحوّل عدد الاستدعاءات إلى النمو مع N وحدها — بصرف النظر عن K، عدد مُصنِّفات المتغيّرات المنشورة. وعلى الصورة الاختبارية ذاتها البالغة ٦٠ قصاصة وتحت الظروف ذاتها، قِيس خفضٌ بنسبة ٦٥٪ في زمن التصنيف الفعلي (من ٤٠٫٣ ثانية إلى ١٤٫٢ ثانية) بمُخرَجات مطابقة تماماً لخط الأساس غير المشروط. ولم تكن النتيجة عابرة: فقد طُبِّق نمط التوجيه ذاته مرة ثانية هذه الفترة لإضافة مُصنِّف XL Energy إلى جانب Fanta، وصمدت المكسبةُ مع مُصنِّفَي متغيّرات فعّالين لا مُصنِّف واحد. ويُتوقَّع الآن أن يكلّف كل مُصنِّف متغيّر إضافي يُضاف إلى خط المعالجة عبئاً ثابتاً تقريباً بدلاً من أن يُضيف إلى عبء كل مُصنِّف آخر.</w:t>
      </w:r>
    </w:p>
    <w:p>
      <w:pPr>
        <w:keepNext/>
        <w:bidi/>
        <w:spacing w:before="360" w:after="140"/>
        <w:jc w:val="right"/>
      </w:pPr>
      <w:r>
        <w:rPr>
          <w:rFonts w:ascii="Times New Roman" w:hAnsi="Times New Roman" w:cs="Noto Naskh Arabic"/>
          <w:b/>
          <w:bCs w:val="1"/>
          <w:i w:val="0"/>
          <w:color w:val="1A3A5C"/>
          <w:sz w:val="28"/>
          <w:szCs w:val="28"/>
          <w:rtl/>
          <w:cs/>
        </w:rPr>
        <w:t>٤. الاقتصاد: كلفة التوسّع</w:t>
      </w:r>
    </w:p>
    <w:p>
      <w:pPr>
        <w:keepNext w:val="0"/>
        <w:bidi/>
        <w:spacing w:after="160" w:before="0" w:line="348" w:lineRule="auto"/>
        <w:jc w:val="both"/>
      </w:pPr>
      <w:r>
        <w:rPr>
          <w:rFonts w:ascii="Times New Roman" w:hAnsi="Times New Roman" w:cs="Noto Naskh Arabic"/>
          <w:b w:val="0"/>
          <w:i w:val="0"/>
          <w:color w:val="111111"/>
          <w:sz w:val="23"/>
          <w:szCs w:val="23"/>
          <w:rtl/>
          <w:cs/>
        </w:rPr>
        <w:t>المخاطرة التجارية المحورية في أي منتج يعتمد على كتالوج هي أن يصبح النمو مكلفاً: فكل وحدة مخزون جديدة، وكل سوق جديد، وكل عميل جديد قد يستوجب من حيث المبدأ هندسة جديدة. وقد اختيرت هذه المعمارية خصيصاً لتفادي ذلك، ويستند الادّعاء إلى الكلف الفعلية المقيسة في هذه الفترة، والتي تغطي الآن خمسة نماذج مُدرَّبة لا ثلاثة.</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الكلفة الفعلية لتدريب كل نموذج في المجموعة الإنتاجية الحالية، وفق معدل Roboflow المُعلَن البالغ رصيداً واحداً لكل ثلاثين دقيقة تدريب على معالج رسوميات.</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أرصدة التدريب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الأصلي (النسخة الأولى)</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٠٫٣٧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الإنتاجي الحالي</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(النسخة الحالية)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٠٫٣٠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نكهة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٠٫٢٣</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بلغت كلفة تدريب المجموعة الإنتاجية الكاملة المؤلفة من خمسة نماذج نحو ٢٫٨ رصيد (أقل من ساعة ونصف من زمن معالج الرسوميات) إجمالاً، منذ البداية — وهي جزء ضئيل من مخصصات شهر واحد في أرخص خطة مدفوعة. والانتقال من نموذج واحد إلى خمسة لم يرفع كلفة التدريب بصورة معتبرة بينما رفع الدقة وتغطية المنتجات قياسياً. وتتغير الأسعار الفعلية بالدولار بمعزل عن هذا التقرير، وينبغي دوماً التحقق منها مباشرة من أسعار Roboflow المُعلَنة بدلاً من الاستشهاد بها هنا كرقم ثابت.</w:t>
      </w:r>
    </w:p>
    <w:p>
      <w:pPr>
        <w:keepNext w:val="0"/>
        <w:bidi/>
        <w:spacing w:after="160" w:before="0" w:line="348" w:lineRule="auto"/>
        <w:jc w:val="both"/>
      </w:pPr>
      <w:r>
        <w:rPr>
          <w:rFonts w:ascii="Times New Roman" w:hAnsi="Times New Roman" w:cs="Noto Naskh Arabic"/>
          <w:b w:val="0"/>
          <w:i w:val="0"/>
          <w:color w:val="111111"/>
          <w:sz w:val="23"/>
          <w:szCs w:val="23"/>
          <w:rtl/>
          <w:cs/>
        </w:rPr>
        <w:t>أما الرقم الأبلغ أثراً فهو الكلفة الحدّية لنمو الكتالوج، وقد حوّلت هذه الفترة نقطة بيانات منفردة إلى نمط مُتكرِّر: فقد كلّفت إضافة تمييز متغيّرات XL Energy الشكل ذاته من العمل الذي كلّفته Fanta سابقاً — تعليم بضع مئات من القصاصات المتاحة أصلاً وتدريب مُصنِّف صغير واحد، مُدمَج كخطوة موجَّهة، من دون أي تغيير في الكاشف أو مُصنِّف العلامة. وأُنجِز كلاهما خلال ساعات لا أسابيع، والعبء الثابت لكل إضافة بات الآن نتيجة تعقيد حسابي مذكورة في القسم ٣.٥، لا مجرد ملاحظة اقتصادية. وينطبق النمط ذاته على استقبال شركة جديدة بالكامل: فقاعدة البيانات الخلفية متعددة المستأجرين بحكم التصميم، فاستقبال عميل جديد عملية إدخال بيانات، لا تغيير برمجي.</w:t>
      </w:r>
    </w:p>
    <w:p>
      <w:pPr>
        <w:keepNext w:val="0"/>
        <w:bidi/>
        <w:spacing w:after="160" w:before="0" w:line="348" w:lineRule="auto"/>
        <w:jc w:val="both"/>
      </w:pPr>
      <w:r>
        <w:rPr>
          <w:rFonts w:ascii="Times New Roman" w:hAnsi="Times New Roman" w:cs="Noto Naskh Arabic"/>
          <w:b w:val="0"/>
          <w:i w:val="0"/>
          <w:color w:val="111111"/>
          <w:sz w:val="23"/>
          <w:szCs w:val="23"/>
          <w:rtl/>
          <w:cs/>
        </w:rPr>
        <w:t>وثمة كلفة حقيقية لم تُقَس بعد، وتُذكَر هنا بدلاً من إغفالها: فخط المعالجة يُصدر الآن استدعاء تصنيف علامة، واستدعاء تصنيف مادة تعبئة غير مشروط، لكل منتج مكتشَف في الصورة، إضافة إلى استدعاء تصنيف متغيّر حين تُفعَّل خطوة التوجيه. فرف مزدحم بعشرين منتجاً يُصدر استدعاءات تصنيف أكثر بصورة معتبرة من النهج الأصلي أحادي النموذج. وينبغي قياس ذلك مباشرة من استخدام خط المعالجة الحي قبل الاستشهاد به كرقم، ويبقى بنداً مفتوحاً (القسم ٦).</w:t>
      </w:r>
    </w:p>
    <w:p>
      <w:pPr>
        <w:keepNext/>
        <w:bidi/>
        <w:spacing w:before="360" w:after="140"/>
        <w:jc w:val="right"/>
      </w:pPr>
      <w:r>
        <w:rPr>
          <w:rFonts w:ascii="Times New Roman" w:hAnsi="Times New Roman" w:cs="Noto Naskh Arabic"/>
          <w:b/>
          <w:bCs w:val="1"/>
          <w:i w:val="0"/>
          <w:color w:val="1A3A5C"/>
          <w:sz w:val="28"/>
          <w:szCs w:val="28"/>
          <w:rtl/>
          <w:cs/>
        </w:rPr>
        <w:t>٥. التطبيق: مُثبَت ميدانياً</w:t>
      </w:r>
    </w:p>
    <w:p>
      <w:pPr>
        <w:keepNext w:val="0"/>
        <w:bidi/>
        <w:spacing w:after="160" w:before="0" w:line="348" w:lineRule="auto"/>
        <w:jc w:val="both"/>
      </w:pPr>
      <w:r>
        <w:rPr>
          <w:rFonts w:ascii="Times New Roman" w:hAnsi="Times New Roman" w:cs="Noto Naskh Arabic"/>
          <w:b w:val="0"/>
          <w:i w:val="0"/>
          <w:color w:val="111111"/>
          <w:sz w:val="23"/>
          <w:szCs w:val="23"/>
          <w:rtl/>
          <w:cs/>
        </w:rPr>
        <w:t>تطبيق متعدد المنصّات، طُوِّر جنباً إلى جنب مع معمارية النموذج، هو ما يُحوّل مُخرَجات النموذج إلى عملية تجارية قابلة للاستخدام لا عرضاً بحثياً. فهو يُوحِّد معايير الالتقاط الميداني، ويُشغِّل خط معالجة الكشف على كل صورة، والأهم أنه يُقحِم مراجعاً بشرياً بين مُخرَج النموذج الخام وأي رقم يُبلَّغ عنه كحقيقة.</w:t>
      </w:r>
    </w:p>
    <w:p>
      <w:pPr>
        <w:keepNext w:val="0"/>
        <w:bidi/>
        <w:spacing w:after="160" w:before="0" w:line="348" w:lineRule="auto"/>
        <w:jc w:val="both"/>
      </w:pPr>
      <w:r>
        <w:rPr>
          <w:rFonts w:ascii="Times New Roman" w:hAnsi="Times New Roman" w:cs="Noto Naskh Arabic"/>
          <w:b w:val="0"/>
          <w:i w:val="0"/>
          <w:color w:val="111111"/>
          <w:sz w:val="23"/>
          <w:szCs w:val="23"/>
          <w:rtl/>
          <w:cs/>
        </w:rPr>
        <w:t>ومنذ المراجعة السابقة نما التطبيق متجاوزاً الالتقاط والمراجعة الأوّليين إلى التقارير التي طلبتها الأعمال فعلياً: واجهة «التقديمات» تتيح لمسؤول الشركة رؤية ما سجّله المندوب الميداني فعلياً (كانت البيانات المُلتقَطة سابقاً تُكتب في قاعدة البيانات من دون أن يقرأها التطبيق مرة أخرى)، وتقرير «حصة الرف» من العلامة إلى المتغيّر يُعطي النسبة الإجمالية لكل علامة من مساحة الرف مُفصَّلة إلى المتغيّرات المحددة التي يميّزها خط المعالجة حالياً. كما تُرقّي تحذير جودة الالتقاط المنخفضة — صورة مُلتقَطة من مسافة بعيدة جداً عن الرف لتُحتسَب موثوقة — من إشعار يسهل تفويته إلى نافذة حوار يجب على المندوب رفضها فعلياً، مما يُقلّل مباشرة مصدراً للنقص العددي الصامت في الميدان.</w:t>
      </w:r>
    </w:p>
    <w:p>
      <w:pPr>
        <w:keepNext/>
        <w:spacing w:before="240" w:after="80"/>
        <w:jc w:val="center"/>
      </w:pPr>
      <w:r>
        <w:drawing>
          <wp:inline xmlns:a="http://schemas.openxmlformats.org/drawingml/2006/main" xmlns:pic="http://schemas.openxmlformats.org/drawingml/2006/picture">
            <wp:extent cx="3891120" cy="5580000"/>
            <wp:docPr id="1" name="Picture 1"/>
            <wp:cNvGraphicFramePr>
              <a:graphicFrameLocks noChangeAspect="1"/>
            </wp:cNvGraphicFramePr>
            <a:graphic>
              <a:graphicData uri="http://schemas.openxmlformats.org/drawingml/2006/picture">
                <pic:pic>
                  <pic:nvPicPr>
                    <pic:cNvPr id="0" name="fig4_app.jpg"/>
                    <pic:cNvPicPr/>
                  </pic:nvPicPr>
                  <pic:blipFill>
                    <a:blip r:embed="rId9"/>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التطبيق وهو يراجع التقاطاً حياً — ٧٥ اكتشافاً أُعيدت لبرّاد واحد، مع حصص ثقة العلامة محسوبة أسفلها. وتزاحمُ التسميات الظاهر هنا دليل حقيقي بذاته على أن المحرِّر الخاضع للمراجعة البشرية، لا القبول الآلي الكامل، هو التصميم الملائم لمشاهد الرفوف الكثيفة.</w:t>
      </w:r>
    </w:p>
    <w:p>
      <w:pPr>
        <w:keepNext/>
        <w:bidi/>
        <w:spacing w:before="360" w:after="140"/>
        <w:jc w:val="right"/>
      </w:pPr>
      <w:r>
        <w:rPr>
          <w:rFonts w:ascii="Times New Roman" w:hAnsi="Times New Roman" w:cs="Noto Naskh Arabic"/>
          <w:b/>
          <w:bCs w:val="1"/>
          <w:i w:val="0"/>
          <w:color w:val="1A3A5C"/>
          <w:sz w:val="28"/>
          <w:szCs w:val="28"/>
          <w:rtl/>
          <w:cs/>
        </w:rPr>
        <w:t>٦. المخاطر والفجوات المفتوحة</w:t>
      </w:r>
    </w:p>
    <w:p>
      <w:pPr>
        <w:keepNext w:val="0"/>
        <w:bidi/>
        <w:spacing w:after="160" w:before="0" w:line="348" w:lineRule="auto"/>
        <w:jc w:val="both"/>
      </w:pPr>
      <w:r>
        <w:rPr>
          <w:rFonts w:ascii="Times New Roman" w:hAnsi="Times New Roman" w:cs="Noto Naskh Arabic"/>
          <w:b w:val="0"/>
          <w:i w:val="0"/>
          <w:color w:val="111111"/>
          <w:sz w:val="23"/>
          <w:szCs w:val="23"/>
          <w:rtl/>
          <w:cs/>
        </w:rPr>
        <w:t>مذكورة بترتيب الأولوية في الإغلاق، مع السبب الصادق وراء بقاء كل منها مفتوحاً:</w:t>
      </w:r>
    </w:p>
    <w:p>
      <w:pPr>
        <w:keepNext w:val="0"/>
        <w:bidi/>
        <w:spacing w:after="120" w:before="0" w:line="348" w:lineRule="auto"/>
        <w:jc w:val="both"/>
      </w:pPr>
      <w:r>
        <w:rPr>
          <w:rFonts w:ascii="Times New Roman" w:hAnsi="Times New Roman" w:cs="Noto Naskh Arabic"/>
          <w:b w:val="0"/>
          <w:i w:val="0"/>
          <w:color w:val="111111"/>
          <w:sz w:val="23"/>
          <w:szCs w:val="23"/>
          <w:rtl/>
          <w:cs/>
        </w:rPr>
        <w:t>١. دقة المُصنِّفات غير مقيسة، لسبب معروف ومحدد. فالمُصنِّفات الأربعة جميعها في المجموعة الحالية حية من دون تقييم مُسجَّل، لأن التقييم الآلي محجوب خلف مستوى خطة لا يملكها مساحة العمل هذه حالياً. وسدّ هذه الفجوة يستوجب إما ترقية الخطة أو قبول عدم إمكان الاستشهاد بأي رقم دقة حالياً — وهذه ليست مسألة بحثية مفتوحة.</w:t>
      </w:r>
    </w:p>
    <w:p>
      <w:pPr>
        <w:keepNext w:val="0"/>
        <w:bidi/>
        <w:spacing w:after="120" w:before="0" w:line="348" w:lineRule="auto"/>
        <w:jc w:val="both"/>
      </w:pPr>
      <w:r>
        <w:rPr>
          <w:rFonts w:ascii="Times New Roman" w:hAnsi="Times New Roman" w:cs="Noto Naskh Arabic"/>
          <w:b w:val="0"/>
          <w:i w:val="0"/>
          <w:color w:val="111111"/>
          <w:sz w:val="23"/>
          <w:szCs w:val="23"/>
          <w:rtl/>
          <w:cs/>
        </w:rPr>
        <w:t>٢. فجوة استدعاء الكاشف تعود إلى سبب معروف ومحدد. فنحو ٨٠٠ صورة مُعلَّمة سلفاً من المشروع الأصلي لم تُرحَّل بعد إلى المشروع المحايد صنفياً. وهذه مهمة هندسة بيانات، لا بحث جديد.</w:t>
      </w:r>
    </w:p>
    <w:p>
      <w:pPr>
        <w:keepNext w:val="0"/>
        <w:bidi/>
        <w:spacing w:after="120" w:before="0" w:line="348" w:lineRule="auto"/>
        <w:jc w:val="both"/>
      </w:pPr>
      <w:r>
        <w:rPr>
          <w:rFonts w:ascii="Times New Roman" w:hAnsi="Times New Roman" w:cs="Noto Naskh Arabic"/>
          <w:b w:val="0"/>
          <w:i w:val="0"/>
          <w:color w:val="111111"/>
          <w:sz w:val="23"/>
          <w:szCs w:val="23"/>
          <w:rtl/>
          <w:cs/>
        </w:rPr>
        <w:t>٣. تنوّع نكهة الكوكاكولا غير موجود في البيانات الحالية، وقد تأكد ذلك مرتين. فتدقيقان مستقلان، بفارق أشهر بينهما، توصّلا إلى النتيجة ذاتها: الصور المتاحة كلها تقريباً متغيّر واحد. والحل تصوير جديد موجَّه للمتغيّرات المفقودة، لا إعادة تسمية الصور القائمة، وهو خيار استُبعِد أصلاً.</w:t>
      </w:r>
    </w:p>
    <w:p>
      <w:pPr>
        <w:keepNext w:val="0"/>
        <w:bidi/>
        <w:spacing w:after="120" w:before="0" w:line="348" w:lineRule="auto"/>
        <w:jc w:val="both"/>
      </w:pPr>
      <w:r>
        <w:rPr>
          <w:rFonts w:ascii="Times New Roman" w:hAnsi="Times New Roman" w:cs="Noto Naskh Arabic"/>
          <w:b w:val="0"/>
          <w:i w:val="0"/>
          <w:color w:val="111111"/>
          <w:sz w:val="23"/>
          <w:szCs w:val="23"/>
          <w:rtl/>
          <w:cs/>
        </w:rPr>
        <w:t>٤. مُصنِّف متغيّرات XL Energy مُدرَّب لكنه غير متوازن بشدة. إذ يستأثر صنف واحد (xl-classic) بنسبة ٨٥٪ من الأمثلة المُعلَّمة؛ وثلاثة من الأصناف الخمسة يقل كل منها عن عشرة أمثلة. وهو حيّ وقابل للاستخدام لكنه سيستفيد من تصوير موجَّه للمتغيّرات ناقصة التمثيل، من الفئة ذاتها للفجوة رقم ٣.</w:t>
      </w:r>
    </w:p>
    <w:p>
      <w:pPr>
        <w:keepNext w:val="0"/>
        <w:bidi/>
        <w:spacing w:after="120" w:before="0" w:line="348" w:lineRule="auto"/>
        <w:jc w:val="both"/>
      </w:pPr>
      <w:r>
        <w:rPr>
          <w:rFonts w:ascii="Times New Roman" w:hAnsi="Times New Roman" w:cs="Noto Naskh Arabic"/>
          <w:b w:val="0"/>
          <w:i w:val="0"/>
          <w:color w:val="111111"/>
          <w:sz w:val="23"/>
          <w:szCs w:val="23"/>
          <w:rtl/>
          <w:cs/>
        </w:rPr>
        <w:t>٥. كلفة الاستدلال لكل منتج عند التوسّع لم تُقَس بعد. فخط المعالجة يُصدر الآن استدعاء علامة، واستدعاء مادة تعبئة غير مشروط، وأحياناً استدعاء متغيّر، لكل منتج مكتشَف؛ وينبغي قياس الأثر الفعلي للكلفة من الاستخدام الحي قبل استخدامه في أي إسقاط للكلفة.</w:t>
      </w:r>
    </w:p>
    <w:p>
      <w:pPr>
        <w:keepNext w:val="0"/>
        <w:bidi/>
        <w:spacing w:after="120" w:before="0" w:line="348" w:lineRule="auto"/>
        <w:jc w:val="both"/>
      </w:pPr>
      <w:r>
        <w:rPr>
          <w:rFonts w:ascii="Times New Roman" w:hAnsi="Times New Roman" w:cs="Noto Naskh Arabic"/>
          <w:b w:val="0"/>
          <w:i w:val="0"/>
          <w:color w:val="111111"/>
          <w:sz w:val="23"/>
          <w:szCs w:val="23"/>
          <w:rtl/>
          <w:cs/>
        </w:rPr>
        <w:t>٦. مادة التعبئة مقيسة لكنها لم تُدمَج بعد في التسمية المُبلَّغ عنها. فالحقل موجود في مُخرَجات خط المعالجة وتحقَّق منه حياً، لكن التطبيق لا يدمجه بعد مع العلامة والمتغيّر في تصنيف نهائي واحد — وهذا العمل لم يبدأ بعد.</w:t>
      </w:r>
    </w:p>
    <w:p>
      <w:pPr>
        <w:keepNext/>
        <w:bidi/>
        <w:spacing w:before="360" w:after="140"/>
        <w:jc w:val="right"/>
      </w:pPr>
      <w:r>
        <w:rPr>
          <w:rFonts w:ascii="Times New Roman" w:hAnsi="Times New Roman" w:cs="Noto Naskh Arabic"/>
          <w:b/>
          <w:bCs w:val="1"/>
          <w:i w:val="0"/>
          <w:color w:val="1A3A5C"/>
          <w:sz w:val="28"/>
          <w:szCs w:val="28"/>
          <w:rtl/>
          <w:cs/>
        </w:rPr>
        <w:t>٧.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لم تكن أصعب مشكلتين في هذه الفترة خوارزميتين؛ بل تعلّقتا بمعرفة ما تفعله البيانات والمنصة فعلياً، مقابل ما كان مُفترَضاً أنها تفعله.</w:t>
      </w:r>
    </w:p>
    <w:p>
      <w:pPr>
        <w:keepNext w:val="0"/>
        <w:bidi/>
        <w:spacing w:after="160" w:before="0" w:line="348" w:lineRule="auto"/>
        <w:jc w:val="both"/>
      </w:pPr>
      <w:r>
        <w:rPr>
          <w:rFonts w:ascii="Times New Roman" w:hAnsi="Times New Roman" w:cs="Noto Naskh Arabic"/>
          <w:b w:val="0"/>
          <w:i w:val="0"/>
          <w:color w:val="111111"/>
          <w:sz w:val="23"/>
          <w:szCs w:val="23"/>
          <w:rtl/>
          <w:cs/>
        </w:rPr>
        <w:t>أولاهما تشخيص إخفاقات كان عرَضها الظاهر يشير بعيداً عن سببها الحقيقي. فمشكلة علب سبرايت بدت، من مجرد بلاغ المستخدم، وكأنها قد تكون مشكلة كاشف، أو مشكلة عتبة ثقة، أو خطأ تعليم — واستلزم الأمر تدقيقاً بنسبة الأبعاد لصور التدريب الفعلية لاكتشاف أنها اختلال في تركيب الصنف (نحو تسع أمثلة زجاجة مقابل كل مثال علبة)، وهو أمر لا يظهر من النظر إلى تنبؤات النموذج أو مقاييس تدريبه، بل من النظر مباشرة إلى ما عُرِض على النموذج أثناء التدريب فقط. وصمد النمط ذاته في مسألة نكهة الكوكاكولا: كانت القراءة البديهية «المُصنِّف يحتاج تدريباً أكثر»، لكن القيد الفعلي أن التصوير الأساسي لا يحوي المتغيّرات المطلوبة أصلاً. وتشير الحالتان إلى الدرس ذاته — حين يضعف أداء نموذج على صنف بعينه، فإن تدقيق بيانات تدريب ذلك الصنف مباشرة أجدى من ضبط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وثانيتهما قيد منصة حقيقي لا خللاً في عمل هذا المشروع بذاته: فتقييم الدقة الخاص بكل مُصنِّف في منصة التدريب لا يعمل تلقائياً إلا عند التدريب، وفقط ضمن مستوى خطة مدفوعة لا تملكها مساحة العمل هذه حالياً، ولا وسيلة لتشغيله لاحقاً على تدريب منتهٍ سلفاً. وهذا يعني أن كل مُصنِّف دُرِّب حتى الآن — العلامة، وFanta، وXL Energy، ومادة التعبئة — لا يحمل أي دقة مقيسة، ليس لأن التقييم تُخطِّي، بل لأن المنصة لم تُشغِّله قط. واستلزم اكتشاف ذلك استبعاد عدة تفسيرات أكثر ترجيحاً أولاً (خطوة يدوية مفقودة، أو قيد أداة) قبل تأكيده مقابل مستويات الميزات الموثَّقة رسمياً للمنصة. وهذا بات الآن قيداً معروفاً ومُسمّى لا سؤالاً مفتوحاً، لكنه يحدّ مباشرة مما يمكن الادّعاء به عن دقة المُصنِّفات في هذا التقرير.</w:t>
      </w:r>
    </w:p>
    <w:p>
      <w:pPr>
        <w:keepNext w:val="0"/>
        <w:bidi/>
        <w:spacing w:after="160" w:before="0" w:line="348" w:lineRule="auto"/>
        <w:jc w:val="both"/>
      </w:pPr>
      <w:r>
        <w:rPr>
          <w:rFonts w:ascii="Times New Roman" w:hAnsi="Times New Roman" w:cs="Noto Naskh Arabic"/>
          <w:b w:val="0"/>
          <w:i w:val="0"/>
          <w:color w:val="111111"/>
          <w:sz w:val="23"/>
          <w:szCs w:val="23"/>
          <w:rtl/>
          <w:cs/>
        </w:rPr>
        <w:t>وثالثتهما، وهي أكثر عملية، العمل ضمن قيود منصة مُستضافة حقيقية أثناء عمليات بيانات كبيرة — فمثلاً، إعادة تسمية أكثر من ألف صورة دفعة واحدة لمُصنِّف مادة التعبئة كشفت سلوكاً في نطاق الجلسة والصلاحيات لم يكن واضحاً سلفاً واستوجب معالجة أثناء المهمة. ولم تكن أيٌّ منها ذات أثر معماري، لكنها تذكير بأن حصة معتبرة من هذا النوع من العمل الهندسي هي اكتشاف كيفية عمل المنصة الأساسية فعلياً، لا كتابة منطق خط المعالجة فوقها فحسب.</w:t>
      </w:r>
    </w:p>
    <w:p>
      <w:pPr>
        <w:keepNext/>
        <w:bidi/>
        <w:spacing w:before="360" w:after="140"/>
        <w:jc w:val="right"/>
      </w:pPr>
      <w:r>
        <w:rPr>
          <w:rFonts w:ascii="Times New Roman" w:hAnsi="Times New Roman" w:cs="Noto Naskh Arabic"/>
          <w:b/>
          <w:bCs w:val="1"/>
          <w:i w:val="0"/>
          <w:color w:val="1A3A5C"/>
          <w:sz w:val="28"/>
          <w:szCs w:val="28"/>
          <w:rtl/>
          <w:cs/>
        </w:rPr>
        <w:t>٨. التوصية والخطوات القادمة وما نحتاجه</w:t>
      </w:r>
    </w:p>
    <w:p>
      <w:pPr>
        <w:keepNext w:val="0"/>
        <w:bidi/>
        <w:spacing w:after="160" w:before="0" w:line="348" w:lineRule="auto"/>
        <w:jc w:val="both"/>
      </w:pPr>
      <w:r>
        <w:rPr>
          <w:rFonts w:ascii="Times New Roman" w:hAnsi="Times New Roman" w:cs="Noto Naskh Arabic"/>
          <w:b w:val="0"/>
          <w:i w:val="0"/>
          <w:color w:val="111111"/>
          <w:sz w:val="23"/>
          <w:szCs w:val="23"/>
          <w:rtl/>
          <w:cs/>
        </w:rPr>
        <w:t>التوصية هي الاستمرار في المعمارية الحالية. والدليل في هذا التقرير أنها ليست مفاضلة بين الكلفة والدقة مقابل النهج الأصلي — بل هي أدق قياسياً على ثلث بيانات التدريب، بزيادة في كلفة التدريب أصغر من أن تُذكَر عبر خمسة نماذج، ونمط المُصنِّف الموجَّه الذي يمنع استدعاءات المُصنِّف من التضاعف مع حجم الكتالوج أصبح مُثبَتاً مرتين لا مرة واحدة. والبنود المفتوحة أدناه محددة وزهيدة الكلفة فردياً؛ ولا يشير أيٌّ منها إلى خلل في التصميم الأساسي.</w:t>
      </w:r>
    </w:p>
    <w:p>
      <w:pPr>
        <w:keepNext w:val="0"/>
        <w:bidi/>
        <w:spacing w:after="160" w:before="0" w:line="348" w:lineRule="auto"/>
        <w:jc w:val="both"/>
      </w:pPr>
      <w:r>
        <w:rPr>
          <w:rFonts w:ascii="Times New Roman" w:hAnsi="Times New Roman" w:cs="Noto Naskh Arabic"/>
          <w:b w:val="0"/>
          <w:i w:val="0"/>
          <w:color w:val="111111"/>
          <w:sz w:val="23"/>
          <w:szCs w:val="23"/>
          <w:rtl/>
          <w:cs/>
        </w:rPr>
        <w:t>ترتيب العمل المقترح: أولاً، تشغيل تقييمات المُصنِّفات المفقودة وترحيل نحو ٨٠٠ صورة كاشف لم تُرحَّل بعد، وإعادة تدريب الكاشف على المجموعة الأوفر — وكلاهما عمل أيام من دون جمع بيانات جديدة ويُغلق مباشرة البندين ١ و٢ في القسم ٦. ثانياً، دمج إشارة مادة التعبئة في التصنيف النهائي الواحد المُبلَّغ عنه إلى جانب العلامة والمتغيّر، بما أن الإشارة ذاتها حيّة ومُتحقَّق منها أصلاً — وهذا عمل هندسي لا بحثي. ثالثاً، قياس كلفة الاستدلال الفعلية لكل صورة من الاستخدام الحي متى ما برّر الحجم ذلك، لإبقاء اقتصاديات القسم ٤ محدَّثة بدلاً من مُفتَرَضة.</w:t>
      </w:r>
    </w:p>
    <w:p>
      <w:pPr>
        <w:keepNext w:val="0"/>
        <w:bidi/>
        <w:spacing w:after="160" w:before="0" w:line="348" w:lineRule="auto"/>
        <w:jc w:val="both"/>
      </w:pPr>
      <w:r>
        <w:rPr>
          <w:rFonts w:ascii="Times New Roman" w:hAnsi="Times New Roman" w:cs="Noto Naskh Arabic"/>
          <w:b w:val="0"/>
          <w:i w:val="0"/>
          <w:color w:val="111111"/>
          <w:sz w:val="23"/>
          <w:szCs w:val="23"/>
          <w:rtl/>
          <w:cs/>
        </w:rPr>
        <w:t>أما ما قد يساعد جوهرياً في المرحلة القادمة فهو: قرار بشأن تمويل جولة تصوير قصيرة وموجَّهة — تحديداً متغيّرات نكهة كوكاكولا حقيقية، ومنتجات معبَّأة بالزجاج، ومتغيّرات XL Energy ناقصة التمثيل (موخيتو، دبل كيك، خالٍ من السكر) — بما أن الفجوات الثلاث جميعها محجوبة ببيانات لا توجد بعد، لا بجهد هندسي، ولن يسدّها أي قدر إضافي من عمل النمذجة. وعلى نحو منفصل، فإن قراراً بشأن ترقية مستوى خطة Roboflow التي تحجب التقييم الآلي للمُصنِّفات سيتيح لكل مُصنِّف يُدرَّب بعد تلك اللحظة أن يحمل رقم دقة حقيقياً بدلاً من غير مقيس، وهي حالياً أكبر فجوة منفردة بين ما يفعله هذا النظام وما يمكن الإبلاغ عنه رسمياً بشأن جودة أدائه. كما أن توجيهاً بشأن عتبة الدقة التي ينبغي اعتبارها جاهزة للإنتاج — بما أن نقطة التشغيل الصحيحة لتدقيق الرفوف، ومن ثمّ مدى ميل النظام إلى إحالة القرار للمراجعة البشرية، حكمٌ تجاري بقدر ما هو تقني — سيُشكِّل مباشرة الجولة القادمة من عمل الضبط.</w:t>
      </w:r>
    </w:p>
    <w:p>
      <w:r>
        <w:br w:type="page"/>
      </w:r>
    </w:p>
    <w:p>
      <w:pPr>
        <w:keepNext/>
        <w:bidi/>
        <w:spacing w:before="360" w:after="140"/>
        <w:jc w:val="right"/>
      </w:pPr>
      <w:r>
        <w:rPr>
          <w:rFonts w:ascii="Times New Roman" w:hAnsi="Times New Roman" w:cs="Noto Naskh Arabic"/>
          <w:b/>
          <w:bCs w:val="1"/>
          <w:i w:val="0"/>
          <w:color w:val="1A3A5C"/>
          <w:sz w:val="28"/>
          <w:szCs w:val="28"/>
          <w:rtl/>
          <w:cs/>
        </w:rPr>
        <w:t>المراجع التقنية</w:t>
      </w:r>
    </w:p>
    <w:p>
      <w:pPr>
        <w:spacing w:after="160" w:line="312" w:lineRule="auto"/>
        <w:ind w:left="510" w:hanging="510"/>
        <w:jc w:val="left"/>
      </w:pPr>
      <w:r>
        <w:rPr>
          <w:rFonts w:ascii="Times New Roman" w:hAnsi="Times New Roman" w:cs="Times New Roman"/>
          <w:b w:val="0"/>
          <w:i w:val="0"/>
          <w:color w:val="111111"/>
          <w:sz w:val="21"/>
          <w:szCs w:val="21"/>
        </w:rPr>
        <w:t>[1]  Dosovitskiy, A., Beyer, L., Kolesnikov, A., et al. (2021). An Image is Worth 16x16 Words: Transformers for Image Recognition at Scale. International Conference on Learning Representations (ICLR). — معمارية النماذج (ViT) الكامنة خلف مُصنِّفات العلامة والمتغيّرات في المراحل ٢–٤.</w:t>
      </w:r>
    </w:p>
    <w:p>
      <w:pPr>
        <w:spacing w:after="160" w:line="312" w:lineRule="auto"/>
        <w:ind w:left="510" w:hanging="510"/>
        <w:jc w:val="left"/>
      </w:pPr>
      <w:r>
        <w:rPr>
          <w:rFonts w:ascii="Times New Roman" w:hAnsi="Times New Roman" w:cs="Times New Roman"/>
          <w:b w:val="0"/>
          <w:i w:val="0"/>
          <w:color w:val="111111"/>
          <w:sz w:val="21"/>
          <w:szCs w:val="21"/>
        </w:rPr>
        <w:t>[2]  Ren, S., He, K., Girshick, R., &amp; Sun, J. (2015). Faster R-CNN: Towards Real-Time Object Detection with Region Proposal Networks. Advances in Neural Information Processing Systems (NeurIPS). — خلفية نمط الكشف ثم التصنيف المعماري الكامن خلف المرحلة الأولى.</w:t>
      </w:r>
    </w:p>
    <w:p>
      <w:pPr>
        <w:spacing w:after="160" w:line="312" w:lineRule="auto"/>
        <w:ind w:left="510" w:hanging="510"/>
        <w:jc w:val="left"/>
      </w:pPr>
      <w:r>
        <w:rPr>
          <w:rFonts w:ascii="Times New Roman" w:hAnsi="Times New Roman" w:cs="Times New Roman"/>
          <w:b w:val="0"/>
          <w:i w:val="0"/>
          <w:color w:val="111111"/>
          <w:sz w:val="21"/>
          <w:szCs w:val="21"/>
        </w:rPr>
        <w:t>[3]  Roboflow. Workflows Documentation. https://inference.roboflow.com/workflows/ (accessed August 2026). — المنصة التي يُنفَّذ عليها خط المعالجة الإنتاجي في القسم الثاني، بما في ذلك كتل التوجيه («switch case») ودمج الفروع المستخدمة في القسم ٣.٥.</w:t>
      </w:r>
    </w:p>
    <w:p>
      <w:pPr>
        <w:spacing w:after="160" w:line="312" w:lineRule="auto"/>
        <w:ind w:left="510" w:hanging="510"/>
        <w:jc w:val="left"/>
      </w:pPr>
      <w:r>
        <w:rPr>
          <w:rFonts w:ascii="Times New Roman" w:hAnsi="Times New Roman" w:cs="Times New Roman"/>
          <w:b w:val="0"/>
          <w:i w:val="0"/>
          <w:color w:val="111111"/>
          <w:sz w:val="21"/>
          <w:szCs w:val="21"/>
        </w:rPr>
        <w:t>[4]  Roboflow. Pricing and Credits. https://roboflow.com/pricing (accessed August 2026). — مصدر معدلات الأرصدة المستخدمة في القسم الرابع؛ يُرجى مراجعتها مباشرة للأسعار الفعلية بالدولار.</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