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keepNext w:val="0"/>
        <w:spacing w:after="800" w:before="0" w:line="348" w:lineRule="auto"/>
        <w:jc w:val="center"/>
      </w:pPr>
      <w:r>
        <w:rPr>
          <w:rFonts w:ascii="Times New Roman" w:hAnsi="Times New Roman" w:cs="Times New Roman"/>
          <w:b/>
          <w:bCs w:val="1"/>
          <w:i w:val="0"/>
          <w:color w:val="555555"/>
          <w:sz w:val="26"/>
          <w:szCs w:val="26"/>
        </w:rPr>
        <w:t>Aystro</w:t>
      </w:r>
    </w:p>
    <w:p>
      <w:pPr>
        <w:keepNext w:val="0"/>
        <w:spacing w:after="200" w:before="0" w:line="300" w:lineRule="auto"/>
        <w:jc w:val="center"/>
      </w:pPr>
      <w:r>
        <w:rPr>
          <w:rFonts w:ascii="Times New Roman" w:hAnsi="Times New Roman" w:cs="Times New Roman"/>
          <w:b/>
          <w:bCs w:val="1"/>
          <w:i w:val="0"/>
          <w:color w:val="1A3A5C"/>
          <w:sz w:val="42"/>
          <w:szCs w:val="42"/>
        </w:rPr>
        <w:t>Automated Retail Shelf Auditing: Technical Progress Update</w:t>
      </w:r>
    </w:p>
    <w:p>
      <w:pPr>
        <w:keepNext w:val="0"/>
        <w:spacing w:after="1280" w:before="0" w:line="348" w:lineRule="auto"/>
        <w:jc w:val="center"/>
      </w:pPr>
      <w:r>
        <w:rPr>
          <w:rFonts w:ascii="Times New Roman" w:hAnsi="Times New Roman" w:cs="Times New Roman"/>
          <w:b w:val="0"/>
          <w:i/>
          <w:iCs w:val="1"/>
          <w:color w:val="555555"/>
          <w:sz w:val="28"/>
          <w:szCs w:val="28"/>
        </w:rPr>
        <w:t>An R&amp;D Progress Report</w:t>
      </w:r>
    </w:p>
    <w:p>
      <w:pPr>
        <w:spacing w:after="140"/>
        <w:jc w:val="center"/>
      </w:pPr>
      <w:r>
        <w:rPr>
          <w:rFonts w:ascii="Times New Roman" w:hAnsi="Times New Roman" w:cs="Times New Roman"/>
          <w:b/>
          <w:bCs w:val="1"/>
          <w:i w:val="0"/>
          <w:color w:val="555555"/>
          <w:sz w:val="23"/>
          <w:szCs w:val="23"/>
        </w:rPr>
        <w:t xml:space="preserve">Prepared by:  </w:t>
      </w:r>
      <w:r>
        <w:rPr>
          <w:rFonts w:ascii="Times New Roman" w:hAnsi="Times New Roman" w:cs="Times New Roman"/>
          <w:b w:val="0"/>
          <w:i w:val="0"/>
          <w:color w:val="111111"/>
          <w:sz w:val="23"/>
          <w:szCs w:val="23"/>
        </w:rPr>
        <w:t>Mahmoud Firas Fannoun</w:t>
      </w:r>
    </w:p>
    <w:p>
      <w:pPr>
        <w:spacing w:after="140"/>
        <w:jc w:val="center"/>
      </w:pPr>
      <w:r>
        <w:rPr>
          <w:rFonts w:ascii="Times New Roman" w:hAnsi="Times New Roman" w:cs="Times New Roman"/>
          <w:b/>
          <w:bCs w:val="1"/>
          <w:i w:val="0"/>
          <w:color w:val="555555"/>
          <w:sz w:val="23"/>
          <w:szCs w:val="23"/>
        </w:rPr>
        <w:t xml:space="preserve">Organization:  </w:t>
      </w:r>
      <w:r>
        <w:rPr>
          <w:rFonts w:ascii="Times New Roman" w:hAnsi="Times New Roman" w:cs="Times New Roman"/>
          <w:b w:val="0"/>
          <w:i w:val="0"/>
          <w:color w:val="111111"/>
          <w:sz w:val="23"/>
          <w:szCs w:val="23"/>
        </w:rPr>
        <w:t>Aystro</w:t>
      </w:r>
    </w:p>
    <w:p>
      <w:pPr>
        <w:spacing w:after="140"/>
        <w:jc w:val="center"/>
      </w:pPr>
      <w:r>
        <w:rPr>
          <w:rFonts w:ascii="Times New Roman" w:hAnsi="Times New Roman" w:cs="Times New Roman"/>
          <w:b/>
          <w:bCs w:val="1"/>
          <w:i w:val="0"/>
          <w:color w:val="555555"/>
          <w:sz w:val="23"/>
          <w:szCs w:val="23"/>
        </w:rPr>
        <w:t xml:space="preserve">Reporting Period:  </w:t>
      </w:r>
      <w:r>
        <w:rPr>
          <w:rFonts w:ascii="Times New Roman" w:hAnsi="Times New Roman" w:cs="Times New Roman"/>
          <w:b w:val="0"/>
          <w:i w:val="0"/>
          <w:color w:val="111111"/>
          <w:sz w:val="23"/>
          <w:szCs w:val="23"/>
        </w:rPr>
        <w:t>27 July 2026 – 17 August 2026</w:t>
      </w:r>
    </w:p>
    <w:p>
      <w:pPr>
        <w:spacing w:after="140"/>
        <w:jc w:val="center"/>
      </w:pPr>
      <w:r>
        <w:rPr>
          <w:rFonts w:ascii="Times New Roman" w:hAnsi="Times New Roman" w:cs="Times New Roman"/>
          <w:b/>
          <w:bCs w:val="1"/>
          <w:i w:val="0"/>
          <w:color w:val="555555"/>
          <w:sz w:val="23"/>
          <w:szCs w:val="23"/>
        </w:rPr>
        <w:t xml:space="preserve">Date of Submission:  </w:t>
      </w:r>
      <w:r>
        <w:rPr>
          <w:rFonts w:ascii="Times New Roman" w:hAnsi="Times New Roman" w:cs="Times New Roman"/>
          <w:b w:val="0"/>
          <w:i w:val="0"/>
          <w:color w:val="111111"/>
          <w:sz w:val="23"/>
          <w:szCs w:val="23"/>
        </w:rPr>
        <w:t>17 August 2026</w:t>
      </w:r>
    </w:p>
    <w:p>
      <w:r>
        <w:br w:type="page"/>
      </w:r>
    </w:p>
    <w:p>
      <w:pPr>
        <w:keepNext/>
        <w:spacing w:before="360" w:after="140"/>
        <w:jc w:val="left"/>
      </w:pPr>
      <w:r>
        <w:rPr>
          <w:rFonts w:ascii="Times New Roman" w:hAnsi="Times New Roman" w:cs="Times New Roman"/>
          <w:b/>
          <w:bCs w:val="1"/>
          <w:i w:val="0"/>
          <w:color w:val="1A3A5C"/>
          <w:sz w:val="28"/>
          <w:szCs w:val="28"/>
        </w:rPr>
        <w:t>Executive Summary</w:t>
      </w:r>
    </w:p>
    <w:p>
      <w:pPr>
        <w:keepNext w:val="0"/>
        <w:spacing w:after="160" w:before="0" w:line="348" w:lineRule="auto"/>
        <w:jc w:val="both"/>
      </w:pPr>
      <w:r>
        <w:rPr>
          <w:rFonts w:ascii="Times New Roman" w:hAnsi="Times New Roman" w:cs="Times New Roman"/>
          <w:b w:val="0"/>
          <w:i w:val="0"/>
          <w:color w:val="111111"/>
          <w:sz w:val="22"/>
          <w:szCs w:val="22"/>
        </w:rPr>
        <w:t>This report updates Aystro's field-training engagement on automated shelf auditing: what has been built, what has been measured, and what remains open. Since the previous revision, the staged detect-then-classify architecture has moved from a single working example (Fanta) to a repeated, proven pattern — a second brand-variant classifier (XL Energy) and a new packaging-material signal have both been trained and wired into the live pipeline the same way, and a real production accuracy bug reported directly by a field user has been root-caused and fixed.</w:t>
      </w:r>
    </w:p>
    <w:p>
      <w:pPr>
        <w:keepNext w:val="0"/>
        <w:spacing w:after="160" w:before="0" w:line="348" w:lineRule="auto"/>
        <w:jc w:val="both"/>
      </w:pPr>
      <w:r>
        <w:rPr>
          <w:rFonts w:ascii="Times New Roman" w:hAnsi="Times New Roman" w:cs="Times New Roman"/>
          <w:b w:val="0"/>
          <w:i w:val="0"/>
          <w:color w:val="111111"/>
          <w:sz w:val="22"/>
          <w:szCs w:val="22"/>
        </w:rPr>
        <w:t>The central architectural claim — that separating "where is a product" from "what product is it" keeps catalogue growth cheap — is now supported by complexity evidence, not only cost figures. Gating variant classifiers behind a routing step cut the number of classifier calls per photograph from growing with both product count and variant-classifier count (O(N×K)) to growing with product count alone (O(N)), independent of how many brands have their own flavour classifier. Measured on the same test photograph under identical conditions, this cut wall-clock classification time by 65% (40.3s to 14.2s) and now holds with two independent variant classifiers, not one. Separately, adding each new variant classifier has cost hours of labelling and one small model, not a retrain of the detector or brand classifier — repeated twice, which is the basis for calling the marginal cost of catalogue growth small and roughly constant rather than assuming it from a single example.</w:t>
      </w:r>
    </w:p>
    <w:p>
      <w:pPr>
        <w:keepNext w:val="0"/>
        <w:spacing w:after="160" w:before="0" w:line="348" w:lineRule="auto"/>
        <w:jc w:val="both"/>
      </w:pPr>
      <w:r>
        <w:rPr>
          <w:rFonts w:ascii="Times New Roman" w:hAnsi="Times New Roman" w:cs="Times New Roman"/>
          <w:b w:val="0"/>
          <w:i w:val="0"/>
          <w:color w:val="111111"/>
          <w:sz w:val="22"/>
          <w:szCs w:val="22"/>
        </w:rPr>
        <w:t>The report is equally direct about what remains open. No classifier in the current stack has a formally recorded accuracy number yet — the root cause is now understood precisely (Section 3) and the fix is known, not undiscovered. Coca-Cola flavour variants remain blocked by a genuine data gap, re-confirmed by a second independent audit this period, not a modelling limitation. And a real user-reported quality issue — Sprite cans going undetected or classified at very low confidence — was traced to a 9-to-1 imbalance between bottle and can training examples for that brand and corrected by mining real, previously unused historical data rather than commissioning new photography, which is the kind of fix this report treats as the more interesting result: not that a bug existed, but that the data pipeline built during this engagement made it diagnosable and fixable within one working session.</w:t>
      </w:r>
    </w:p>
    <w:p>
      <w:r>
        <w:br w:type="page"/>
      </w:r>
    </w:p>
    <w:p>
      <w:pPr>
        <w:keepNext/>
        <w:spacing w:before="360" w:after="140"/>
        <w:jc w:val="left"/>
      </w:pPr>
      <w:r>
        <w:rPr>
          <w:rFonts w:ascii="Times New Roman" w:hAnsi="Times New Roman" w:cs="Times New Roman"/>
          <w:b/>
          <w:bCs w:val="1"/>
          <w:i w:val="0"/>
          <w:color w:val="1A3A5C"/>
          <w:sz w:val="28"/>
          <w:szCs w:val="28"/>
        </w:rPr>
        <w:t>1. The Business Problem</w:t>
      </w:r>
    </w:p>
    <w:p>
      <w:pPr>
        <w:keepNext w:val="0"/>
        <w:spacing w:after="160" w:before="0" w:line="348" w:lineRule="auto"/>
        <w:jc w:val="both"/>
      </w:pPr>
      <w:r>
        <w:rPr>
          <w:rFonts w:ascii="Times New Roman" w:hAnsi="Times New Roman" w:cs="Times New Roman"/>
          <w:b w:val="0"/>
          <w:i w:val="0"/>
          <w:color w:val="111111"/>
          <w:sz w:val="23"/>
          <w:szCs w:val="23"/>
        </w:rPr>
        <w:t>A retail brand's on-shelf presence — how many units are stocked, how they are arranged, and what share of a shelf each competitor occupies — is commercial information manufacturers and retailers pay to know, and today that information is gathered by a person walking the aisle with a clipboard or a phone. Manual audits are slow, expensive to scale across many stores, and only as consistent as the person performing them. The commercial opportunity is converting an ordinary shelf photograph into structured, trustworthy inventory data automatically, at the volume and speed manual auditing cannot reach.</w:t>
      </w:r>
    </w:p>
    <w:p>
      <w:pPr>
        <w:keepNext w:val="0"/>
        <w:spacing w:after="160" w:before="0" w:line="348" w:lineRule="auto"/>
        <w:jc w:val="both"/>
      </w:pPr>
      <w:r>
        <w:rPr>
          <w:rFonts w:ascii="Times New Roman" w:hAnsi="Times New Roman" w:cs="Times New Roman"/>
          <w:b w:val="0"/>
          <w:i w:val="0"/>
          <w:color w:val="111111"/>
          <w:sz w:val="23"/>
          <w:szCs w:val="23"/>
        </w:rPr>
        <w:t>The technical challenge is that this is not one problem but two, asked of every object in the photograph at once: where is it (localisation), and what is it (identity). A system that answers both questions with a single monolithic model inherits a serious liability — it must be retrained on the whole catalogue every time one product changes — that determines whether the system can keep pace with a retail catalogue that never stops changing. Section 2 describes the architecture built to avoid that liability; Section 3 measures whether it actually delivers the intended benefit.</w:t>
      </w:r>
    </w:p>
    <w:p>
      <w:pPr>
        <w:keepNext/>
        <w:spacing w:before="360" w:after="140"/>
        <w:jc w:val="left"/>
      </w:pPr>
      <w:r>
        <w:rPr>
          <w:rFonts w:ascii="Times New Roman" w:hAnsi="Times New Roman" w:cs="Times New Roman"/>
          <w:b/>
          <w:bCs w:val="1"/>
          <w:i w:val="0"/>
          <w:color w:val="1A3A5C"/>
          <w:sz w:val="28"/>
          <w:szCs w:val="28"/>
        </w:rPr>
        <w:t>2. What Was Built: The Architecture</w:t>
      </w:r>
    </w:p>
    <w:p>
      <w:pPr>
        <w:keepNext w:val="0"/>
        <w:spacing w:after="160" w:before="0" w:line="348" w:lineRule="auto"/>
        <w:jc w:val="both"/>
      </w:pPr>
      <w:r>
        <w:rPr>
          <w:rFonts w:ascii="Times New Roman" w:hAnsi="Times New Roman" w:cs="Times New Roman"/>
          <w:b w:val="0"/>
          <w:i w:val="0"/>
          <w:color w:val="111111"/>
          <w:sz w:val="23"/>
          <w:szCs w:val="23"/>
        </w:rPr>
        <w:t>A single model that classifies each product directly by identity must be retrained every time a new stock-keeping unit (SKU) enters the catalogue — expensive in annotation effort and compute, and risking regressions on products that were previously working. It also suffers statistically: a fixed pool of training images split across many brand classes starves the rarer classes, which is exactly the low-recall failure mode observed in this project's own early data (Section 3.1).</w:t>
      </w:r>
    </w:p>
    <w:p>
      <w:pPr>
        <w:keepNext w:val="0"/>
        <w:spacing w:after="160" w:before="0" w:line="348" w:lineRule="auto"/>
        <w:jc w:val="both"/>
      </w:pPr>
      <w:r>
        <w:rPr>
          <w:rFonts w:ascii="Times New Roman" w:hAnsi="Times New Roman" w:cs="Times New Roman"/>
          <w:b w:val="0"/>
          <w:i w:val="0"/>
          <w:color w:val="111111"/>
          <w:sz w:val="23"/>
          <w:szCs w:val="23"/>
        </w:rPr>
        <w:t>The system built during this engagement separates the volatile part of the problem (product identity, which changes constantly) from the stable part (object presence, which does not), and narrows the decision space one stage at a time:</w:t>
      </w:r>
    </w:p>
    <w:p>
      <w:pPr>
        <w:keepNext w:val="0"/>
        <w:spacing w:after="120" w:before="0" w:line="348" w:lineRule="auto"/>
        <w:jc w:val="both"/>
      </w:pPr>
      <w:r>
        <w:rPr>
          <w:rFonts w:ascii="Times New Roman" w:hAnsi="Times New Roman" w:cs="Times New Roman"/>
          <w:b w:val="0"/>
          <w:i w:val="0"/>
          <w:color w:val="111111"/>
          <w:sz w:val="23"/>
          <w:szCs w:val="23"/>
        </w:rPr>
        <w:t>Stage 1 — Detection. A class-agnostic detector locates every product on the shelf under a single generic "product" class, regardless of brand. It never needs retraining when a new SKU appears, because it holds no knowledge of identity to begin with.</w:t>
      </w:r>
    </w:p>
    <w:p>
      <w:pPr>
        <w:keepNext w:val="0"/>
        <w:spacing w:after="120" w:before="0" w:line="348" w:lineRule="auto"/>
        <w:jc w:val="both"/>
      </w:pPr>
      <w:r>
        <w:rPr>
          <w:rFonts w:ascii="Times New Roman" w:hAnsi="Times New Roman" w:cs="Times New Roman"/>
          <w:b w:val="0"/>
          <w:i w:val="0"/>
          <w:color w:val="111111"/>
          <w:sz w:val="23"/>
          <w:szCs w:val="23"/>
        </w:rPr>
        <w:t>Stage 2 — Brand classification. Each detected region is cropped and classified by manufacturer brand. This layer is small and stable, since the set of brands in a market changes far more slowly than the set of products.</w:t>
      </w:r>
    </w:p>
    <w:p>
      <w:pPr>
        <w:keepNext w:val="0"/>
        <w:spacing w:after="120" w:before="0" w:line="348" w:lineRule="auto"/>
        <w:jc w:val="both"/>
      </w:pPr>
      <w:r>
        <w:rPr>
          <w:rFonts w:ascii="Times New Roman" w:hAnsi="Times New Roman" w:cs="Times New Roman"/>
          <w:b w:val="0"/>
          <w:i w:val="0"/>
          <w:color w:val="111111"/>
          <w:sz w:val="23"/>
          <w:szCs w:val="23"/>
        </w:rPr>
        <w:t>Stage 3 — Variant classification, gated. When Stage 2 identifies a brand that has its own variant classifier, a routing step invokes that one classifier only — not every variant classifier on every crop. Two brands are wired this way today: Fanta (flavour) and XL Energy (flavour/format). A merge step then selects the variant label when one was produced, and passes the plain brand through unchanged otherwise.</w:t>
      </w:r>
    </w:p>
    <w:p>
      <w:pPr>
        <w:keepNext w:val="0"/>
        <w:spacing w:after="120" w:before="0" w:line="348" w:lineRule="auto"/>
        <w:jc w:val="both"/>
      </w:pPr>
      <w:r>
        <w:rPr>
          <w:rFonts w:ascii="Times New Roman" w:hAnsi="Times New Roman" w:cs="Times New Roman"/>
          <w:b w:val="0"/>
          <w:i w:val="0"/>
          <w:color w:val="111111"/>
          <w:sz w:val="23"/>
          <w:szCs w:val="23"/>
        </w:rPr>
        <w:t>Stage 4 — Packaging material, unconditional. A brand-independent classifier (can / plastic / glass) runs on every crop regardless of brand, since packaging material does not depend on which brand a product belongs to. Trained and live this period; not yet fused into the reported label, only exposed as a separate field (Section 3.4).</w:t>
      </w:r>
    </w:p>
    <w:p>
      <w:pPr>
        <w:keepNext w:val="0"/>
        <w:spacing w:after="160" w:before="0" w:line="348" w:lineRule="auto"/>
        <w:jc w:val="both"/>
      </w:pPr>
      <w:r>
        <w:rPr>
          <w:rFonts w:ascii="Times New Roman" w:hAnsi="Times New Roman" w:cs="Times New Roman"/>
          <w:b w:val="0"/>
          <w:i w:val="0"/>
          <w:color w:val="111111"/>
          <w:sz w:val="23"/>
          <w:szCs w:val="23"/>
        </w:rPr>
        <w:t>This is implemented as a live, hierarchical Roboflow Workflow, not a proposal. The gating in Stage 3 is the architectural change measured in Section 3.5: it is what keeps the number of classifier calls from scaling with the number of variant classifiers deployed, which matters increasingly as more brands get their own flavour classifier.</w:t>
      </w:r>
    </w:p>
    <w:p>
      <w:pPr>
        <w:keepNext/>
        <w:spacing w:before="360" w:after="140"/>
        <w:jc w:val="left"/>
      </w:pPr>
      <w:r>
        <w:rPr>
          <w:rFonts w:ascii="Times New Roman" w:hAnsi="Times New Roman" w:cs="Times New Roman"/>
          <w:b/>
          <w:bCs w:val="1"/>
          <w:i w:val="0"/>
          <w:color w:val="1A3A5C"/>
          <w:sz w:val="28"/>
          <w:szCs w:val="28"/>
        </w:rPr>
        <w:t>3. Evidence: Does It Work?</w:t>
      </w:r>
    </w:p>
    <w:p>
      <w:pPr>
        <w:keepNext/>
        <w:spacing w:before="240" w:after="140"/>
        <w:jc w:val="left"/>
      </w:pPr>
      <w:r>
        <w:rPr>
          <w:rFonts w:ascii="Times New Roman" w:hAnsi="Times New Roman" w:cs="Times New Roman"/>
          <w:b/>
          <w:bCs w:val="1"/>
          <w:i w:val="0"/>
          <w:color w:val="1A3A5C"/>
          <w:sz w:val="24"/>
          <w:szCs w:val="24"/>
        </w:rPr>
        <w:t>3.1 Detector accuracy: architecture change, measured</w:t>
      </w:r>
    </w:p>
    <w:p>
      <w:pPr>
        <w:keepNext w:val="0"/>
        <w:spacing w:after="160" w:before="0" w:line="348" w:lineRule="auto"/>
        <w:jc w:val="both"/>
      </w:pPr>
      <w:r>
        <w:rPr>
          <w:rFonts w:ascii="Times New Roman" w:hAnsi="Times New Roman" w:cs="Times New Roman"/>
          <w:b w:val="0"/>
          <w:i w:val="0"/>
          <w:color w:val="111111"/>
          <w:sz w:val="23"/>
          <w:szCs w:val="23"/>
        </w:rPr>
        <w:t>The original brand-classed detector and the current class-agnostic detector were compared at their most mature, most fairly matched versions — both trained on the same model architecture (RF-DETR-large) — rather than against an early, undertrained snapshot of either.</w:t>
      </w:r>
    </w:p>
    <w:p>
      <w:pPr>
        <w:keepNext/>
        <w:spacing w:before="240" w:after="100"/>
        <w:jc w:val="center"/>
      </w:pPr>
      <w:r>
        <w:rPr>
          <w:rFonts w:ascii="Times New Roman" w:hAnsi="Times New Roman" w:cs="Times New Roman"/>
          <w:b/>
          <w:bCs w:val="1"/>
          <w:i w:val="0"/>
          <w:color w:val="555555"/>
          <w:sz w:val="19"/>
          <w:szCs w:val="19"/>
        </w:rPr>
        <w:t xml:space="preserve">Table 1. </w:t>
      </w:r>
      <w:r>
        <w:rPr>
          <w:rFonts w:ascii="Times New Roman" w:hAnsi="Times New Roman" w:cs="Times New Roman"/>
          <w:b w:val="0"/>
          <w:i/>
          <w:iCs w:val="1"/>
          <w:color w:val="555555"/>
          <w:sz w:val="19"/>
          <w:szCs w:val="19"/>
        </w:rPr>
        <w:t>Detector accuracy, original brand-classed architecture versus the current class-agnostic architecture, both on the RF-DETR-large model.</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Measure</w:t>
            </w:r>
          </w:p>
        </w:tc>
        <w:tc>
          <w:tcPr>
            <w:tcW w:type="dxa" w:w="2986"/>
          </w:tcPr>
          <w:p>
            <w:pPr>
              <w:spacing w:before="60" w:after="60"/>
              <w:jc w:val="left"/>
            </w:pPr>
            <w:r/>
            <w:r>
              <w:rPr>
                <w:rFonts w:ascii="Times New Roman" w:hAnsi="Times New Roman" w:cs="Times New Roman"/>
                <w:b/>
                <w:bCs w:val="1"/>
                <w:i w:val="0"/>
                <w:color w:val="111111"/>
                <w:sz w:val="20"/>
                <w:szCs w:val="20"/>
              </w:rPr>
              <w:t>Original (brand-classed, 6 classes)</w:t>
            </w:r>
          </w:p>
        </w:tc>
        <w:tc>
          <w:tcPr>
            <w:tcW w:type="dxa" w:w="2986"/>
          </w:tcPr>
          <w:p>
            <w:pPr>
              <w:spacing w:before="60" w:after="60"/>
              <w:jc w:val="left"/>
            </w:pPr>
            <w:r/>
            <w:r>
              <w:rPr>
                <w:rFonts w:ascii="Times New Roman" w:hAnsi="Times New Roman" w:cs="Times New Roman"/>
                <w:b/>
                <w:bCs w:val="1"/>
                <w:i w:val="0"/>
                <w:color w:val="111111"/>
                <w:sz w:val="20"/>
                <w:szCs w:val="20"/>
              </w:rPr>
              <w:t>Current (class-agnostic)</w:t>
            </w:r>
          </w:p>
        </w:tc>
      </w:tr>
      <w:tr>
        <w:tc>
          <w:tcPr>
            <w:tcW w:type="dxa" w:w="2986"/>
          </w:tcPr>
          <w:p>
            <w:pPr>
              <w:spacing w:before="60" w:after="60"/>
              <w:jc w:val="left"/>
            </w:pPr>
            <w:r/>
            <w:r>
              <w:rPr>
                <w:rFonts w:ascii="Times New Roman" w:hAnsi="Times New Roman" w:cs="Times New Roman"/>
                <w:b w:val="0"/>
                <w:i w:val="0"/>
                <w:color w:val="111111"/>
                <w:sz w:val="20"/>
                <w:szCs w:val="20"/>
              </w:rPr>
              <w:t>Training images</w:t>
            </w:r>
          </w:p>
        </w:tc>
        <w:tc>
          <w:tcPr>
            <w:tcW w:type="dxa" w:w="2986"/>
          </w:tcPr>
          <w:p>
            <w:pPr>
              <w:spacing w:before="60" w:after="60"/>
              <w:jc w:val="left"/>
            </w:pPr>
            <w:r/>
            <w:r>
              <w:rPr>
                <w:rFonts w:ascii="Times New Roman" w:hAnsi="Times New Roman" w:cs="Times New Roman"/>
                <w:b w:val="0"/>
                <w:i w:val="0"/>
                <w:color w:val="111111"/>
                <w:sz w:val="20"/>
                <w:szCs w:val="20"/>
              </w:rPr>
              <w:t>1,191</w:t>
            </w:r>
          </w:p>
        </w:tc>
        <w:tc>
          <w:tcPr>
            <w:tcW w:type="dxa" w:w="2986"/>
          </w:tcPr>
          <w:p>
            <w:pPr>
              <w:spacing w:before="60" w:after="60"/>
              <w:jc w:val="left"/>
            </w:pPr>
            <w:r/>
            <w:r>
              <w:rPr>
                <w:rFonts w:ascii="Times New Roman" w:hAnsi="Times New Roman" w:cs="Times New Roman"/>
                <w:b w:val="0"/>
                <w:i w:val="0"/>
                <w:color w:val="111111"/>
                <w:sz w:val="20"/>
                <w:szCs w:val="20"/>
              </w:rPr>
              <w:t>384</w:t>
            </w:r>
          </w:p>
        </w:tc>
      </w:tr>
      <w:tr>
        <w:tc>
          <w:tcPr>
            <w:tcW w:type="dxa" w:w="2986"/>
          </w:tcPr>
          <w:p>
            <w:pPr>
              <w:spacing w:before="60" w:after="60"/>
              <w:jc w:val="left"/>
            </w:pPr>
            <w:r/>
            <w:r>
              <w:rPr>
                <w:rFonts w:ascii="Times New Roman" w:hAnsi="Times New Roman" w:cs="Times New Roman"/>
                <w:b w:val="0"/>
                <w:i w:val="0"/>
                <w:color w:val="111111"/>
                <w:sz w:val="20"/>
                <w:szCs w:val="20"/>
              </w:rPr>
              <w:t>mAP50</w:t>
            </w:r>
          </w:p>
        </w:tc>
        <w:tc>
          <w:tcPr>
            <w:tcW w:type="dxa" w:w="2986"/>
          </w:tcPr>
          <w:p>
            <w:pPr>
              <w:spacing w:before="60" w:after="60"/>
              <w:jc w:val="left"/>
            </w:pPr>
            <w:r/>
            <w:r>
              <w:rPr>
                <w:rFonts w:ascii="Times New Roman" w:hAnsi="Times New Roman" w:cs="Times New Roman"/>
                <w:b w:val="0"/>
                <w:i w:val="0"/>
                <w:color w:val="111111"/>
                <w:sz w:val="20"/>
                <w:szCs w:val="20"/>
              </w:rPr>
              <w:t>86.92%</w:t>
            </w:r>
          </w:p>
        </w:tc>
        <w:tc>
          <w:tcPr>
            <w:tcW w:type="dxa" w:w="2986"/>
          </w:tcPr>
          <w:p>
            <w:pPr>
              <w:spacing w:before="60" w:after="60"/>
              <w:jc w:val="left"/>
            </w:pPr>
            <w:r/>
            <w:r>
              <w:rPr>
                <w:rFonts w:ascii="Times New Roman" w:hAnsi="Times New Roman" w:cs="Times New Roman"/>
                <w:b w:val="0"/>
                <w:i w:val="0"/>
                <w:color w:val="111111"/>
                <w:sz w:val="20"/>
                <w:szCs w:val="20"/>
              </w:rPr>
              <w:t>89.3%</w:t>
            </w:r>
          </w:p>
        </w:tc>
      </w:tr>
      <w:tr>
        <w:tc>
          <w:tcPr>
            <w:tcW w:type="dxa" w:w="2986"/>
          </w:tcPr>
          <w:p>
            <w:pPr>
              <w:spacing w:before="60" w:after="60"/>
              <w:jc w:val="left"/>
            </w:pPr>
            <w:r/>
            <w:r>
              <w:rPr>
                <w:rFonts w:ascii="Times New Roman" w:hAnsi="Times New Roman" w:cs="Times New Roman"/>
                <w:b w:val="0"/>
                <w:i w:val="0"/>
                <w:color w:val="111111"/>
                <w:sz w:val="20"/>
                <w:szCs w:val="20"/>
              </w:rPr>
              <w:t>Precision</w:t>
            </w:r>
          </w:p>
        </w:tc>
        <w:tc>
          <w:tcPr>
            <w:tcW w:type="dxa" w:w="2986"/>
          </w:tcPr>
          <w:p>
            <w:pPr>
              <w:spacing w:before="60" w:after="60"/>
              <w:jc w:val="left"/>
            </w:pPr>
            <w:r/>
            <w:r>
              <w:rPr>
                <w:rFonts w:ascii="Times New Roman" w:hAnsi="Times New Roman" w:cs="Times New Roman"/>
                <w:b w:val="0"/>
                <w:i w:val="0"/>
                <w:color w:val="111111"/>
                <w:sz w:val="20"/>
                <w:szCs w:val="20"/>
              </w:rPr>
              <w:t>82.7%</w:t>
            </w:r>
          </w:p>
        </w:tc>
        <w:tc>
          <w:tcPr>
            <w:tcW w:type="dxa" w:w="2986"/>
          </w:tcPr>
          <w:p>
            <w:pPr>
              <w:spacing w:before="60" w:after="60"/>
              <w:jc w:val="left"/>
            </w:pPr>
            <w:r/>
            <w:r>
              <w:rPr>
                <w:rFonts w:ascii="Times New Roman" w:hAnsi="Times New Roman" w:cs="Times New Roman"/>
                <w:b w:val="0"/>
                <w:i w:val="0"/>
                <w:color w:val="111111"/>
                <w:sz w:val="20"/>
                <w:szCs w:val="20"/>
              </w:rPr>
              <w:t>90.5%</w:t>
            </w:r>
          </w:p>
        </w:tc>
      </w:tr>
      <w:tr>
        <w:tc>
          <w:tcPr>
            <w:tcW w:type="dxa" w:w="2986"/>
          </w:tcPr>
          <w:p>
            <w:pPr>
              <w:spacing w:before="60" w:after="60"/>
              <w:jc w:val="left"/>
            </w:pPr>
            <w:r/>
            <w:r>
              <w:rPr>
                <w:rFonts w:ascii="Times New Roman" w:hAnsi="Times New Roman" w:cs="Times New Roman"/>
                <w:b w:val="0"/>
                <w:i w:val="0"/>
                <w:color w:val="111111"/>
                <w:sz w:val="20"/>
                <w:szCs w:val="20"/>
              </w:rPr>
              <w:t>Recall</w:t>
            </w:r>
          </w:p>
        </w:tc>
        <w:tc>
          <w:tcPr>
            <w:tcW w:type="dxa" w:w="2986"/>
          </w:tcPr>
          <w:p>
            <w:pPr>
              <w:spacing w:before="60" w:after="60"/>
              <w:jc w:val="left"/>
            </w:pPr>
            <w:r/>
            <w:r>
              <w:rPr>
                <w:rFonts w:ascii="Times New Roman" w:hAnsi="Times New Roman" w:cs="Times New Roman"/>
                <w:b w:val="0"/>
                <w:i w:val="0"/>
                <w:color w:val="111111"/>
                <w:sz w:val="20"/>
                <w:szCs w:val="20"/>
              </w:rPr>
              <w:t>85.8%</w:t>
            </w:r>
          </w:p>
        </w:tc>
        <w:tc>
          <w:tcPr>
            <w:tcW w:type="dxa" w:w="2986"/>
          </w:tcPr>
          <w:p>
            <w:pPr>
              <w:spacing w:before="60" w:after="60"/>
              <w:jc w:val="left"/>
            </w:pPr>
            <w:r/>
            <w:r>
              <w:rPr>
                <w:rFonts w:ascii="Times New Roman" w:hAnsi="Times New Roman" w:cs="Times New Roman"/>
                <w:b w:val="0"/>
                <w:i w:val="0"/>
                <w:color w:val="111111"/>
                <w:sz w:val="20"/>
                <w:szCs w:val="20"/>
              </w:rPr>
              <w:t>81.1%</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The current architecture reaches higher precision and overall accuracy using roughly a third of the training images the original approach needed — a genuine data-efficiency result, not merely a design argument. Recall is slightly lower, and the honest explanation is a data-migration gap rather than an architectural weakness: the class-agnostic project currently holds only 226 raw images, while the original brand-classed project had grown to 1,191 annotated images by its most mature version. Roughly 800 already-labelled images have not yet been carried over. Migrating them is inexpensive — a programmatic relabel to a single "product" class, not new annotation work — and remains the highest-value near-term action identified in this report (Section 8).</w:t>
      </w:r>
    </w:p>
    <w:p>
      <w:pPr>
        <w:keepNext/>
        <w:spacing w:before="240" w:after="140"/>
        <w:jc w:val="left"/>
      </w:pPr>
      <w:r>
        <w:rPr>
          <w:rFonts w:ascii="Times New Roman" w:hAnsi="Times New Roman" w:cs="Times New Roman"/>
          <w:b/>
          <w:bCs w:val="1"/>
          <w:i w:val="0"/>
          <w:color w:val="1A3A5C"/>
          <w:sz w:val="24"/>
          <w:szCs w:val="24"/>
        </w:rPr>
        <w:t>3.2 Classifier accuracy: root cause identified, fix known</w:t>
      </w:r>
    </w:p>
    <w:p>
      <w:pPr>
        <w:keepNext w:val="0"/>
        <w:spacing w:after="160" w:before="0" w:line="348" w:lineRule="auto"/>
        <w:jc w:val="both"/>
      </w:pPr>
      <w:r>
        <w:rPr>
          <w:rFonts w:ascii="Times New Roman" w:hAnsi="Times New Roman" w:cs="Times New Roman"/>
          <w:b w:val="0"/>
          <w:i w:val="0"/>
          <w:color w:val="111111"/>
          <w:sz w:val="23"/>
          <w:szCs w:val="23"/>
        </w:rPr>
        <w:t>Every classifier in the current stack — brand, Fanta flavour, XL Energy flavour, packaging material — is trained and serving live traffic, but none has a formally recorded accuracy evaluation. This was investigated properly this period rather than left as an open question: the training platform's automatic model-evaluation step, which is what populates accuracy metrics for a classifier, is a paid-plan feature that runs automatically at training time and has no manual trigger to run afterward. Every classifier trained so far predates that entitlement, so none were evaluated when they were trained. This is a plan-tier gap, not a missing engineering step, and it affects all four classifiers identically, not one in isolation. No classifier accuracy figure is claimed anywhere in this report that has not actually been measured; closing this is the first item in Section 8.</w:t>
      </w:r>
    </w:p>
    <w:p>
      <w:pPr>
        <w:keepNext w:val="0"/>
        <w:spacing w:after="160" w:before="0" w:line="348" w:lineRule="auto"/>
        <w:jc w:val="both"/>
      </w:pPr>
      <w:r>
        <w:rPr>
          <w:rFonts w:ascii="Times New Roman" w:hAnsi="Times New Roman" w:cs="Times New Roman"/>
          <w:b w:val="0"/>
          <w:i w:val="0"/>
          <w:color w:val="111111"/>
          <w:sz w:val="23"/>
          <w:szCs w:val="23"/>
        </w:rPr>
        <w:t>A separate classifier, for Coca-Cola flavour variants, was built and re-examined this period specifically because the question was asked again: is there real variant diversity in the data, or was the earlier finding premature? A second, independent visual audit — sorting all 301 available Coca-Cola crops by dominant colour, the strongest available signal for this distinction (classic is red, Zero is black, Diet/Light is silver) — found the same result as before: about 95% classic, zero confirmed Zero examples, and the one plausible silver cluster turned out on direct inspection to be glare on ordinary red bottles, not real cans. The conclusion is unchanged, but it is now independently re-verified rather than resting on a single earlier pass: this is a photography gap, not a labelling or modelling one.</w:t>
      </w:r>
    </w:p>
    <w:p>
      <w:pPr>
        <w:keepNext/>
        <w:spacing w:before="240" w:after="140"/>
        <w:jc w:val="left"/>
      </w:pPr>
      <w:r>
        <w:rPr>
          <w:rFonts w:ascii="Times New Roman" w:hAnsi="Times New Roman" w:cs="Times New Roman"/>
          <w:b/>
          <w:bCs w:val="1"/>
          <w:i w:val="0"/>
          <w:color w:val="1A3A5C"/>
          <w:sz w:val="24"/>
          <w:szCs w:val="24"/>
        </w:rPr>
        <w:t>3.3 Sprite-can detection: a real user-reported bug, root-caused and fixed</w:t>
      </w:r>
    </w:p>
    <w:p>
      <w:pPr>
        <w:keepNext w:val="0"/>
        <w:spacing w:after="160" w:before="0" w:line="348" w:lineRule="auto"/>
        <w:jc w:val="both"/>
      </w:pPr>
      <w:r>
        <w:rPr>
          <w:rFonts w:ascii="Times New Roman" w:hAnsi="Times New Roman" w:cs="Times New Roman"/>
          <w:b w:val="0"/>
          <w:i w:val="0"/>
          <w:color w:val="111111"/>
          <w:sz w:val="23"/>
          <w:szCs w:val="23"/>
        </w:rPr>
        <w:t>A field user reported, with real production screenshots, that Sprite cans specifically were sometimes missed entirely and sometimes classified at confidence as low as 20%, and that this had been happening for at least several days rather than being new. This is the kind of failure that only shows up against real, uncontrolled field data — training-time metrics for the classifier gave no indication of it.</w:t>
      </w:r>
    </w:p>
    <w:p>
      <w:pPr>
        <w:keepNext w:val="0"/>
        <w:spacing w:after="160" w:before="0" w:line="348" w:lineRule="auto"/>
        <w:jc w:val="both"/>
      </w:pPr>
      <w:r>
        <w:rPr>
          <w:rFonts w:ascii="Times New Roman" w:hAnsi="Times New Roman" w:cs="Times New Roman"/>
          <w:b w:val="0"/>
          <w:i w:val="0"/>
          <w:color w:val="111111"/>
          <w:sz w:val="23"/>
          <w:szCs w:val="23"/>
        </w:rPr>
        <w:t>The cause was found by the same visual-audit method used elsewhere in this engagement: sorting a sample of the brand classifier's Sprite training images by aspect ratio. Only about 10% were genuine cans; the rest were bottles. The classifier's internal notion of "Sprite" was effectively bottle-shaped, which explains both symptoms the user reported. Rather than commission new can photography, the fix mined 77 real Sprite-can crops out of an older, richer dataset from the original brand-classed detector — never migrated into the classifier project — matching, rescaling, and re-cropping them at their correct coordinates before adding them to the training set. This nearly tripled the class's can representation (from roughly 10% to roughly 23% of Sprite images) without a single new photograph. The retrained classifier is live and was re-verified against a real test photograph before being considered complete.</w:t>
      </w:r>
    </w:p>
    <w:p>
      <w:pPr>
        <w:keepNext w:val="0"/>
        <w:spacing w:after="160" w:before="0" w:line="348" w:lineRule="auto"/>
        <w:jc w:val="both"/>
      </w:pPr>
      <w:r>
        <w:rPr>
          <w:rFonts w:ascii="Times New Roman" w:hAnsi="Times New Roman" w:cs="Times New Roman"/>
          <w:b w:val="0"/>
          <w:i w:val="0"/>
          <w:color w:val="111111"/>
          <w:sz w:val="23"/>
          <w:szCs w:val="23"/>
        </w:rPr>
        <w:t>This is included as the clearest evidence in this report that fixing a real production issue does not always mean gathering new data: it can mean finding data that already exists but was never connected to where it was needed.</w:t>
      </w:r>
    </w:p>
    <w:p>
      <w:pPr>
        <w:keepNext/>
        <w:spacing w:before="240" w:after="140"/>
        <w:jc w:val="left"/>
      </w:pPr>
      <w:r>
        <w:rPr>
          <w:rFonts w:ascii="Times New Roman" w:hAnsi="Times New Roman" w:cs="Times New Roman"/>
          <w:b/>
          <w:bCs w:val="1"/>
          <w:i w:val="0"/>
          <w:color w:val="1A3A5C"/>
          <w:sz w:val="24"/>
          <w:szCs w:val="24"/>
        </w:rPr>
        <w:t>3.4 Packaging-material classifier: trained and live</w:t>
      </w:r>
    </w:p>
    <w:p>
      <w:pPr>
        <w:keepNext w:val="0"/>
        <w:spacing w:after="160" w:before="0" w:line="348" w:lineRule="auto"/>
        <w:jc w:val="both"/>
      </w:pPr>
      <w:r>
        <w:rPr>
          <w:rFonts w:ascii="Times New Roman" w:hAnsi="Times New Roman" w:cs="Times New Roman"/>
          <w:b w:val="0"/>
          <w:i w:val="0"/>
          <w:color w:val="111111"/>
          <w:sz w:val="23"/>
          <w:szCs w:val="23"/>
        </w:rPr>
        <w:t>The packaging-material signal (can, plastic, or glass), reported last time as an in-progress experiment, is now trained and wired into the live pipeline as an unconditional, brand-independent branch, since packaging material does not depend on brand. A full visual audit of the available brand-classifier crops found only two genuine glass examples across the entire corpus — far too few to train a reliable glass class — so the classifier was scoped to a two-class plastic-versus-can problem with a workable, balanced split (844 plastic, 737 can in the final trained dataset; 22 pre-existing glass-labelled images were preserved separately rather than forced into either class). Verified live against a real shelf photograph, the packaging predictions plausibly match the actual product mix on the shelf. The signal is exposed as its own field in the pipeline output; it is not yet fused into a single reported label, which is the next integration step (Section 8).</w:t>
      </w:r>
    </w:p>
    <w:p>
      <w:pPr>
        <w:keepNext/>
        <w:spacing w:before="240" w:after="140"/>
        <w:jc w:val="left"/>
      </w:pPr>
      <w:r>
        <w:rPr>
          <w:rFonts w:ascii="Times New Roman" w:hAnsi="Times New Roman" w:cs="Times New Roman"/>
          <w:b/>
          <w:bCs w:val="1"/>
          <w:i w:val="0"/>
          <w:color w:val="1A3A5C"/>
          <w:sz w:val="24"/>
          <w:szCs w:val="24"/>
        </w:rPr>
        <w:t>3.5 Complexity: what the routing change actually bought</w:t>
      </w:r>
    </w:p>
    <w:p>
      <w:pPr>
        <w:keepNext w:val="0"/>
        <w:spacing w:after="160" w:before="0" w:line="348" w:lineRule="auto"/>
        <w:jc w:val="both"/>
      </w:pPr>
      <w:r>
        <w:rPr>
          <w:rFonts w:ascii="Times New Roman" w:hAnsi="Times New Roman" w:cs="Times New Roman"/>
          <w:b w:val="0"/>
          <w:i w:val="0"/>
          <w:color w:val="111111"/>
          <w:sz w:val="23"/>
          <w:szCs w:val="23"/>
        </w:rPr>
        <w:t>Before this period, every classifier that could apply to a brand ran on every crop of that brand, unconditionally — a photograph with N detected products and K brand-specific variant classifiers issued up to N×K classifier calls, growing in both dimensions at once. This was measured directly, not assumed: on a real 60-crop test photograph, the Fanta flavour classifier ran on all 60 crops even though only 12 were actually Fanta.</w:t>
      </w:r>
    </w:p>
    <w:p>
      <w:pPr>
        <w:keepNext w:val="0"/>
        <w:spacing w:after="160" w:before="0" w:line="348" w:lineRule="auto"/>
        <w:jc w:val="both"/>
      </w:pPr>
      <w:r>
        <w:rPr>
          <w:rFonts w:ascii="Times New Roman" w:hAnsi="Times New Roman" w:cs="Times New Roman"/>
          <w:b w:val="0"/>
          <w:i w:val="0"/>
          <w:color w:val="111111"/>
          <w:sz w:val="23"/>
          <w:szCs w:val="23"/>
        </w:rPr>
        <w:t>Gating each variant classifier behind a routing step, so it only executes for crops the brand classifier has already identified as belonging to it, changes the call count to grow with N alone — independent of K, the number of variant classifiers deployed. On the same 60-crop test photograph under identical conditions, this measured a 65% reduction in wall-clock classification time (40.3s to 14.2s) with byte-identical output to the unconditional baseline. The result was not a one-off: the same routing pattern was applied a second time this period to add the XL Energy classifier alongside Fanta, and the gain holds with two variant classifiers active rather than one. Every further brand-variant classifier added to the pipeline is now expected to cost roughly the same fixed overhead rather than adding to every other classifier's workload.</w:t>
      </w:r>
    </w:p>
    <w:p>
      <w:pPr>
        <w:keepNext/>
        <w:spacing w:before="360" w:after="140"/>
        <w:jc w:val="left"/>
      </w:pPr>
      <w:r>
        <w:rPr>
          <w:rFonts w:ascii="Times New Roman" w:hAnsi="Times New Roman" w:cs="Times New Roman"/>
          <w:b/>
          <w:bCs w:val="1"/>
          <w:i w:val="0"/>
          <w:color w:val="1A3A5C"/>
          <w:sz w:val="28"/>
          <w:szCs w:val="28"/>
        </w:rPr>
        <w:t>4. Economics: The Cost to Scale</w:t>
      </w:r>
    </w:p>
    <w:p>
      <w:pPr>
        <w:keepNext w:val="0"/>
        <w:spacing w:after="160" w:before="0" w:line="348" w:lineRule="auto"/>
        <w:jc w:val="both"/>
      </w:pPr>
      <w:r>
        <w:rPr>
          <w:rFonts w:ascii="Times New Roman" w:hAnsi="Times New Roman" w:cs="Times New Roman"/>
          <w:b w:val="0"/>
          <w:i w:val="0"/>
          <w:color w:val="111111"/>
          <w:sz w:val="23"/>
          <w:szCs w:val="23"/>
        </w:rPr>
        <w:t>The central commercial risk in any catalogue-driven product is that growth becomes expensive: every new SKU, every new market, every new customer could in principle demand new engineering. This architecture was specifically chosen to avoid that, and the claim is backed by this engagement's own measured costs, now covering five trained models rather than three.</w:t>
      </w:r>
    </w:p>
    <w:p>
      <w:pPr>
        <w:keepNext/>
        <w:spacing w:before="240" w:after="100"/>
        <w:jc w:val="center"/>
      </w:pPr>
      <w:r>
        <w:rPr>
          <w:rFonts w:ascii="Times New Roman" w:hAnsi="Times New Roman" w:cs="Times New Roman"/>
          <w:b/>
          <w:bCs w:val="1"/>
          <w:i w:val="0"/>
          <w:color w:val="555555"/>
          <w:sz w:val="19"/>
          <w:szCs w:val="19"/>
        </w:rPr>
        <w:t xml:space="preserve">Table 2. </w:t>
      </w:r>
      <w:r>
        <w:rPr>
          <w:rFonts w:ascii="Times New Roman" w:hAnsi="Times New Roman" w:cs="Times New Roman"/>
          <w:b w:val="0"/>
          <w:i/>
          <w:iCs w:val="1"/>
          <w:color w:val="555555"/>
          <w:sz w:val="19"/>
          <w:szCs w:val="19"/>
        </w:rPr>
        <w:t>Actual training cost of every model in the current production stack, at Roboflow's published rate of one credit per thirty minutes of GPU training.</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Model</w:t>
            </w:r>
          </w:p>
        </w:tc>
        <w:tc>
          <w:tcPr>
            <w:tcW w:type="dxa" w:w="2986"/>
          </w:tcPr>
          <w:p>
            <w:pPr>
              <w:spacing w:before="60" w:after="60"/>
              <w:jc w:val="left"/>
            </w:pPr>
            <w:r/>
            <w:r>
              <w:rPr>
                <w:rFonts w:ascii="Times New Roman" w:hAnsi="Times New Roman" w:cs="Times New Roman"/>
                <w:b/>
                <w:bCs w:val="1"/>
                <w:i w:val="0"/>
                <w:color w:val="111111"/>
                <w:sz w:val="20"/>
                <w:szCs w:val="20"/>
              </w:rPr>
              <w:t>Training time</w:t>
            </w:r>
          </w:p>
        </w:tc>
        <w:tc>
          <w:tcPr>
            <w:tcW w:type="dxa" w:w="2986"/>
          </w:tcPr>
          <w:p>
            <w:pPr>
              <w:spacing w:before="60" w:after="60"/>
              <w:jc w:val="left"/>
            </w:pPr>
            <w:r/>
            <w:r>
              <w:rPr>
                <w:rFonts w:ascii="Times New Roman" w:hAnsi="Times New Roman" w:cs="Times New Roman"/>
                <w:b/>
                <w:bCs w:val="1"/>
                <w:i w:val="0"/>
                <w:color w:val="111111"/>
                <w:sz w:val="20"/>
                <w:szCs w:val="20"/>
              </w:rPr>
              <w:t>Training credits</w:t>
            </w:r>
          </w:p>
        </w:tc>
      </w:tr>
      <w:tr>
        <w:tc>
          <w:tcPr>
            <w:tcW w:type="dxa" w:w="2986"/>
          </w:tcPr>
          <w:p>
            <w:pPr>
              <w:spacing w:before="60" w:after="60"/>
              <w:jc w:val="left"/>
            </w:pPr>
            <w:r/>
            <w:r>
              <w:rPr>
                <w:rFonts w:ascii="Times New Roman" w:hAnsi="Times New Roman" w:cs="Times New Roman"/>
                <w:b w:val="0"/>
                <w:i w:val="0"/>
                <w:color w:val="111111"/>
                <w:sz w:val="20"/>
                <w:szCs w:val="20"/>
              </w:rPr>
              <w:t>Original detector (first version)</w:t>
            </w:r>
          </w:p>
        </w:tc>
        <w:tc>
          <w:tcPr>
            <w:tcW w:type="dxa" w:w="2986"/>
          </w:tcPr>
          <w:p>
            <w:pPr>
              <w:spacing w:before="60" w:after="60"/>
              <w:jc w:val="left"/>
            </w:pPr>
            <w:r/>
            <w:r>
              <w:rPr>
                <w:rFonts w:ascii="Times New Roman" w:hAnsi="Times New Roman" w:cs="Times New Roman"/>
                <w:b w:val="0"/>
                <w:i w:val="0"/>
                <w:color w:val="111111"/>
                <w:sz w:val="20"/>
                <w:szCs w:val="20"/>
              </w:rPr>
              <w:t>11.2 min</w:t>
            </w:r>
          </w:p>
        </w:tc>
        <w:tc>
          <w:tcPr>
            <w:tcW w:type="dxa" w:w="2986"/>
          </w:tcPr>
          <w:p>
            <w:pPr>
              <w:spacing w:before="60" w:after="60"/>
              <w:jc w:val="left"/>
            </w:pPr>
            <w:r/>
            <w:r>
              <w:rPr>
                <w:rFonts w:ascii="Times New Roman" w:hAnsi="Times New Roman" w:cs="Times New Roman"/>
                <w:b w:val="0"/>
                <w:i w:val="0"/>
                <w:color w:val="111111"/>
                <w:sz w:val="20"/>
                <w:szCs w:val="20"/>
              </w:rPr>
              <w:t>0.37</w:t>
            </w:r>
          </w:p>
        </w:tc>
      </w:tr>
      <w:tr>
        <w:tc>
          <w:tcPr>
            <w:tcW w:type="dxa" w:w="2986"/>
          </w:tcPr>
          <w:p>
            <w:pPr>
              <w:spacing w:before="60" w:after="60"/>
              <w:jc w:val="left"/>
            </w:pPr>
            <w:r/>
            <w:r>
              <w:rPr>
                <w:rFonts w:ascii="Times New Roman" w:hAnsi="Times New Roman" w:cs="Times New Roman"/>
                <w:b w:val="0"/>
                <w:i w:val="0"/>
                <w:color w:val="111111"/>
                <w:sz w:val="20"/>
                <w:szCs w:val="20"/>
              </w:rPr>
              <w:t>Current production detector</w:t>
            </w:r>
          </w:p>
        </w:tc>
        <w:tc>
          <w:tcPr>
            <w:tcW w:type="dxa" w:w="2986"/>
          </w:tcPr>
          <w:p>
            <w:pPr>
              <w:spacing w:before="60" w:after="60"/>
              <w:jc w:val="left"/>
            </w:pPr>
            <w:r/>
            <w:r>
              <w:rPr>
                <w:rFonts w:ascii="Times New Roman" w:hAnsi="Times New Roman" w:cs="Times New Roman"/>
                <w:b w:val="0"/>
                <w:i w:val="0"/>
                <w:color w:val="111111"/>
                <w:sz w:val="20"/>
                <w:szCs w:val="20"/>
              </w:rPr>
              <w:t>44.2 min</w:t>
            </w:r>
          </w:p>
        </w:tc>
        <w:tc>
          <w:tcPr>
            <w:tcW w:type="dxa" w:w="2986"/>
          </w:tcPr>
          <w:p>
            <w:pPr>
              <w:spacing w:before="60" w:after="60"/>
              <w:jc w:val="left"/>
            </w:pPr>
            <w:r/>
            <w:r>
              <w:rPr>
                <w:rFonts w:ascii="Times New Roman" w:hAnsi="Times New Roman" w:cs="Times New Roman"/>
                <w:b w:val="0"/>
                <w:i w:val="0"/>
                <w:color w:val="111111"/>
                <w:sz w:val="20"/>
                <w:szCs w:val="20"/>
              </w:rPr>
              <w:t>1.48</w:t>
            </w:r>
          </w:p>
        </w:tc>
      </w:tr>
      <w:tr>
        <w:tc>
          <w:tcPr>
            <w:tcW w:type="dxa" w:w="2986"/>
          </w:tcPr>
          <w:p>
            <w:pPr>
              <w:spacing w:before="60" w:after="60"/>
              <w:jc w:val="left"/>
            </w:pPr>
            <w:r/>
            <w:r>
              <w:rPr>
                <w:rFonts w:ascii="Times New Roman" w:hAnsi="Times New Roman" w:cs="Times New Roman"/>
                <w:b w:val="0"/>
                <w:i w:val="0"/>
                <w:color w:val="111111"/>
                <w:sz w:val="20"/>
                <w:szCs w:val="20"/>
              </w:rPr>
              <w:t>Brand classifier (current version)</w:t>
            </w:r>
          </w:p>
        </w:tc>
        <w:tc>
          <w:tcPr>
            <w:tcW w:type="dxa" w:w="2986"/>
          </w:tcPr>
          <w:p>
            <w:pPr>
              <w:spacing w:before="60" w:after="60"/>
              <w:jc w:val="left"/>
            </w:pPr>
            <w:r/>
            <w:r>
              <w:rPr>
                <w:rFonts w:ascii="Times New Roman" w:hAnsi="Times New Roman" w:cs="Times New Roman"/>
                <w:b w:val="0"/>
                <w:i w:val="0"/>
                <w:color w:val="111111"/>
                <w:sz w:val="20"/>
                <w:szCs w:val="20"/>
              </w:rPr>
              <w:t>9.1 min</w:t>
            </w:r>
          </w:p>
        </w:tc>
        <w:tc>
          <w:tcPr>
            <w:tcW w:type="dxa" w:w="2986"/>
          </w:tcPr>
          <w:p>
            <w:pPr>
              <w:spacing w:before="60" w:after="60"/>
              <w:jc w:val="left"/>
            </w:pPr>
            <w:r/>
            <w:r>
              <w:rPr>
                <w:rFonts w:ascii="Times New Roman" w:hAnsi="Times New Roman" w:cs="Times New Roman"/>
                <w:b w:val="0"/>
                <w:i w:val="0"/>
                <w:color w:val="111111"/>
                <w:sz w:val="20"/>
                <w:szCs w:val="20"/>
              </w:rPr>
              <w:t>0.30</w:t>
            </w:r>
          </w:p>
        </w:tc>
      </w:tr>
      <w:tr>
        <w:tc>
          <w:tcPr>
            <w:tcW w:type="dxa" w:w="2986"/>
          </w:tcPr>
          <w:p>
            <w:pPr>
              <w:spacing w:before="60" w:after="60"/>
              <w:jc w:val="left"/>
            </w:pPr>
            <w:r/>
            <w:r>
              <w:rPr>
                <w:rFonts w:ascii="Times New Roman" w:hAnsi="Times New Roman" w:cs="Times New Roman"/>
                <w:b w:val="0"/>
                <w:i w:val="0"/>
                <w:color w:val="111111"/>
                <w:sz w:val="20"/>
                <w:szCs w:val="20"/>
              </w:rPr>
              <w:t>Fanta flavour classifier</w:t>
            </w:r>
          </w:p>
        </w:tc>
        <w:tc>
          <w:tcPr>
            <w:tcW w:type="dxa" w:w="2986"/>
          </w:tcPr>
          <w:p>
            <w:pPr>
              <w:spacing w:before="60" w:after="60"/>
              <w:jc w:val="left"/>
            </w:pPr>
            <w:r/>
            <w:r>
              <w:rPr>
                <w:rFonts w:ascii="Times New Roman" w:hAnsi="Times New Roman" w:cs="Times New Roman"/>
                <w:b w:val="0"/>
                <w:i w:val="0"/>
                <w:color w:val="111111"/>
                <w:sz w:val="20"/>
                <w:szCs w:val="20"/>
              </w:rPr>
              <w:t>7.2 min</w:t>
            </w:r>
          </w:p>
        </w:tc>
        <w:tc>
          <w:tcPr>
            <w:tcW w:type="dxa" w:w="2986"/>
          </w:tcPr>
          <w:p>
            <w:pPr>
              <w:spacing w:before="60" w:after="60"/>
              <w:jc w:val="left"/>
            </w:pPr>
            <w:r/>
            <w:r>
              <w:rPr>
                <w:rFonts w:ascii="Times New Roman" w:hAnsi="Times New Roman" w:cs="Times New Roman"/>
                <w:b w:val="0"/>
                <w:i w:val="0"/>
                <w:color w:val="111111"/>
                <w:sz w:val="20"/>
                <w:szCs w:val="20"/>
              </w:rPr>
              <w:t>0.24</w:t>
            </w:r>
          </w:p>
        </w:tc>
      </w:tr>
      <w:tr>
        <w:tc>
          <w:tcPr>
            <w:tcW w:type="dxa" w:w="2986"/>
          </w:tcPr>
          <w:p>
            <w:pPr>
              <w:spacing w:before="60" w:after="60"/>
              <w:jc w:val="left"/>
            </w:pPr>
            <w:r/>
            <w:r>
              <w:rPr>
                <w:rFonts w:ascii="Times New Roman" w:hAnsi="Times New Roman" w:cs="Times New Roman"/>
                <w:b w:val="0"/>
                <w:i w:val="0"/>
                <w:color w:val="111111"/>
                <w:sz w:val="20"/>
                <w:szCs w:val="20"/>
              </w:rPr>
              <w:t>XL Energy variant classifier</w:t>
            </w:r>
          </w:p>
        </w:tc>
        <w:tc>
          <w:tcPr>
            <w:tcW w:type="dxa" w:w="2986"/>
          </w:tcPr>
          <w:p>
            <w:pPr>
              <w:spacing w:before="60" w:after="60"/>
              <w:jc w:val="left"/>
            </w:pPr>
            <w:r/>
            <w:r>
              <w:rPr>
                <w:rFonts w:ascii="Times New Roman" w:hAnsi="Times New Roman" w:cs="Times New Roman"/>
                <w:b w:val="0"/>
                <w:i w:val="0"/>
                <w:color w:val="111111"/>
                <w:sz w:val="20"/>
                <w:szCs w:val="20"/>
              </w:rPr>
              <w:t>4.4 min</w:t>
            </w:r>
          </w:p>
        </w:tc>
        <w:tc>
          <w:tcPr>
            <w:tcW w:type="dxa" w:w="2986"/>
          </w:tcPr>
          <w:p>
            <w:pPr>
              <w:spacing w:before="60" w:after="60"/>
              <w:jc w:val="left"/>
            </w:pPr>
            <w:r/>
            <w:r>
              <w:rPr>
                <w:rFonts w:ascii="Times New Roman" w:hAnsi="Times New Roman" w:cs="Times New Roman"/>
                <w:b w:val="0"/>
                <w:i w:val="0"/>
                <w:color w:val="111111"/>
                <w:sz w:val="20"/>
                <w:szCs w:val="20"/>
              </w:rPr>
              <w:t>0.15</w:t>
            </w:r>
          </w:p>
        </w:tc>
      </w:tr>
      <w:tr>
        <w:tc>
          <w:tcPr>
            <w:tcW w:type="dxa" w:w="2986"/>
          </w:tcPr>
          <w:p>
            <w:pPr>
              <w:spacing w:before="60" w:after="60"/>
              <w:jc w:val="left"/>
            </w:pPr>
            <w:r/>
            <w:r>
              <w:rPr>
                <w:rFonts w:ascii="Times New Roman" w:hAnsi="Times New Roman" w:cs="Times New Roman"/>
                <w:b w:val="0"/>
                <w:i w:val="0"/>
                <w:color w:val="111111"/>
                <w:sz w:val="20"/>
                <w:szCs w:val="20"/>
              </w:rPr>
              <w:t>Packaging-material classifier</w:t>
            </w:r>
          </w:p>
        </w:tc>
        <w:tc>
          <w:tcPr>
            <w:tcW w:type="dxa" w:w="2986"/>
          </w:tcPr>
          <w:p>
            <w:pPr>
              <w:spacing w:before="60" w:after="60"/>
              <w:jc w:val="left"/>
            </w:pPr>
            <w:r/>
            <w:r>
              <w:rPr>
                <w:rFonts w:ascii="Times New Roman" w:hAnsi="Times New Roman" w:cs="Times New Roman"/>
                <w:b w:val="0"/>
                <w:i w:val="0"/>
                <w:color w:val="111111"/>
                <w:sz w:val="20"/>
                <w:szCs w:val="20"/>
              </w:rPr>
              <w:t>7.0 min</w:t>
            </w:r>
          </w:p>
        </w:tc>
        <w:tc>
          <w:tcPr>
            <w:tcW w:type="dxa" w:w="2986"/>
          </w:tcPr>
          <w:p>
            <w:pPr>
              <w:spacing w:before="60" w:after="60"/>
              <w:jc w:val="left"/>
            </w:pPr>
            <w:r/>
            <w:r>
              <w:rPr>
                <w:rFonts w:ascii="Times New Roman" w:hAnsi="Times New Roman" w:cs="Times New Roman"/>
                <w:b w:val="0"/>
                <w:i w:val="0"/>
                <w:color w:val="111111"/>
                <w:sz w:val="20"/>
                <w:szCs w:val="20"/>
              </w:rPr>
              <w:t>0.23</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The full five-model production stack has cost roughly 2.8 credits (under an hour and a half of GPU time) to train, in total, ever — a small fraction of a single month's allowance on even the cheapest paid plan. Growing from one model to five did not meaningfully raise training cost while measurably raising both accuracy and product coverage. Current dollar pricing changes independently of this report and should always be checked directly against Roboflow's published rates rather than quoted here as a fixed figure.</w:t>
      </w:r>
    </w:p>
    <w:p>
      <w:pPr>
        <w:keepNext w:val="0"/>
        <w:spacing w:after="160" w:before="0" w:line="348" w:lineRule="auto"/>
        <w:jc w:val="both"/>
      </w:pPr>
      <w:r>
        <w:rPr>
          <w:rFonts w:ascii="Times New Roman" w:hAnsi="Times New Roman" w:cs="Times New Roman"/>
          <w:b w:val="0"/>
          <w:i w:val="0"/>
          <w:color w:val="111111"/>
          <w:sz w:val="23"/>
          <w:szCs w:val="23"/>
        </w:rPr>
        <w:t>The more consequential number is the marginal cost of catalogue growth, and this period turned a single data point into a repeated pattern: adding XL Energy variant differentiation cost the same shape of work as Fanta did previously — labelling a few hundred already-available crops and training one small classifier, wired in as a routed step, with no change to the detector or brand classifier. Both were completed within hours, not weeks, and the fixed per-addition overhead is now the complexity result in Section 3.5, not only an economic observation. The same pattern applies to onboarding an entirely new company: the backing database is multi-tenant by design, so a new customer is a data-entry operation, not a code change.</w:t>
      </w:r>
    </w:p>
    <w:p>
      <w:pPr>
        <w:keepNext w:val="0"/>
        <w:spacing w:after="160" w:before="0" w:line="348" w:lineRule="auto"/>
        <w:jc w:val="both"/>
      </w:pPr>
      <w:r>
        <w:rPr>
          <w:rFonts w:ascii="Times New Roman" w:hAnsi="Times New Roman" w:cs="Times New Roman"/>
          <w:b w:val="0"/>
          <w:i w:val="0"/>
          <w:color w:val="111111"/>
          <w:sz w:val="23"/>
          <w:szCs w:val="23"/>
        </w:rPr>
        <w:t>One cost is real and not yet measured, and is stated here rather than left out: the pipeline now issues a brand-classification call and, unconditionally, a packaging-classification call for every detected product in a photograph, plus a variant-classification call when the routing step fires. A busy shelf with twenty products triggers meaningfully more classification calls than the original single-model approach. This should be measured directly from live workflow usage before it is quoted as a number, and remains an open item (Section 6).</w:t>
      </w:r>
    </w:p>
    <w:p>
      <w:pPr>
        <w:keepNext/>
        <w:spacing w:before="360" w:after="140"/>
        <w:jc w:val="left"/>
      </w:pPr>
      <w:r>
        <w:rPr>
          <w:rFonts w:ascii="Times New Roman" w:hAnsi="Times New Roman" w:cs="Times New Roman"/>
          <w:b/>
          <w:bCs w:val="1"/>
          <w:i w:val="0"/>
          <w:color w:val="1A3A5C"/>
          <w:sz w:val="28"/>
          <w:szCs w:val="28"/>
        </w:rPr>
        <w:t>5. The Application: Field-Proven</w:t>
      </w:r>
    </w:p>
    <w:p>
      <w:pPr>
        <w:keepNext w:val="0"/>
        <w:spacing w:after="160" w:before="0" w:line="348" w:lineRule="auto"/>
        <w:jc w:val="both"/>
      </w:pPr>
      <w:r>
        <w:rPr>
          <w:rFonts w:ascii="Times New Roman" w:hAnsi="Times New Roman" w:cs="Times New Roman"/>
          <w:b w:val="0"/>
          <w:i w:val="0"/>
          <w:color w:val="111111"/>
          <w:sz w:val="23"/>
          <w:szCs w:val="23"/>
        </w:rPr>
        <w:t>A cross-platform application, developed alongside the model architecture, is what turns model output into a usable business process rather than a research demo. It standardises field capture, runs the detection pipeline against each photograph, and — critically — interposes a human reviewer between raw model output and any figure that gets reported as fact.</w:t>
      </w:r>
    </w:p>
    <w:p>
      <w:pPr>
        <w:keepNext w:val="0"/>
        <w:spacing w:after="160" w:before="0" w:line="348" w:lineRule="auto"/>
        <w:jc w:val="both"/>
      </w:pPr>
      <w:r>
        <w:rPr>
          <w:rFonts w:ascii="Times New Roman" w:hAnsi="Times New Roman" w:cs="Times New Roman"/>
          <w:b w:val="0"/>
          <w:i w:val="0"/>
          <w:color w:val="111111"/>
          <w:sz w:val="23"/>
          <w:szCs w:val="23"/>
        </w:rPr>
        <w:t>Since the previous revision the application has grown past initial capture-and-review into reporting the business actually asked for: a Submissions view so a company administrator can see what a field representative actually recorded (previously, captured data was written to the database but nothing in the application read it back), and a brand-to-variant Share-of-Shelf report giving each brand's overall percentage of shelf space broken down into the specific variants the pipeline currently distinguishes. A low-quality capture warning — a photograph shot too far from the shelf to count reliably — was also upgraded from an easy-to-miss notification to a dialog the representative must actively dismiss, directly reducing a source of silent undercounting in the field.</w:t>
      </w:r>
    </w:p>
    <w:p>
      <w:pPr>
        <w:keepNext/>
        <w:spacing w:before="240" w:after="80"/>
        <w:jc w:val="center"/>
      </w:pPr>
      <w:r>
        <w:drawing>
          <wp:inline xmlns:a="http://schemas.openxmlformats.org/drawingml/2006/main" xmlns:pic="http://schemas.openxmlformats.org/drawingml/2006/picture">
            <wp:extent cx="3891120" cy="5580000"/>
            <wp:docPr id="1" name="Picture 1"/>
            <wp:cNvGraphicFramePr>
              <a:graphicFrameLocks noChangeAspect="1"/>
            </wp:cNvGraphicFramePr>
            <a:graphic>
              <a:graphicData uri="http://schemas.openxmlformats.org/drawingml/2006/picture">
                <pic:pic>
                  <pic:nvPicPr>
                    <pic:cNvPr id="0" name="fig4_app.jpg"/>
                    <pic:cNvPicPr/>
                  </pic:nvPicPr>
                  <pic:blipFill>
                    <a:blip r:embed="rId9"/>
                    <a:stretch>
                      <a:fillRect/>
                    </a:stretch>
                  </pic:blipFill>
                  <pic:spPr>
                    <a:xfrm>
                      <a:off x="0" y="0"/>
                      <a:ext cx="3891120" cy="5580000"/>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1. </w:t>
      </w:r>
      <w:r>
        <w:rPr>
          <w:rFonts w:ascii="Times New Roman" w:hAnsi="Times New Roman" w:cs="Times New Roman"/>
          <w:b w:val="0"/>
          <w:i/>
          <w:iCs w:val="1"/>
          <w:color w:val="555555"/>
          <w:sz w:val="19"/>
          <w:szCs w:val="19"/>
        </w:rPr>
        <w:t>The application reviewing a live capture — 75 detections returned for one cooler, with brand-confidence shares computed beneath. The label crowding visible here is itself real evidence for why a human-reviewed editor, not fully automated acceptance, is the right design for dense shelf scenes.</w:t>
      </w:r>
    </w:p>
    <w:p>
      <w:pPr>
        <w:keepNext/>
        <w:spacing w:before="360" w:after="140"/>
        <w:jc w:val="left"/>
      </w:pPr>
      <w:r>
        <w:rPr>
          <w:rFonts w:ascii="Times New Roman" w:hAnsi="Times New Roman" w:cs="Times New Roman"/>
          <w:b/>
          <w:bCs w:val="1"/>
          <w:i w:val="0"/>
          <w:color w:val="1A3A5C"/>
          <w:sz w:val="28"/>
          <w:szCs w:val="28"/>
        </w:rPr>
        <w:t>6. Risks and Open Gaps</w:t>
      </w:r>
    </w:p>
    <w:p>
      <w:pPr>
        <w:keepNext w:val="0"/>
        <w:spacing w:after="160" w:before="0" w:line="348" w:lineRule="auto"/>
        <w:jc w:val="both"/>
      </w:pPr>
      <w:r>
        <w:rPr>
          <w:rFonts w:ascii="Times New Roman" w:hAnsi="Times New Roman" w:cs="Times New Roman"/>
          <w:b w:val="0"/>
          <w:i w:val="0"/>
          <w:color w:val="111111"/>
          <w:sz w:val="23"/>
          <w:szCs w:val="23"/>
        </w:rPr>
        <w:t>Stated in the order they should be closed, with the honest reason each remains open:</w:t>
      </w:r>
    </w:p>
    <w:p>
      <w:pPr>
        <w:keepNext w:val="0"/>
        <w:spacing w:after="120" w:before="0" w:line="348" w:lineRule="auto"/>
        <w:jc w:val="both"/>
      </w:pPr>
      <w:r>
        <w:rPr>
          <w:rFonts w:ascii="Times New Roman" w:hAnsi="Times New Roman" w:cs="Times New Roman"/>
          <w:b w:val="0"/>
          <w:i w:val="0"/>
          <w:color w:val="111111"/>
          <w:sz w:val="23"/>
          <w:szCs w:val="23"/>
        </w:rPr>
        <w:t>1. Classifier accuracy is unmeasured, for a known and specific reason. All four classifiers in the current stack are live with no recorded evaluation, because automatic evaluation is gated behind a plan tier this workspace does not currently have. Closing this requires either a plan upgrade or accepting no accuracy figure can be cited for now — it is not an open research question.</w:t>
      </w:r>
    </w:p>
    <w:p>
      <w:pPr>
        <w:keepNext w:val="0"/>
        <w:spacing w:after="120" w:before="0" w:line="348" w:lineRule="auto"/>
        <w:jc w:val="both"/>
      </w:pPr>
      <w:r>
        <w:rPr>
          <w:rFonts w:ascii="Times New Roman" w:hAnsi="Times New Roman" w:cs="Times New Roman"/>
          <w:b w:val="0"/>
          <w:i w:val="0"/>
          <w:color w:val="111111"/>
          <w:sz w:val="23"/>
          <w:szCs w:val="23"/>
        </w:rPr>
        <w:t>2. The detector's recall gap traces to a specific, known cause. Roughly 800 already-annotated images from the original project have not been migrated into the class-agnostic one. This is a data-engineering task, not new research.</w:t>
      </w:r>
    </w:p>
    <w:p>
      <w:pPr>
        <w:keepNext w:val="0"/>
        <w:spacing w:after="120" w:before="0" w:line="348" w:lineRule="auto"/>
        <w:jc w:val="both"/>
      </w:pPr>
      <w:r>
        <w:rPr>
          <w:rFonts w:ascii="Times New Roman" w:hAnsi="Times New Roman" w:cs="Times New Roman"/>
          <w:b w:val="0"/>
          <w:i w:val="0"/>
          <w:color w:val="111111"/>
          <w:sz w:val="23"/>
          <w:szCs w:val="23"/>
        </w:rPr>
        <w:t>3. Coca-Cola flavour variety does not exist in the current data, confirmed twice. Two independent audits, months apart, found the same result: the available photographs are almost entirely one variant. The fix is targeted new photography of the missing variants, not relabelling existing images, which has already been ruled out.</w:t>
      </w:r>
    </w:p>
    <w:p>
      <w:pPr>
        <w:keepNext w:val="0"/>
        <w:spacing w:after="120" w:before="0" w:line="348" w:lineRule="auto"/>
        <w:jc w:val="both"/>
      </w:pPr>
      <w:r>
        <w:rPr>
          <w:rFonts w:ascii="Times New Roman" w:hAnsi="Times New Roman" w:cs="Times New Roman"/>
          <w:b w:val="0"/>
          <w:i w:val="0"/>
          <w:color w:val="111111"/>
          <w:sz w:val="23"/>
          <w:szCs w:val="23"/>
        </w:rPr>
        <w:t>4. The XL Energy variant classifier is trained but heavily imbalanced. One class (xl-classic) holds 85% of the labelled examples; three of the five classes have fewer than a dozen examples each. It is live and usable but would benefit from targeted photography of the underrepresented variants, the same category of gap as item 3.</w:t>
      </w:r>
    </w:p>
    <w:p>
      <w:pPr>
        <w:keepNext w:val="0"/>
        <w:spacing w:after="120" w:before="0" w:line="348" w:lineRule="auto"/>
        <w:jc w:val="both"/>
      </w:pPr>
      <w:r>
        <w:rPr>
          <w:rFonts w:ascii="Times New Roman" w:hAnsi="Times New Roman" w:cs="Times New Roman"/>
          <w:b w:val="0"/>
          <w:i w:val="0"/>
          <w:color w:val="111111"/>
          <w:sz w:val="23"/>
          <w:szCs w:val="23"/>
        </w:rPr>
        <w:t>5. Per-product inference cost at scale has not been measured. The pipeline now issues a brand call, an unconditional packaging call, and sometimes a variant call for every detected product; the real cost impact should be measured from live usage before it is used in a cost projection.</w:t>
      </w:r>
    </w:p>
    <w:p>
      <w:pPr>
        <w:keepNext w:val="0"/>
        <w:spacing w:after="120" w:before="0" w:line="348" w:lineRule="auto"/>
        <w:jc w:val="both"/>
      </w:pPr>
      <w:r>
        <w:rPr>
          <w:rFonts w:ascii="Times New Roman" w:hAnsi="Times New Roman" w:cs="Times New Roman"/>
          <w:b w:val="0"/>
          <w:i w:val="0"/>
          <w:color w:val="111111"/>
          <w:sz w:val="23"/>
          <w:szCs w:val="23"/>
        </w:rPr>
        <w:t>6. Packaging material is measured but not yet fused into the reported label. The field exists in the pipeline output and has been verified live, but the application does not yet combine it with brand and variant into one final classification — that integration work is not started.</w:t>
      </w:r>
    </w:p>
    <w:p>
      <w:pPr>
        <w:keepNext/>
        <w:spacing w:before="360" w:after="140"/>
        <w:jc w:val="left"/>
      </w:pPr>
      <w:r>
        <w:rPr>
          <w:rFonts w:ascii="Times New Roman" w:hAnsi="Times New Roman" w:cs="Times New Roman"/>
          <w:b/>
          <w:bCs w:val="1"/>
          <w:i w:val="0"/>
          <w:color w:val="1A3A5C"/>
          <w:sz w:val="28"/>
          <w:szCs w:val="28"/>
        </w:rPr>
        <w:t>7. Challenges Encountered</w:t>
      </w:r>
    </w:p>
    <w:p>
      <w:pPr>
        <w:keepNext w:val="0"/>
        <w:spacing w:after="160" w:before="0" w:line="348" w:lineRule="auto"/>
        <w:jc w:val="both"/>
      </w:pPr>
      <w:r>
        <w:rPr>
          <w:rFonts w:ascii="Times New Roman" w:hAnsi="Times New Roman" w:cs="Times New Roman"/>
          <w:b w:val="0"/>
          <w:i w:val="0"/>
          <w:color w:val="111111"/>
          <w:sz w:val="23"/>
          <w:szCs w:val="23"/>
        </w:rPr>
        <w:t>The two hardest problems this period were not algorithmic; they were about figuring out what the data and the platform were actually doing, as opposed to what they were assumed to be doing.</w:t>
      </w:r>
    </w:p>
    <w:p>
      <w:pPr>
        <w:keepNext w:val="0"/>
        <w:spacing w:after="160" w:before="0" w:line="348" w:lineRule="auto"/>
        <w:jc w:val="both"/>
      </w:pPr>
      <w:r>
        <w:rPr>
          <w:rFonts w:ascii="Times New Roman" w:hAnsi="Times New Roman" w:cs="Times New Roman"/>
          <w:b w:val="0"/>
          <w:i w:val="0"/>
          <w:color w:val="111111"/>
          <w:sz w:val="23"/>
          <w:szCs w:val="23"/>
        </w:rPr>
        <w:t>The first was diagnosing failures whose visible symptom pointed away from the real cause. The Sprite-can issue looked, from the user's report alone, like it could be a detector problem, a confidence-threshold problem, or a labelling error — it took an aspect-ratio audit of the actual training images to find that it was a class-composition imbalance (roughly nine bottle examples for every can example), which is not visible from looking at the model's predictions or its training metrics, only from looking directly at what the model was shown during training. The same pattern held for the Coca-Cola flavour question: the intuitive read was "the classifier needs more training," but the actual constraint was that the underlying photography does not contain the variants being asked for. Both cases point to the same lesson — when a model underperforms on a specific class, auditing that class's training data directly is more informative than tuning the model.</w:t>
      </w:r>
    </w:p>
    <w:p>
      <w:pPr>
        <w:keepNext w:val="0"/>
        <w:spacing w:after="160" w:before="0" w:line="348" w:lineRule="auto"/>
        <w:jc w:val="both"/>
      </w:pPr>
      <w:r>
        <w:rPr>
          <w:rFonts w:ascii="Times New Roman" w:hAnsi="Times New Roman" w:cs="Times New Roman"/>
          <w:b w:val="0"/>
          <w:i w:val="0"/>
          <w:color w:val="111111"/>
          <w:sz w:val="23"/>
          <w:szCs w:val="23"/>
        </w:rPr>
        <w:t>The second was a genuine platform constraint rather than a bug in this project's own work: the training platform's per-classifier accuracy evaluation only runs automatically at training time and only on a paid plan tier this workspace does not currently hold, with no way to trigger it retroactively on an already-finished training. This means every classifier trained to date — brand, Fanta, XL Energy, packaging — has zero measured accuracy, not because evaluation was skipped, but because the platform never ran it. Discovering this took ruling out several more likely-looking explanations first (a missing manual step, a tool limitation) before confirming it against the platform's own documented feature tiers. This is now a known, named constraint rather than an open question, but it directly limits what can be claimed about classifier accuracy in this report.</w:t>
      </w:r>
    </w:p>
    <w:p>
      <w:pPr>
        <w:keepNext w:val="0"/>
        <w:spacing w:after="160" w:before="0" w:line="348" w:lineRule="auto"/>
        <w:jc w:val="both"/>
      </w:pPr>
      <w:r>
        <w:rPr>
          <w:rFonts w:ascii="Times New Roman" w:hAnsi="Times New Roman" w:cs="Times New Roman"/>
          <w:b w:val="0"/>
          <w:i w:val="0"/>
          <w:color w:val="111111"/>
          <w:sz w:val="23"/>
          <w:szCs w:val="23"/>
        </w:rPr>
        <w:t>A third, smaller challenge was working within a hosted platform's real limits during large data operations — for example, bulk-relabelling over a thousand images for the packaging-material classifier surfaced session- and permission-scoping behaviour that was not obvious in advance and had to be worked around mid-task. None of these were architecturally significant, but they were a reminder that a meaningful share of this kind of engineering work is discovering how the underlying platform actually behaves, not only writing the pipeline logic on top of it.</w:t>
      </w:r>
    </w:p>
    <w:p>
      <w:pPr>
        <w:keepNext/>
        <w:spacing w:before="360" w:after="140"/>
        <w:jc w:val="left"/>
      </w:pPr>
      <w:r>
        <w:rPr>
          <w:rFonts w:ascii="Times New Roman" w:hAnsi="Times New Roman" w:cs="Times New Roman"/>
          <w:b/>
          <w:bCs w:val="1"/>
          <w:i w:val="0"/>
          <w:color w:val="1A3A5C"/>
          <w:sz w:val="28"/>
          <w:szCs w:val="28"/>
        </w:rPr>
        <w:t>8. Recommendation, Next Steps, and What We Need</w:t>
      </w:r>
    </w:p>
    <w:p>
      <w:pPr>
        <w:keepNext w:val="0"/>
        <w:spacing w:after="160" w:before="0" w:line="348" w:lineRule="auto"/>
        <w:jc w:val="both"/>
      </w:pPr>
      <w:r>
        <w:rPr>
          <w:rFonts w:ascii="Times New Roman" w:hAnsi="Times New Roman" w:cs="Times New Roman"/>
          <w:b w:val="0"/>
          <w:i w:val="0"/>
          <w:color w:val="111111"/>
          <w:sz w:val="23"/>
          <w:szCs w:val="23"/>
        </w:rPr>
        <w:t>The recommendation is to continue the current architecture. The evidence in this report is that it is not a trade-off between cost and accuracy against the original approach — it is measurably more accurate on a third of the training data, at a training-cost increase too small to matter across five models, and the routed-classifier pattern that keeps classifier calls from multiplying with catalogue size has now been proven twice, not once. The open items below are specific and individually inexpensive; none of them point to a flaw in the underlying design.</w:t>
      </w:r>
    </w:p>
    <w:p>
      <w:pPr>
        <w:keepNext w:val="0"/>
        <w:spacing w:after="160" w:before="0" w:line="348" w:lineRule="auto"/>
        <w:jc w:val="both"/>
      </w:pPr>
      <w:r>
        <w:rPr>
          <w:rFonts w:ascii="Times New Roman" w:hAnsi="Times New Roman" w:cs="Times New Roman"/>
          <w:b w:val="0"/>
          <w:i w:val="0"/>
          <w:color w:val="111111"/>
          <w:sz w:val="23"/>
          <w:szCs w:val="23"/>
        </w:rPr>
        <w:t>Proposed order of work: first, run the missing classifier evaluations and migrate the roughly 800 unmigrated detector images, retraining the detector against the fuller dataset — both are days of work with no new data collection required and directly close items 1 and 2 in Section 6. Second, fuse the packaging-material signal into the single reported classification alongside brand and variant, since the signal itself is already live and verified — this is engineering, not research. Third, measure real per-photograph inference cost from live usage once volume justifies it, to keep the economics in Section 4 current rather than assumed.</w:t>
      </w:r>
    </w:p>
    <w:p>
      <w:pPr>
        <w:keepNext w:val="0"/>
        <w:spacing w:after="160" w:before="0" w:line="348" w:lineRule="auto"/>
        <w:jc w:val="both"/>
      </w:pPr>
      <w:r>
        <w:rPr>
          <w:rFonts w:ascii="Times New Roman" w:hAnsi="Times New Roman" w:cs="Times New Roman"/>
          <w:b w:val="0"/>
          <w:i w:val="0"/>
          <w:color w:val="111111"/>
          <w:sz w:val="23"/>
          <w:szCs w:val="23"/>
        </w:rPr>
        <w:t>What would materially help over the next stretch: a decision on whether to fund a short, targeted photography pass — specifically genuine Coca-Cola flavour variants, glass-packaged products, and the underrepresented XL Energy variants (mojito, double-kick, sugar-free) — since all three gaps are blocked by data that does not yet exist, not by engineering effort, and no amount of further modelling work will close them. Separately, a call on whether to upgrade the Roboflow plan tier that gates automatic classifier evaluation would let every classifier trained from that point forward carry a real accuracy number instead of an unmeasured one, which is currently the single largest gap between what this system does and what can be formally reported about how well it does it. Guidance on what accuracy bar should count as production-ready — since the right operating point for shelf auditing, and therefore how often the system should defer to human review, is a commercial judgement as much as a technical one — would also directly shape the next round of tuning work.</w:t>
      </w:r>
    </w:p>
    <w:p>
      <w:r>
        <w:br w:type="page"/>
      </w:r>
    </w:p>
    <w:p>
      <w:pPr>
        <w:keepNext/>
        <w:spacing w:before="360" w:after="140"/>
        <w:jc w:val="left"/>
      </w:pPr>
      <w:r>
        <w:rPr>
          <w:rFonts w:ascii="Times New Roman" w:hAnsi="Times New Roman" w:cs="Times New Roman"/>
          <w:b/>
          <w:bCs w:val="1"/>
          <w:i w:val="0"/>
          <w:color w:val="1A3A5C"/>
          <w:sz w:val="28"/>
          <w:szCs w:val="28"/>
        </w:rPr>
        <w:t>Technical References</w:t>
      </w:r>
    </w:p>
    <w:p>
      <w:pPr>
        <w:spacing w:after="160" w:line="312" w:lineRule="auto"/>
        <w:ind w:left="510" w:hanging="510"/>
        <w:jc w:val="left"/>
      </w:pPr>
      <w:r>
        <w:rPr>
          <w:rFonts w:ascii="Times New Roman" w:hAnsi="Times New Roman" w:cs="Times New Roman"/>
          <w:b w:val="0"/>
          <w:i w:val="0"/>
          <w:color w:val="111111"/>
          <w:sz w:val="21"/>
          <w:szCs w:val="21"/>
        </w:rPr>
        <w:t>[1]  Dosovitskiy, A., Beyer, L., Kolesnikov, A., et al. (2021). An Image is Worth 16x16 Words: Transformers for Image Recognition at Scale. International Conference on Learning Representations (ICLR). — architecture family (ViT) underlying the brand and variant classifiers in Stages 2–4.</w:t>
      </w:r>
    </w:p>
    <w:p>
      <w:pPr>
        <w:spacing w:after="160" w:line="312" w:lineRule="auto"/>
        <w:ind w:left="510" w:hanging="510"/>
        <w:jc w:val="left"/>
      </w:pPr>
      <w:r>
        <w:rPr>
          <w:rFonts w:ascii="Times New Roman" w:hAnsi="Times New Roman" w:cs="Times New Roman"/>
          <w:b w:val="0"/>
          <w:i w:val="0"/>
          <w:color w:val="111111"/>
          <w:sz w:val="21"/>
          <w:szCs w:val="21"/>
        </w:rPr>
        <w:t>[2]  Ren, S., He, K., Girshick, R., &amp; Sun, J. (2015). Faster R-CNN: Towards Real-Time Object Detection with Region Proposal Networks. Advances in Neural Information Processing Systems (NeurIPS). — background for the detect-then-classify architectural pattern underlying Stage 1.</w:t>
      </w:r>
    </w:p>
    <w:p>
      <w:pPr>
        <w:spacing w:after="160" w:line="312" w:lineRule="auto"/>
        <w:ind w:left="510" w:hanging="510"/>
        <w:jc w:val="left"/>
      </w:pPr>
      <w:r>
        <w:rPr>
          <w:rFonts w:ascii="Times New Roman" w:hAnsi="Times New Roman" w:cs="Times New Roman"/>
          <w:b w:val="0"/>
          <w:i w:val="0"/>
          <w:color w:val="111111"/>
          <w:sz w:val="21"/>
          <w:szCs w:val="21"/>
        </w:rPr>
        <w:t>[3]  Roboflow. Workflows Documentation. https://inference.roboflow.com/workflows/ (accessed August 2026). — the platform the production pipeline in Section 2 is implemented on, including the routing ("switch case") and branch-merge blocks used in Section 3.5.</w:t>
      </w:r>
    </w:p>
    <w:p>
      <w:pPr>
        <w:spacing w:after="160" w:line="312" w:lineRule="auto"/>
        <w:ind w:left="510" w:hanging="510"/>
        <w:jc w:val="left"/>
      </w:pPr>
      <w:r>
        <w:rPr>
          <w:rFonts w:ascii="Times New Roman" w:hAnsi="Times New Roman" w:cs="Times New Roman"/>
          <w:b w:val="0"/>
          <w:i w:val="0"/>
          <w:color w:val="111111"/>
          <w:sz w:val="21"/>
          <w:szCs w:val="21"/>
        </w:rPr>
        <w:t>[4]  Roboflow. Pricing and Credits. https://roboflow.com/pricing (accessed August 2026). — source for the credit rates used in Section 4; consult directly for current dollar pricing.</w:t>
      </w:r>
    </w:p>
    <w:sectPr w:rsidR="00FC693F" w:rsidRPr="0006063C" w:rsidSect="00034616">
      <w:pgSz w:w="11906" w:h="16838"/>
      <w:pgMar w:top="1361"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