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keepNext w:val="0"/>
        <w:bidi/>
        <w:spacing w:after="800" w:before="0" w:line="348" w:lineRule="auto"/>
        <w:jc w:val="center"/>
      </w:pPr>
      <w:r>
        <w:rPr>
          <w:rFonts w:ascii="Times New Roman" w:hAnsi="Times New Roman" w:cs="Noto Naskh Arabic"/>
          <w:b/>
          <w:bCs w:val="1"/>
          <w:i w:val="0"/>
          <w:color w:val="555555"/>
          <w:sz w:val="26"/>
          <w:szCs w:val="26"/>
          <w:rtl/>
          <w:cs/>
        </w:rPr>
        <w:t>شركة Aystro</w:t>
      </w:r>
    </w:p>
    <w:p>
      <w:pPr>
        <w:keepNext w:val="0"/>
        <w:bidi/>
        <w:spacing w:after="200" w:before="0" w:line="300" w:lineRule="auto"/>
        <w:jc w:val="center"/>
      </w:pPr>
      <w:r>
        <w:rPr>
          <w:rFonts w:ascii="Times New Roman" w:hAnsi="Times New Roman" w:cs="Noto Naskh Arabic"/>
          <w:b/>
          <w:bCs w:val="1"/>
          <w:i w:val="0"/>
          <w:color w:val="1A3A5C"/>
          <w:sz w:val="42"/>
          <w:szCs w:val="42"/>
          <w:rtl/>
          <w:cs/>
        </w:rPr>
        <w:t>التدقيق الآلي لرفوف التجزئة بالرؤية الحاسوبية</w:t>
      </w:r>
    </w:p>
    <w:p>
      <w:pPr>
        <w:keepNext w:val="0"/>
        <w:bidi/>
        <w:spacing w:after="1280" w:before="0" w:line="348" w:lineRule="auto"/>
        <w:jc w:val="center"/>
      </w:pPr>
      <w:r>
        <w:rPr>
          <w:rFonts w:ascii="Times New Roman" w:hAnsi="Times New Roman" w:cs="Noto Naskh Arabic"/>
          <w:b w:val="0"/>
          <w:i w:val="0"/>
          <w:color w:val="555555"/>
          <w:sz w:val="28"/>
          <w:szCs w:val="28"/>
          <w:rtl/>
          <w:cs/>
        </w:rPr>
        <w:t>تقرير التدريب الميداني — من نقطة البداية إلى النظام العامل</w:t>
      </w:r>
    </w:p>
    <w:p>
      <w:pPr>
        <w:bidi/>
        <w:spacing w:after="140"/>
        <w:jc w:val="center"/>
      </w:pPr>
      <w:r>
        <w:rPr>
          <w:rFonts w:ascii="Times New Roman" w:hAnsi="Times New Roman" w:cs="Noto Naskh Arabic"/>
          <w:b/>
          <w:bCs w:val="1"/>
          <w:i w:val="0"/>
          <w:color w:val="555555"/>
          <w:sz w:val="23"/>
          <w:szCs w:val="23"/>
          <w:rtl/>
          <w:cs/>
        </w:rPr>
        <w:t xml:space="preserve">إعداد:  </w:t>
      </w:r>
      <w:r>
        <w:rPr>
          <w:rFonts w:ascii="Times New Roman" w:hAnsi="Times New Roman" w:cs="Noto Naskh Arabic"/>
          <w:b w:val="0"/>
          <w:i w:val="0"/>
          <w:color w:val="111111"/>
          <w:sz w:val="23"/>
          <w:szCs w:val="23"/>
          <w:rtl/>
          <w:cs/>
        </w:rPr>
        <w:t>محمود فراس فنون</w:t>
      </w:r>
    </w:p>
    <w:p>
      <w:pPr>
        <w:bidi/>
        <w:spacing w:after="140"/>
        <w:jc w:val="center"/>
      </w:pPr>
      <w:r>
        <w:rPr>
          <w:rFonts w:ascii="Times New Roman" w:hAnsi="Times New Roman" w:cs="Noto Naskh Arabic"/>
          <w:b/>
          <w:bCs w:val="1"/>
          <w:i w:val="0"/>
          <w:color w:val="555555"/>
          <w:sz w:val="23"/>
          <w:szCs w:val="23"/>
          <w:rtl/>
          <w:cs/>
        </w:rPr>
        <w:t xml:space="preserve">الجهة المستضيفة:  </w:t>
      </w:r>
      <w:r>
        <w:rPr>
          <w:rFonts w:ascii="Times New Roman" w:hAnsi="Times New Roman" w:cs="Noto Naskh Arabic"/>
          <w:b w:val="0"/>
          <w:i w:val="0"/>
          <w:color w:val="111111"/>
          <w:sz w:val="23"/>
          <w:szCs w:val="23"/>
          <w:rtl/>
          <w:cs/>
        </w:rPr>
        <w:t>شركة Aystro</w:t>
      </w:r>
    </w:p>
    <w:p>
      <w:pPr>
        <w:bidi/>
        <w:spacing w:after="140"/>
        <w:jc w:val="center"/>
      </w:pPr>
      <w:r>
        <w:rPr>
          <w:rFonts w:ascii="Times New Roman" w:hAnsi="Times New Roman" w:cs="Noto Naskh Arabic"/>
          <w:b/>
          <w:bCs w:val="1"/>
          <w:i w:val="0"/>
          <w:color w:val="555555"/>
          <w:sz w:val="23"/>
          <w:szCs w:val="23"/>
          <w:rtl/>
          <w:cs/>
        </w:rPr>
        <w:t xml:space="preserve">فترة التدريب:  </w:t>
      </w:r>
      <w:r>
        <w:rPr>
          <w:rFonts w:ascii="Times New Roman" w:hAnsi="Times New Roman" w:cs="Noto Naskh Arabic"/>
          <w:b w:val="0"/>
          <w:i w:val="0"/>
          <w:color w:val="111111"/>
          <w:sz w:val="23"/>
          <w:szCs w:val="23"/>
          <w:rtl/>
          <w:cs/>
        </w:rPr>
        <w:t>٢٧ تموز ٢٠٢٦ – ١٧ آب ٢٠٢٦</w:t>
      </w:r>
    </w:p>
    <w:p>
      <w:pPr>
        <w:bidi/>
        <w:spacing w:after="140"/>
        <w:jc w:val="center"/>
      </w:pPr>
      <w:r>
        <w:rPr>
          <w:rFonts w:ascii="Times New Roman" w:hAnsi="Times New Roman" w:cs="Noto Naskh Arabic"/>
          <w:b/>
          <w:bCs w:val="1"/>
          <w:i w:val="0"/>
          <w:color w:val="555555"/>
          <w:sz w:val="23"/>
          <w:szCs w:val="23"/>
          <w:rtl/>
          <w:cs/>
        </w:rPr>
        <w:t xml:space="preserve">تاريخ التسليم:  </w:t>
      </w:r>
      <w:r>
        <w:rPr>
          <w:rFonts w:ascii="Times New Roman" w:hAnsi="Times New Roman" w:cs="Noto Naskh Arabic"/>
          <w:b w:val="0"/>
          <w:i w:val="0"/>
          <w:color w:val="111111"/>
          <w:sz w:val="23"/>
          <w:szCs w:val="23"/>
          <w:rtl/>
          <w:cs/>
        </w:rPr>
        <w:t>١٧ آب ٢٠٢٦</w:t>
      </w:r>
    </w:p>
    <w:p>
      <w:r>
        <w:br w:type="page"/>
      </w:r>
    </w:p>
    <w:p>
      <w:pPr>
        <w:keepNext/>
        <w:bidi/>
        <w:spacing w:before="360" w:after="140"/>
        <w:jc w:val="right"/>
      </w:pPr>
      <w:r>
        <w:rPr>
          <w:rFonts w:ascii="Times New Roman" w:hAnsi="Times New Roman" w:cs="Noto Naskh Arabic"/>
          <w:b/>
          <w:bCs w:val="1"/>
          <w:i w:val="0"/>
          <w:color w:val="1A3A5C"/>
          <w:sz w:val="28"/>
          <w:szCs w:val="28"/>
          <w:rtl/>
          <w:cs/>
        </w:rPr>
        <w:t>الملخص التنفيذي</w:t>
      </w:r>
    </w:p>
    <w:p>
      <w:pPr>
        <w:keepNext w:val="0"/>
        <w:bidi/>
        <w:spacing w:after="160" w:before="0" w:line="348" w:lineRule="auto"/>
        <w:jc w:val="both"/>
      </w:pPr>
      <w:r>
        <w:rPr>
          <w:rFonts w:ascii="Times New Roman" w:hAnsi="Times New Roman" w:cs="Noto Naskh Arabic"/>
          <w:b w:val="0"/>
          <w:i w:val="0"/>
          <w:color w:val="111111"/>
          <w:sz w:val="22"/>
          <w:szCs w:val="22"/>
          <w:rtl/>
          <w:cs/>
        </w:rPr>
        <w:t>يوثّق هذا التقرير ثلاثة أسابيع من العمل في Aystro على تحويل صورة فوتوغرافية عادية لرفّ تجاري إلى بيانات مخزون مُهيكلة يمكن بيعها كخدمة. ولم يكن العمل تنفيذاً لمواصفات جاهزة، بل منهجية بحث وتطوير: تدقيق ما هو قائم، وتشخيص حدوده، واشتقاق معمارية بديلة، وبناؤها، ثم قياس ما إذا كانت البدائل قد حقّقت فعلاً ما وُعِدت به. وكل رقم في هذا التقرير مقيس، لا مُقدَّر؛ وحيثما لا يوجد قياس، يُذكر ذلك صراحةً بدلاً من سدّ الفراغ بتقدير.</w:t>
      </w:r>
    </w:p>
    <w:p>
      <w:pPr>
        <w:keepNext w:val="0"/>
        <w:bidi/>
        <w:spacing w:after="160" w:before="0" w:line="348" w:lineRule="auto"/>
        <w:jc w:val="both"/>
      </w:pPr>
      <w:r>
        <w:rPr>
          <w:rFonts w:ascii="Times New Roman" w:hAnsi="Times New Roman" w:cs="Noto Naskh Arabic"/>
          <w:b w:val="0"/>
          <w:i w:val="0"/>
          <w:color w:val="111111"/>
          <w:sz w:val="22"/>
          <w:szCs w:val="22"/>
          <w:rtl/>
          <w:cs/>
        </w:rPr>
        <w:t>كانت نقطة البداية كاشفاً واحداً يجمع بين تحديد موضع المنتج وتحديد هويته في نموذج واحد. وهذه المعمارية تعمل، لكنها تربط كلفة كل إضافة إلى الكتالوج بحجم الكتالوج كله: فكل صنف جديد يستوجب إعادة تدريب النموذج بأكمله. والبديل الذي بُني خلال هذه الفترة يفصل السؤالين: كاشف محايد صنفياً يجد المنتجات من دون معرفة هويتها، تليه طبقات تصنيف صغيرة ومستقلة تحدد العلامة، ثم المتغيّر، ثم مادة التعبئة. والنتيجة أن الكاشف الجديد يبلغ دقة أعلى (‏٨٩٫٣٪ مقابل ٨٦٫٩٢٪ لمتوسط الدقة، و‏٩٠٫٥٪ مقابل ٨٢٫٧٪ للإحكام) على نحو ثلث صور التدريب التي احتاجها النهج الأصلي.</w:t>
      </w:r>
    </w:p>
    <w:p>
      <w:pPr>
        <w:keepNext w:val="0"/>
        <w:bidi/>
        <w:spacing w:after="160" w:before="0" w:line="348" w:lineRule="auto"/>
        <w:jc w:val="both"/>
      </w:pPr>
      <w:r>
        <w:rPr>
          <w:rFonts w:ascii="Times New Roman" w:hAnsi="Times New Roman" w:cs="Noto Naskh Arabic"/>
          <w:b w:val="0"/>
          <w:i w:val="0"/>
          <w:color w:val="111111"/>
          <w:sz w:val="22"/>
          <w:szCs w:val="22"/>
          <w:rtl/>
          <w:cs/>
        </w:rPr>
        <w:t>والنتيجة الثانية تتعلق بكيفية تفاعل هذه الطبقات مع بعضها. ففي التصميم الأول كان كل مُصنِّف متغيّرات يعمل على كل قصاصة بصرف النظر عن علامتها، فينمو عدد الاستدعاءات مع عدد المنتجات وعدد المُصنِّفات معاً ‏(O(N×K))‎. وبإدخال خطوة توجيه تُشغِّل مُصنِّف المتغيّرات المعني وحده، صار النمو مرتبطاً بعدد المنتجات فقط ‏(O(N))‎، بصرف النظر عن اتساع الكتالوج — وقِيس ذلك على الصورة الاختبارية ذاتها بانخفاض زمن التصنيف من ٤٠٫٣٢ ثانية إلى ١٤٫٢٠ ثانية (‏٦٥٪) بمُخرَجات مطابقة تماماً. وقد أُضيفت علامتان بهذا النمط خلال هذه الفترة، كلٌّ منهما في ساعات لا أسابيع، وهو ما يجعل «كلفة نمو الكتالوج منخفضة» ملاحظةً مُكرَّرة لا استنتاجاً من حالة واحدة.</w:t>
      </w:r>
    </w:p>
    <w:p>
      <w:r>
        <w:br w:type="page"/>
      </w:r>
    </w:p>
    <w:p>
      <w:pPr>
        <w:keepNext/>
        <w:bidi/>
        <w:spacing w:before="360" w:after="140"/>
        <w:jc w:val="right"/>
      </w:pPr>
      <w:r>
        <w:rPr>
          <w:rFonts w:ascii="Times New Roman" w:hAnsi="Times New Roman" w:cs="Noto Naskh Arabic"/>
          <w:b/>
          <w:bCs w:val="1"/>
          <w:i w:val="0"/>
          <w:color w:val="1A3A5C"/>
          <w:sz w:val="28"/>
          <w:szCs w:val="28"/>
          <w:rtl/>
          <w:cs/>
        </w:rPr>
        <w:t>١. السياق والهدف</w:t>
      </w:r>
    </w:p>
    <w:p>
      <w:pPr>
        <w:keepNext w:val="0"/>
        <w:bidi/>
        <w:spacing w:after="160" w:before="0" w:line="348" w:lineRule="auto"/>
        <w:jc w:val="both"/>
      </w:pPr>
      <w:r>
        <w:rPr>
          <w:rFonts w:ascii="Times New Roman" w:hAnsi="Times New Roman" w:cs="Noto Naskh Arabic"/>
          <w:b w:val="0"/>
          <w:i w:val="0"/>
          <w:color w:val="111111"/>
          <w:sz w:val="23"/>
          <w:szCs w:val="23"/>
          <w:rtl/>
          <w:cs/>
        </w:rPr>
        <w:t>إن حضور علامة تجارية على الرف — كم وحدة معروضة، وكيف رُتِّبت، وما حصة كل منافس من المساحة المرئية — معلومة تجارية يدفع المصنِّعون وتجار التجزئة ثمن معرفتها. وتُجمَع اليوم يدوياً: مندوب يجول المتاجر ويسجّل ما يراه. وهذا بطيء، ومكلف عند التوسّع، وغير ثابت الجودة لأنه يعتمد على انتباه الشخص الذي يؤديه.</w:t>
      </w:r>
    </w:p>
    <w:p>
      <w:pPr>
        <w:keepNext w:val="0"/>
        <w:bidi/>
        <w:spacing w:after="160" w:before="0" w:line="348" w:lineRule="auto"/>
        <w:jc w:val="both"/>
      </w:pPr>
      <w:r>
        <w:rPr>
          <w:rFonts w:ascii="Times New Roman" w:hAnsi="Times New Roman" w:cs="Noto Naskh Arabic"/>
          <w:b w:val="0"/>
          <w:i w:val="0"/>
          <w:color w:val="111111"/>
          <w:sz w:val="23"/>
          <w:szCs w:val="23"/>
          <w:rtl/>
          <w:cs/>
        </w:rPr>
        <w:t>والهدف من هذا التدريب أن نتعلّم — عبر البناء الفعلي لا عبر الدراسة النظرية — كيف يُحوَّل هذا العمل إلى منتج قابل للبيع لعميل قائم. ولذلك عُومل المشروع بوصفه عمل بحث وتطوير: نبني، ونقيس، ونصحّح المسار بناءً على ما تُظهره القياسات، لا على ما كنا نفترضه في البداية. وما يوثّقه هذا التقرير هو هذا المسار كاملاً — بما فيه ما لم ينجح.</w:t>
      </w:r>
    </w:p>
    <w:p>
      <w:pPr>
        <w:keepNext w:val="0"/>
        <w:bidi/>
        <w:spacing w:after="160" w:before="0" w:line="348" w:lineRule="auto"/>
        <w:jc w:val="both"/>
      </w:pPr>
      <w:r>
        <w:rPr>
          <w:rFonts w:ascii="Times New Roman" w:hAnsi="Times New Roman" w:cs="Noto Naskh Arabic"/>
          <w:b w:val="0"/>
          <w:i w:val="0"/>
          <w:color w:val="111111"/>
          <w:sz w:val="23"/>
          <w:szCs w:val="23"/>
          <w:rtl/>
          <w:cs/>
        </w:rPr>
        <w:t>والتحدي التقني في جوهره أن المطلوب ليس سؤالاً واحداً بل سؤالان يُطرحان على كل منتج في الصورة في آنٍ معاً: أين يقع (التوطين)، وما هو (الهوية). والطريقة التي يُوزَّع بها هذان السؤالان على مكوّنات النظام هي القرار المعماري الذي شكّل هذه الفترة بأكملها.</w:t>
      </w:r>
    </w:p>
    <w:p>
      <w:pPr>
        <w:keepNext/>
        <w:bidi/>
        <w:spacing w:before="360" w:after="140"/>
        <w:jc w:val="right"/>
      </w:pPr>
      <w:r>
        <w:rPr>
          <w:rFonts w:ascii="Times New Roman" w:hAnsi="Times New Roman" w:cs="Noto Naskh Arabic"/>
          <w:b/>
          <w:bCs w:val="1"/>
          <w:i w:val="0"/>
          <w:color w:val="1A3A5C"/>
          <w:sz w:val="28"/>
          <w:szCs w:val="28"/>
          <w:rtl/>
          <w:cs/>
        </w:rPr>
        <w:t>٢. نقطة البداية: ما كان قائماً في ٢٧ تموز</w:t>
      </w:r>
    </w:p>
    <w:p>
      <w:pPr>
        <w:keepNext w:val="0"/>
        <w:bidi/>
        <w:spacing w:after="160" w:before="0" w:line="348" w:lineRule="auto"/>
        <w:jc w:val="both"/>
      </w:pPr>
      <w:r>
        <w:rPr>
          <w:rFonts w:ascii="Times New Roman" w:hAnsi="Times New Roman" w:cs="Noto Naskh Arabic"/>
          <w:b w:val="0"/>
          <w:i w:val="0"/>
          <w:color w:val="111111"/>
          <w:sz w:val="23"/>
          <w:szCs w:val="23"/>
          <w:rtl/>
          <w:cs/>
        </w:rPr>
        <w:t>كان النظام القائم عند بداية التدريب كاشفاً واحداً للكائنات، مُدرَّباً على ستة أصناف تمثّل العلامات التجارية مباشرةً: coca-cola، وfanta، وsprite، وpepsi، وcappy، وxl_energy. أي أن النموذج نفسه كان يجيب عن السؤالين معاً — يرسم الصندوق ويسمّي العلامة في خطوة واحدة.</w:t>
      </w:r>
    </w:p>
    <w:p>
      <w:pPr>
        <w:keepNext w:val="0"/>
        <w:bidi/>
        <w:spacing w:after="160" w:before="0" w:line="348" w:lineRule="auto"/>
        <w:jc w:val="both"/>
      </w:pPr>
      <w:r>
        <w:rPr>
          <w:rFonts w:ascii="Times New Roman" w:hAnsi="Times New Roman" w:cs="Noto Naskh Arabic"/>
          <w:b w:val="0"/>
          <w:i w:val="0"/>
          <w:color w:val="111111"/>
          <w:sz w:val="23"/>
          <w:szCs w:val="23"/>
          <w:rtl/>
          <w:cs/>
        </w:rPr>
        <w:t>وقد نما هذا المشروع تدريجياً عبر عشرين نسخة. والنسخة الأولى، المُدرَّبة على ٢٧ صورة فقط، بلغت متوسط دقة ٧٧٫٩٥٪. أما النسخة الثانية، المُدرَّبة على ٤٩ صورة — أي ضِعف البيانات تقريباً — فقد تراجعت إلى ٥٧٫٧٨٪، وانخفض استدعاؤها من ٧٣٫٥٪ إلى ٥٠٪. وهذه الواقعة المبكرة، المسجَّلة في تاريخ المشروع قبل بدء هذا التدريب، هي أول دليل عملي على المشكلة التي عالجتها هذه الفترة: فالبيانات الإضافية لم تكن تدعم الأصناف القائمة، بل كانت تُدخِل أصنافاً جديدة تتقاسم المجموعة ذاتها، فيقلّ نصيب كل صنف بدلاً من أن يزيد.</w:t>
      </w:r>
    </w:p>
    <w:p>
      <w:pPr>
        <w:keepNext w:val="0"/>
        <w:bidi/>
        <w:spacing w:after="160" w:before="0" w:line="348" w:lineRule="auto"/>
        <w:jc w:val="both"/>
      </w:pPr>
      <w:r>
        <w:rPr>
          <w:rFonts w:ascii="Times New Roman" w:hAnsi="Times New Roman" w:cs="Noto Naskh Arabic"/>
          <w:b w:val="0"/>
          <w:i w:val="0"/>
          <w:color w:val="111111"/>
          <w:sz w:val="23"/>
          <w:szCs w:val="23"/>
          <w:rtl/>
          <w:cs/>
        </w:rPr>
        <w:t>وبحلول نسخته العشرين، وبعد أن بلغت مدوَّنته ١٬١٩١ صورة مُعلَّمة على معمارية rfdetr-large، استقر هذا الكاشف على متوسط دقة ٨٦٫٩٢٪ وإحكام ٨٢٫٧٪ واستدعاء ٨٥٫٨٪. وهذه هي الحالة الناضجة للنهج الأصلي، وهي نقطة المقارنة العادلة المستخدمة في هذا التقرير — لا النسخ المبكرة الصغيرة.</w:t>
      </w:r>
    </w:p>
    <w:p>
      <w:pPr>
        <w:keepNext/>
        <w:bidi/>
        <w:spacing w:before="360" w:after="140"/>
        <w:jc w:val="right"/>
      </w:pPr>
      <w:r>
        <w:rPr>
          <w:rFonts w:ascii="Times New Roman" w:hAnsi="Times New Roman" w:cs="Noto Naskh Arabic"/>
          <w:b/>
          <w:bCs w:val="1"/>
          <w:i w:val="0"/>
          <w:color w:val="1A3A5C"/>
          <w:sz w:val="28"/>
          <w:szCs w:val="28"/>
          <w:rtl/>
          <w:cs/>
        </w:rPr>
        <w:t>٣. المنهجية</w:t>
      </w:r>
    </w:p>
    <w:p>
      <w:pPr>
        <w:keepNext w:val="0"/>
        <w:bidi/>
        <w:spacing w:after="160" w:before="0" w:line="348" w:lineRule="auto"/>
        <w:jc w:val="both"/>
      </w:pPr>
      <w:r>
        <w:rPr>
          <w:rFonts w:ascii="Times New Roman" w:hAnsi="Times New Roman" w:cs="Noto Naskh Arabic"/>
          <w:b w:val="0"/>
          <w:i w:val="0"/>
          <w:color w:val="111111"/>
          <w:sz w:val="23"/>
          <w:szCs w:val="23"/>
          <w:rtl/>
          <w:cs/>
        </w:rPr>
        <w:t>اتُّبع في كل بند من بنود هذه الفترة تسلسل واحد: تدقيق ما هو قائم فعلياً، ثم تشخيص السبب الجذري لا العَرَض الظاهر، ثم بناء البديل، ثم التحقق منه في مواجهة بيانات حقيقية قبل اعتباره منجزاً.</w:t>
      </w:r>
    </w:p>
    <w:p>
      <w:pPr>
        <w:keepNext w:val="0"/>
        <w:bidi/>
        <w:spacing w:after="160" w:before="0" w:line="348" w:lineRule="auto"/>
        <w:jc w:val="both"/>
      </w:pPr>
      <w:r>
        <w:rPr>
          <w:rFonts w:ascii="Times New Roman" w:hAnsi="Times New Roman" w:cs="Noto Naskh Arabic"/>
          <w:b w:val="0"/>
          <w:i w:val="0"/>
          <w:color w:val="111111"/>
          <w:sz w:val="23"/>
          <w:szCs w:val="23"/>
          <w:rtl/>
          <w:cs/>
        </w:rPr>
        <w:t>وقد فُرِض قيدان على هذا التسلسل تبيّن أنهما حاسمان. الأول أن أي ادّعاء عن سلوك النظام يجب أن يُتحقَّق منه باستدعاء استدلال حقيقي على صورة حقيقية، لا بقراءة إعدادات سير العمل — فقد ثبت أكثر من مرة خلال هذه الفترة أن الإعداد يبدو صحيحاً بينما السلوك الفعلي مختلف. والثاني أن التدقيق البصري المباشر لبيانات التدريب هو الأداة التشخيصية الأولى عند ضعف الأداء على صنف بعينه، قبل أي محاولة لضبط النموذج.</w:t>
      </w:r>
    </w:p>
    <w:p>
      <w:pPr>
        <w:keepNext w:val="0"/>
        <w:bidi/>
        <w:spacing w:after="160" w:before="0" w:line="348" w:lineRule="auto"/>
        <w:jc w:val="both"/>
      </w:pPr>
      <w:r>
        <w:rPr>
          <w:rFonts w:ascii="Times New Roman" w:hAnsi="Times New Roman" w:cs="Noto Naskh Arabic"/>
          <w:b w:val="0"/>
          <w:i w:val="0"/>
          <w:color w:val="111111"/>
          <w:sz w:val="23"/>
          <w:szCs w:val="23"/>
          <w:rtl/>
          <w:cs/>
        </w:rPr>
        <w:t>ولهذا الغرض طُوِّرت طريقة عمل متكرّرة: تُنزَّل قصاصات الصنف محل الفحص، وتُرتَّب في صفحات تباين شبكية مرتّبة بإشارة رخيصة لكنها دالة (نسبة أبعاد الصندوق تفصل العلب عن الزجاجات، واللون السائد يفصل النكهات)، فيصبح الحكم البشري ممكناً على نطاقات كاملة دفعةً واحدة بدلاً من صورة بعد صورة. وقد استُخدمت هذه الطريقة في كل تدقيق ورد في هذا التقرير.</w:t>
      </w:r>
    </w:p>
    <w:p>
      <w:pPr>
        <w:keepNext/>
        <w:bidi/>
        <w:spacing w:before="360" w:after="140"/>
        <w:jc w:val="right"/>
      </w:pPr>
      <w:r>
        <w:rPr>
          <w:rFonts w:ascii="Times New Roman" w:hAnsi="Times New Roman" w:cs="Noto Naskh Arabic"/>
          <w:b/>
          <w:bCs w:val="1"/>
          <w:i w:val="0"/>
          <w:color w:val="1A3A5C"/>
          <w:sz w:val="28"/>
          <w:szCs w:val="28"/>
          <w:rtl/>
          <w:cs/>
        </w:rPr>
        <w:t>٤. تشخيص المعمارية الأحادية</w:t>
      </w:r>
    </w:p>
    <w:p>
      <w:pPr>
        <w:keepNext w:val="0"/>
        <w:bidi/>
        <w:spacing w:after="160" w:before="0" w:line="348" w:lineRule="auto"/>
        <w:jc w:val="both"/>
      </w:pPr>
      <w:r>
        <w:rPr>
          <w:rFonts w:ascii="Times New Roman" w:hAnsi="Times New Roman" w:cs="Noto Naskh Arabic"/>
          <w:b w:val="0"/>
          <w:i w:val="0"/>
          <w:color w:val="111111"/>
          <w:sz w:val="23"/>
          <w:szCs w:val="23"/>
          <w:rtl/>
          <w:cs/>
        </w:rPr>
        <w:t>أسفر تدقيق النهج القائم عن قيدين بنيويين، كلاهما ناتج عن القرار ذاته: جمع التوطين والهوية في نموذج واحد.</w:t>
      </w:r>
    </w:p>
    <w:p>
      <w:pPr>
        <w:keepNext w:val="0"/>
        <w:bidi/>
        <w:spacing w:after="160" w:before="0" w:line="348" w:lineRule="auto"/>
        <w:jc w:val="both"/>
      </w:pPr>
      <w:r>
        <w:rPr>
          <w:rFonts w:ascii="Times New Roman" w:hAnsi="Times New Roman" w:cs="Noto Naskh Arabic"/>
          <w:b w:val="0"/>
          <w:i w:val="0"/>
          <w:color w:val="111111"/>
          <w:sz w:val="23"/>
          <w:szCs w:val="23"/>
          <w:rtl/>
          <w:cs/>
        </w:rPr>
        <w:t>القيد الأول اقتصادي. فما دام النموذج يحمل معرفة بهوية المنتجات، فإن كل منتج جديد يدخل السوق يستوجب إعادة تدريبه بالكامل. وكلفة هذه الإعادة لا تتناسب مع حجم الإضافة بل مع حجم الكتالوج كله، كما أنها تُعرِّض منتجات كانت تعمل بصورة صحيحة لتدهور غير مقصود في الأداء. وفي مجال يتغيّر كتالوجه باستمرار، هذا يعني أن كلفة الصيانة تنمو مع نجاح المنتج نفسه.</w:t>
      </w:r>
    </w:p>
    <w:p>
      <w:pPr>
        <w:keepNext w:val="0"/>
        <w:bidi/>
        <w:spacing w:after="160" w:before="0" w:line="348" w:lineRule="auto"/>
        <w:jc w:val="both"/>
      </w:pPr>
      <w:r>
        <w:rPr>
          <w:rFonts w:ascii="Times New Roman" w:hAnsi="Times New Roman" w:cs="Noto Naskh Arabic"/>
          <w:b w:val="0"/>
          <w:i w:val="0"/>
          <w:color w:val="111111"/>
          <w:sz w:val="23"/>
          <w:szCs w:val="23"/>
          <w:rtl/>
          <w:cs/>
        </w:rPr>
        <w:t>والقيد الثاني إحصائي. فمجموعة صور ثابتة مقسَّمة على ستة أصناف تعني أن كل صنف لا ينال إلا جزءاً من الإشارة المتاحة، وأن الأصناف الأقل تمثيلاً تتعلّم على أمثلة قليلة جداً — وهو ما يُنتج انخفاض الاستدعاء، أي وجود منتجات على الرف لا تُكتشَف إطلاقاً. وتراجع النسخة الثانية عن الأولى، الوارد في القسم السابق، هو هذا القيد وقد ظهر بالقياس لا بالتنظير.</w:t>
      </w:r>
    </w:p>
    <w:p>
      <w:pPr>
        <w:keepNext w:val="0"/>
        <w:bidi/>
        <w:spacing w:after="160" w:before="0" w:line="348" w:lineRule="auto"/>
        <w:jc w:val="both"/>
      </w:pPr>
      <w:r>
        <w:rPr>
          <w:rFonts w:ascii="Times New Roman" w:hAnsi="Times New Roman" w:cs="Noto Naskh Arabic"/>
          <w:b w:val="0"/>
          <w:i w:val="0"/>
          <w:color w:val="111111"/>
          <w:sz w:val="23"/>
          <w:szCs w:val="23"/>
          <w:rtl/>
          <w:cs/>
        </w:rPr>
        <w:t>ويشترك القيدان في ملاحظة واحدة: أن الجزء المتقلّب من المشكلة (هوية المنتج) والجزء المستقر منها (وجود جسم على الرف) قد كُبِّلا معاً من دون داعٍ. فوجود منتج على الرف حقيقة بصرية لا تتغيّر بتغيّر الكتالوج؛ وفصلها عن مسألة الهوية هو ما تقوم عليه المعمارية التالية.</w:t>
      </w:r>
    </w:p>
    <w:p>
      <w:pPr>
        <w:keepNext/>
        <w:bidi/>
        <w:spacing w:before="360" w:after="140"/>
        <w:jc w:val="right"/>
      </w:pPr>
      <w:r>
        <w:rPr>
          <w:rFonts w:ascii="Times New Roman" w:hAnsi="Times New Roman" w:cs="Noto Naskh Arabic"/>
          <w:b/>
          <w:bCs w:val="1"/>
          <w:i w:val="0"/>
          <w:color w:val="1A3A5C"/>
          <w:sz w:val="28"/>
          <w:szCs w:val="28"/>
          <w:rtl/>
          <w:cs/>
        </w:rPr>
        <w:t>٥. المعمارية المبنيّة</w:t>
      </w:r>
    </w:p>
    <w:p>
      <w:pPr>
        <w:keepNext w:val="0"/>
        <w:bidi/>
        <w:spacing w:after="160" w:before="0" w:line="348" w:lineRule="auto"/>
        <w:jc w:val="both"/>
      </w:pPr>
      <w:r>
        <w:rPr>
          <w:rFonts w:ascii="Times New Roman" w:hAnsi="Times New Roman" w:cs="Noto Naskh Arabic"/>
          <w:b w:val="0"/>
          <w:i w:val="0"/>
          <w:color w:val="111111"/>
          <w:sz w:val="23"/>
          <w:szCs w:val="23"/>
          <w:rtl/>
          <w:cs/>
        </w:rPr>
        <w:t>تُضيّق المعمارية المبنيّة خلال هذه الفترة فضاء القرار مرحلةً بعد مرحلة، بحيث تكون كل طبقة صغيرة ومستقلة وقابلة للاستبدال من دون المساس بما قبلها.</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الأولى — الكشف. كاشف محايد صنفياً يحدد موضع كل منتج تحت صنف عام واحد هو «product». وهو لا يحمل أي معرفة بالهوية، فلا يستوجب إعادة تدريب عند دخول منتج جديد إلى الكتالوج مهما تغيّر.</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الثانية — العلامة التجارية. تُقتطع كل منطقة مكتشَفة وتُصنَّف بحسب الشركة المصنِّعة. وهذه طبقة مستقرة، لأن مجموعة العلامات في سوق ما تتغيّر أبطأ بكثير من مجموعة المنتجات.</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الثالثة — المتغيّر، بشرط التوجيه. حين تُحدِّد المرحلة الثانية علامةً لها مُصنِّف متغيّرات خاص بها، تستدعي خطوة توجيه ذلك المُصنِّف وحده. وعلامتان موصولتان بهذا النمط اليوم: Fanta (النكهة) وXL Energy. والقصاصة التي لا تخص أياً منهما لا تمرّ على أي مُصنِّف متغيّرات إطلاقاً.</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الرابعة — مادة التعبئة، بلا شرط. مُصنِّف واحد مشترك (علبة / بلاستيك / زجاج) يعمل على كل قصاصة بصرف النظر عن العلامة، لأن المادة خاصية فيزيائية لا تتوقف على المصنِّع — فأي علامة جديدة تُضاف مستقبلاً تستفيد منه فوراً من دون تدريب إضافي.</w:t>
      </w:r>
    </w:p>
    <w:p>
      <w:pPr>
        <w:keepNext w:val="0"/>
        <w:bidi/>
        <w:spacing w:after="160" w:before="0" w:line="348" w:lineRule="auto"/>
        <w:jc w:val="both"/>
      </w:pPr>
      <w:r>
        <w:rPr>
          <w:rFonts w:ascii="Times New Roman" w:hAnsi="Times New Roman" w:cs="Noto Naskh Arabic"/>
          <w:b w:val="0"/>
          <w:i w:val="0"/>
          <w:color w:val="111111"/>
          <w:sz w:val="23"/>
          <w:szCs w:val="23"/>
          <w:rtl/>
          <w:cs/>
        </w:rPr>
        <w:t>ثم تختار خطوة دمج أدقّ تسمية متاحة لكل قصاصة — المتغيّر إن وُجد، وإلا العلامة المجردة — وتُكتب النتيجة على الاكتشاف نفسه، فتصل إلى التطبيق تسمية واحدة تحمل العلامة والمتغيّر ومادة التعبئة معاً.</w:t>
      </w:r>
    </w:p>
    <w:p>
      <w:pPr>
        <w:keepNext/>
        <w:spacing w:before="240" w:after="80"/>
        <w:jc w:val="center"/>
      </w:pPr>
      <w:r>
        <w:drawing>
          <wp:inline xmlns:a="http://schemas.openxmlformats.org/drawingml/2006/main" xmlns:pic="http://schemas.openxmlformats.org/drawingml/2006/picture">
            <wp:extent cx="5544000" cy="3653373"/>
            <wp:docPr id="1" name="Picture 1"/>
            <wp:cNvGraphicFramePr>
              <a:graphicFrameLocks noChangeAspect="1"/>
            </wp:cNvGraphicFramePr>
            <a:graphic>
              <a:graphicData uri="http://schemas.openxmlformats.org/drawingml/2006/picture">
                <pic:pic>
                  <pic:nvPicPr>
                    <pic:cNvPr id="0" name="fig_pipeline_v2.png"/>
                    <pic:cNvPicPr/>
                  </pic:nvPicPr>
                  <pic:blipFill>
                    <a:blip r:embed="rId9"/>
                    <a:stretch>
                      <a:fillRect/>
                    </a:stretch>
                  </pic:blipFill>
                  <pic:spPr>
                    <a:xfrm>
                      <a:off x="0" y="0"/>
                      <a:ext cx="5544000" cy="3653373"/>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١. </w:t>
      </w:r>
      <w:r>
        <w:rPr>
          <w:rFonts w:ascii="Times New Roman" w:hAnsi="Times New Roman" w:cs="Noto Naskh Arabic"/>
          <w:b w:val="0"/>
          <w:i w:val="0"/>
          <w:color w:val="555555"/>
          <w:sz w:val="19"/>
          <w:szCs w:val="19"/>
          <w:rtl/>
          <w:cs/>
        </w:rPr>
        <w:t>المعمارية كما هي منشورة فعلياً. الفارق الجوهري عن المعماريات المرحلية المعتادة هو خطوتا التوجيه (باللون البرتقالي): فهما تفصلان تنفيذ مُصنِّفات المتغيّرات عن مجرد توفّر البيانات لها، وهو ما يقيسه القسم ٦٫٢.</w:t>
      </w:r>
    </w:p>
    <w:p>
      <w:pPr>
        <w:keepNext/>
        <w:bidi/>
        <w:spacing w:before="360" w:after="140"/>
        <w:jc w:val="right"/>
      </w:pPr>
      <w:r>
        <w:rPr>
          <w:rFonts w:ascii="Times New Roman" w:hAnsi="Times New Roman" w:cs="Noto Naskh Arabic"/>
          <w:b/>
          <w:bCs w:val="1"/>
          <w:i w:val="0"/>
          <w:color w:val="1A3A5C"/>
          <w:sz w:val="28"/>
          <w:szCs w:val="28"/>
          <w:rtl/>
          <w:cs/>
        </w:rPr>
        <w:t>٦. النتائج المقيسة</w:t>
      </w:r>
    </w:p>
    <w:p>
      <w:pPr>
        <w:keepNext/>
        <w:bidi/>
        <w:spacing w:before="240" w:after="140"/>
        <w:jc w:val="right"/>
      </w:pPr>
      <w:r>
        <w:rPr>
          <w:rFonts w:ascii="Times New Roman" w:hAnsi="Times New Roman" w:cs="Noto Naskh Arabic"/>
          <w:b/>
          <w:bCs w:val="1"/>
          <w:i w:val="0"/>
          <w:color w:val="1A3A5C"/>
          <w:sz w:val="24"/>
          <w:szCs w:val="24"/>
          <w:rtl/>
          <w:cs/>
        </w:rPr>
        <w:t>٦٫١ دقة الكشف</w:t>
      </w:r>
    </w:p>
    <w:p>
      <w:pPr>
        <w:keepNext w:val="0"/>
        <w:bidi/>
        <w:spacing w:after="160" w:before="0" w:line="348" w:lineRule="auto"/>
        <w:jc w:val="both"/>
      </w:pPr>
      <w:r>
        <w:rPr>
          <w:rFonts w:ascii="Times New Roman" w:hAnsi="Times New Roman" w:cs="Noto Naskh Arabic"/>
          <w:b w:val="0"/>
          <w:i w:val="0"/>
          <w:color w:val="111111"/>
          <w:sz w:val="23"/>
          <w:szCs w:val="23"/>
          <w:rtl/>
          <w:cs/>
        </w:rPr>
        <w:t>قُورِن الكاشف الأصلي المُصنَّف بالعلامة بالكاشف المحايد صنفياً عند أنضج نسخة من كلٍّ منهما، وكلاهما على معمارية النموذج ذاتها (rfdetr-large) حتى تكون المقارنة عادلة.</w:t>
      </w:r>
    </w:p>
    <w:p>
      <w:pPr>
        <w:keepNext/>
        <w:bidi/>
        <w:spacing w:before="240" w:after="100"/>
        <w:jc w:val="center"/>
      </w:pPr>
      <w:r>
        <w:rPr>
          <w:rFonts w:ascii="Times New Roman" w:hAnsi="Times New Roman" w:cs="Noto Naskh Arabic"/>
          <w:b/>
          <w:bCs w:val="1"/>
          <w:i w:val="0"/>
          <w:color w:val="555555"/>
          <w:sz w:val="19"/>
          <w:szCs w:val="19"/>
          <w:rtl/>
          <w:cs/>
        </w:rPr>
        <w:t xml:space="preserve">الجدول ١. </w:t>
      </w:r>
      <w:r>
        <w:rPr>
          <w:rFonts w:ascii="Times New Roman" w:hAnsi="Times New Roman" w:cs="Noto Naskh Arabic"/>
          <w:b w:val="0"/>
          <w:i w:val="0"/>
          <w:color w:val="555555"/>
          <w:sz w:val="19"/>
          <w:szCs w:val="19"/>
          <w:rtl/>
          <w:cs/>
        </w:rPr>
        <w:t>دقة الكشف قبل الفصل المعماري وبعده، على معمارية النموذج ذاتها.</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المقياس</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الأصلي (مُصنَّف بالعلامة، ٦ أصناف)</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الحالي (محايد صنفياً)</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صور التدريب</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١٬١٩١</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٣٨٤</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متوسط الدقة ‎mAP50</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٨٦٫٩٢٪</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٨٩٫٣٪</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الإحكام</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٨٢٫٧٪</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٩٠٫٥٪</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الاستدعاء</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٨٥٫٨٪</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٨١٫١٪</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بلغ الكاشف الجديد متوسط دقة وإحكاماً أعلى على نحو ثلث صور التدريب — وهي نتيجة في كفاءة البيانات، لا مجرد حجة تصميمية. أما الاستدعاء فأدنى بأربع نقاط، ويجب ألا يُخفى ذلك. والتفسير معروف ولا يتعلق بالمعمارية: فالمشروع المحايد صنفياً يضم ٢٢٦ صورة خام فقط، بينما بلغ المشروع الأصلي ١٬١٩١ صورة مُعلَّمة — أي أن نحو ٨٠٠ صورة مُعلَّمة سلفاً لم تُرحَّل بعد. وترحيلها إعادة تسمية برمجية إلى صنف واحد، لا عمل تعليم جديد، وهو أرخص إجراء متاح لسدّ هذه الفجوة.</w:t>
      </w:r>
    </w:p>
    <w:p>
      <w:pPr>
        <w:keepNext/>
        <w:bidi/>
        <w:spacing w:before="240" w:after="140"/>
        <w:jc w:val="right"/>
      </w:pPr>
      <w:r>
        <w:rPr>
          <w:rFonts w:ascii="Times New Roman" w:hAnsi="Times New Roman" w:cs="Noto Naskh Arabic"/>
          <w:b/>
          <w:bCs w:val="1"/>
          <w:i w:val="0"/>
          <w:color w:val="1A3A5C"/>
          <w:sz w:val="24"/>
          <w:szCs w:val="24"/>
          <w:rtl/>
          <w:cs/>
        </w:rPr>
        <w:t>٦٫٢ التعقيد الحسابي: من ‎O(N×K)‎ إلى ‎O(N)‎</w:t>
      </w:r>
    </w:p>
    <w:p>
      <w:pPr>
        <w:keepNext w:val="0"/>
        <w:bidi/>
        <w:spacing w:after="160" w:before="0" w:line="348" w:lineRule="auto"/>
        <w:jc w:val="both"/>
      </w:pPr>
      <w:r>
        <w:rPr>
          <w:rFonts w:ascii="Times New Roman" w:hAnsi="Times New Roman" w:cs="Noto Naskh Arabic"/>
          <w:b w:val="0"/>
          <w:i w:val="0"/>
          <w:color w:val="111111"/>
          <w:sz w:val="23"/>
          <w:szCs w:val="23"/>
          <w:rtl/>
          <w:cs/>
        </w:rPr>
        <w:t>في التصميم الأول كان مُصنِّف المتغيّرات يعمل على كل قصاصة بصرف النظر عن علامتها، لأن خطوة الدمج كانت تختار النتيجة الصحيحة بعد التنفيذ لا قبله. وعلى صورة اختبارية حقيقية تضم ٦٠ منتجاً، عمل مُصنِّف Fanta على القصاصات الستين جميعها رغم أن ١٢ منها فقط كانت Fanta — أي أن ٤٨ استدعاءً من كل ٦٠ كانت مهدورة بالكامل. وبعدد المنتجات N وعدد مُصنِّفات المتغيّرات K، ينمو هذا العبء بحاصل ضربهما.</w:t>
      </w:r>
    </w:p>
    <w:p>
      <w:pPr>
        <w:keepNext w:val="0"/>
        <w:bidi/>
        <w:spacing w:after="160" w:before="0" w:line="348" w:lineRule="auto"/>
        <w:jc w:val="both"/>
      </w:pPr>
      <w:r>
        <w:rPr>
          <w:rFonts w:ascii="Times New Roman" w:hAnsi="Times New Roman" w:cs="Noto Naskh Arabic"/>
          <w:b w:val="0"/>
          <w:i w:val="0"/>
          <w:color w:val="111111"/>
          <w:sz w:val="23"/>
          <w:szCs w:val="23"/>
          <w:rtl/>
          <w:cs/>
        </w:rPr>
        <w:t>وبإدخال خطوة توجيه تُقيّم تسمية العلامة أولاً ثم تُنفِّذ الفرع المعني وحده، تصبح كل قصاصة مارّةً بمُصنِّف متغيّرات واحد على الأكثر — فينمو العبء مع N وحدها، بصرف النظر عن K. وقد قِيس هذا على الصورة ذاتها وتحت الظروف ذاتها، بتشغيل النسختين تباعاً عبر مسار الاستدعاء نفسه: انخفض زمن التصنيف من ٤٠٫٣٢ ثانية إلى ١٤٫٢٠ ثانية، أي بنسبة ٦٥٪ ووفراً قدره ٢٦٫١ ثانية، مع تطابق تام في المُخرَجات.</w:t>
      </w:r>
    </w:p>
    <w:p>
      <w:pPr>
        <w:keepNext w:val="0"/>
        <w:bidi/>
        <w:spacing w:after="160" w:before="0" w:line="348" w:lineRule="auto"/>
        <w:jc w:val="both"/>
      </w:pPr>
      <w:r>
        <w:rPr>
          <w:rFonts w:ascii="Times New Roman" w:hAnsi="Times New Roman" w:cs="Noto Naskh Arabic"/>
          <w:b w:val="0"/>
          <w:i w:val="0"/>
          <w:color w:val="111111"/>
          <w:sz w:val="23"/>
          <w:szCs w:val="23"/>
          <w:rtl/>
          <w:cs/>
        </w:rPr>
        <w:t>وأهمية هذه النتيجة أنها لا تتعلق بهذه الصورة بعينها بل بشكل النمو نفسه: فكل علامة تحصل مستقبلاً على مُصنِّف متغيّرات خاص بها كانت ستُضيف عبئاً على كل قصاصة في كل صورة تحت التصميم القديم، بينما تُضيف اليوم عبئاً ثابتاً لا يتراكم. وقد جرى تطبيق النمط مرتين خلال هذه الفترة — Fanta ثم XL Energy — والمكسب صامد مع مُصنِّفَين فعّالَين لا واحد.</w:t>
      </w:r>
    </w:p>
    <w:p>
      <w:pPr>
        <w:keepNext/>
        <w:spacing w:before="240" w:after="80"/>
        <w:jc w:val="center"/>
      </w:pPr>
      <w:r>
        <w:drawing>
          <wp:inline xmlns:a="http://schemas.openxmlformats.org/drawingml/2006/main" xmlns:pic="http://schemas.openxmlformats.org/drawingml/2006/picture">
            <wp:extent cx="5544000" cy="2055878"/>
            <wp:docPr id="2" name="Picture 2"/>
            <wp:cNvGraphicFramePr>
              <a:graphicFrameLocks noChangeAspect="1"/>
            </wp:cNvGraphicFramePr>
            <a:graphic>
              <a:graphicData uri="http://schemas.openxmlformats.org/drawingml/2006/picture">
                <pic:pic>
                  <pic:nvPicPr>
                    <pic:cNvPr id="0" name="fig_complexity.png"/>
                    <pic:cNvPicPr/>
                  </pic:nvPicPr>
                  <pic:blipFill>
                    <a:blip r:embed="rId10"/>
                    <a:stretch>
                      <a:fillRect/>
                    </a:stretch>
                  </pic:blipFill>
                  <pic:spPr>
                    <a:xfrm>
                      <a:off x="0" y="0"/>
                      <a:ext cx="5544000" cy="2055878"/>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٢. </w:t>
      </w:r>
      <w:r>
        <w:rPr>
          <w:rFonts w:ascii="Times New Roman" w:hAnsi="Times New Roman" w:cs="Noto Naskh Arabic"/>
          <w:b w:val="0"/>
          <w:i w:val="0"/>
          <w:color w:val="555555"/>
          <w:sz w:val="19"/>
          <w:szCs w:val="19"/>
          <w:rtl/>
          <w:cs/>
        </w:rPr>
        <w:t>يساراً: عدد استدعاءات مُصنِّفات المتغيّرات لكل صورة بدلالة عدد العلامات التي لها مُصنِّف خاص. والنجمة هي القياس الفعلي عند K = ١ (‏١٢ استدعاءً بدل ٦٠)، أي أن المكسب الحقيقي أكبر من الحدّ الأعلى المرسوم. يميناً: الزمن المقيس على الصورة ذاتها قبل التوجيه وبعده.</w:t>
      </w:r>
    </w:p>
    <w:p>
      <w:pPr>
        <w:keepNext/>
        <w:bidi/>
        <w:spacing w:before="240" w:after="140"/>
        <w:jc w:val="right"/>
      </w:pPr>
      <w:r>
        <w:rPr>
          <w:rFonts w:ascii="Times New Roman" w:hAnsi="Times New Roman" w:cs="Noto Naskh Arabic"/>
          <w:b/>
          <w:bCs w:val="1"/>
          <w:i w:val="0"/>
          <w:color w:val="1A3A5C"/>
          <w:sz w:val="24"/>
          <w:szCs w:val="24"/>
          <w:rtl/>
          <w:cs/>
        </w:rPr>
        <w:t>٦٫٣ كلفة التدريب</w:t>
      </w:r>
    </w:p>
    <w:p>
      <w:pPr>
        <w:keepNext w:val="0"/>
        <w:bidi/>
        <w:spacing w:after="160" w:before="0" w:line="348" w:lineRule="auto"/>
        <w:jc w:val="both"/>
      </w:pPr>
      <w:r>
        <w:rPr>
          <w:rFonts w:ascii="Times New Roman" w:hAnsi="Times New Roman" w:cs="Noto Naskh Arabic"/>
          <w:b w:val="0"/>
          <w:i w:val="0"/>
          <w:color w:val="111111"/>
          <w:sz w:val="23"/>
          <w:szCs w:val="23"/>
          <w:rtl/>
          <w:cs/>
        </w:rPr>
        <w:t>المخاطرة المتوقَّعة من الانتقال من نموذج واحد إلى خمسة هي ارتفاع كلفة الحوسبة. والأرقام التالية محسوبة من أزمنة التدريب الفعلية المسجَّلة، وفق المعدل المُعلَن البالغ رصيداً واحداً لكل ثلاثين دقيقة تدريب على معالج رسوميات.</w:t>
      </w:r>
    </w:p>
    <w:p>
      <w:pPr>
        <w:keepNext/>
        <w:bidi/>
        <w:spacing w:before="240" w:after="100"/>
        <w:jc w:val="center"/>
      </w:pPr>
      <w:r>
        <w:rPr>
          <w:rFonts w:ascii="Times New Roman" w:hAnsi="Times New Roman" w:cs="Noto Naskh Arabic"/>
          <w:b/>
          <w:bCs w:val="1"/>
          <w:i w:val="0"/>
          <w:color w:val="555555"/>
          <w:sz w:val="19"/>
          <w:szCs w:val="19"/>
          <w:rtl/>
          <w:cs/>
        </w:rPr>
        <w:t xml:space="preserve">الجدول ٢. </w:t>
      </w:r>
      <w:r>
        <w:rPr>
          <w:rFonts w:ascii="Times New Roman" w:hAnsi="Times New Roman" w:cs="Noto Naskh Arabic"/>
          <w:b w:val="0"/>
          <w:i w:val="0"/>
          <w:color w:val="555555"/>
          <w:sz w:val="19"/>
          <w:szCs w:val="19"/>
          <w:rtl/>
          <w:cs/>
        </w:rPr>
        <w:t>كلفة تدريب النماذج الخمسة العاملة حالياً في الإنتاج. لا تشمل النسخ المتجاوَزة.</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النموذج</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زمن التدريب</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الأرصدة</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الكاشف المحايد صنفياً</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٤٤٫٢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١٫٤٨</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مُصنِّف العلامة التجارية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٤٫٣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٠٫١٤</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مُصنِّف نكهات Fanta</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٧٫٢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٠٫٢٤</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مُصنِّف متغيّرات XL Energy</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٤٫٤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٠٫١٥</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مُصنِّف مادة التعبئة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٧٫٠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٠٫٢٣</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المجموع</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٦٧٫١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٢٫٢٤</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أي أن المجموعة الكاملة كلّفت أقل من ساعة وعشر دقائق من زمن معالج الرسوميات منذ البداية — جزء ضئيل من مخصصات شهر واحد في أرخص خطة مدفوعة. فالانتقال من نموذج واحد إلى خمسة لم يرفع كلفة التدريب بصورة معتبرة بينما رفع الدقة وغطّى ثلاثة محاور جديدة للمعلومة. ولا يُذكر هنا رقم بالدولار عمداً، لأن الأسعار تتغيّر بمعزل عن هذا التقرير وينبغي التحقق منها من مصدرها عند الحاجة.</w:t>
      </w:r>
    </w:p>
    <w:p>
      <w:pPr>
        <w:keepNext w:val="0"/>
        <w:bidi/>
        <w:spacing w:after="160" w:before="0" w:line="348" w:lineRule="auto"/>
        <w:jc w:val="both"/>
      </w:pPr>
      <w:r>
        <w:rPr>
          <w:rFonts w:ascii="Times New Roman" w:hAnsi="Times New Roman" w:cs="Noto Naskh Arabic"/>
          <w:b w:val="0"/>
          <w:i w:val="0"/>
          <w:color w:val="111111"/>
          <w:sz w:val="23"/>
          <w:szCs w:val="23"/>
          <w:rtl/>
          <w:cs/>
        </w:rPr>
        <w:t>وثمة كلفة مقابلة لم تُقَس بعد وتُذكر هنا بدلاً من إغفالها: فخط المعالجة يُصدر الآن استدعاءات تصنيف لكل منتج مكتشَف لا لكل صورة، فرفّ مزدحم بعشرين منتجاً يستهلك أكثر بكثير من صورة تحوي منتجين. وهذا أثر تشغيلي حقيقي ينبغي قياسه من الاستخدام الحي قبل الاستشهاد به كرقم.</w:t>
      </w:r>
    </w:p>
    <w:p>
      <w:pPr>
        <w:keepNext/>
        <w:bidi/>
        <w:spacing w:before="240" w:after="140"/>
        <w:jc w:val="right"/>
      </w:pPr>
      <w:r>
        <w:rPr>
          <w:rFonts w:ascii="Times New Roman" w:hAnsi="Times New Roman" w:cs="Noto Naskh Arabic"/>
          <w:b/>
          <w:bCs w:val="1"/>
          <w:i w:val="0"/>
          <w:color w:val="1A3A5C"/>
          <w:sz w:val="24"/>
          <w:szCs w:val="24"/>
          <w:rtl/>
          <w:cs/>
        </w:rPr>
        <w:t>٦٫٤ الكلفة الحدّية لنمو الكتالوج</w:t>
      </w:r>
    </w:p>
    <w:p>
      <w:pPr>
        <w:keepNext w:val="0"/>
        <w:bidi/>
        <w:spacing w:after="160" w:before="0" w:line="348" w:lineRule="auto"/>
        <w:jc w:val="both"/>
      </w:pPr>
      <w:r>
        <w:rPr>
          <w:rFonts w:ascii="Times New Roman" w:hAnsi="Times New Roman" w:cs="Noto Naskh Arabic"/>
          <w:b w:val="0"/>
          <w:i w:val="0"/>
          <w:color w:val="111111"/>
          <w:sz w:val="23"/>
          <w:szCs w:val="23"/>
          <w:rtl/>
          <w:cs/>
        </w:rPr>
        <w:t>أهم رقم تجارياً ليس دقة النموذج بل كلفة إضافة منتج جديد. وتحت المعمارية الأصلية كانت هذه الكلفة متناسبة مع حجم الكتالوج كله، لأن كل إضافة تعني إعادة تدريب شاملة. أما تحت المعمارية الحالية فقد جرى قياسها مرتين عملياً: إضافة تمييز نكهات Fanta أولاً، ثم إضافة متغيّرات XL Energy لاحقاً. وفي الحالتين كان العمل هو نفسه — تعليم بضع مئات من القصاصات المتاحة أصلاً، وتدريب مُصنِّف صغير واحد، ووصله بخطوة توجيه — من دون أي مساس بالكاشف أو بمُصنِّف العلامة، وأُنجِز كلٌّ منهما خلال ساعات.</w:t>
      </w:r>
    </w:p>
    <w:p>
      <w:pPr>
        <w:keepNext w:val="0"/>
        <w:bidi/>
        <w:spacing w:after="160" w:before="0" w:line="348" w:lineRule="auto"/>
        <w:jc w:val="both"/>
      </w:pPr>
      <w:r>
        <w:rPr>
          <w:rFonts w:ascii="Times New Roman" w:hAnsi="Times New Roman" w:cs="Noto Naskh Arabic"/>
          <w:b w:val="0"/>
          <w:i w:val="0"/>
          <w:color w:val="111111"/>
          <w:sz w:val="23"/>
          <w:szCs w:val="23"/>
          <w:rtl/>
          <w:cs/>
        </w:rPr>
        <w:t>وينطبق الأمر نفسه على استقبال عميل جديد: فقاعدة البيانات مبنيّة متعددة المستأجرين منذ التصميم، بحيث تُعزَل بيانات كل شركة على مستوى قاعدة البيانات نفسها. أي أن إضافة شركة عملية إدخال بيانات، لا تغيير برمجي.</w:t>
      </w:r>
    </w:p>
    <w:p>
      <w:pPr>
        <w:keepNext/>
        <w:bidi/>
        <w:spacing w:before="360" w:after="140"/>
        <w:jc w:val="right"/>
      </w:pPr>
      <w:r>
        <w:rPr>
          <w:rFonts w:ascii="Times New Roman" w:hAnsi="Times New Roman" w:cs="Noto Naskh Arabic"/>
          <w:b/>
          <w:bCs w:val="1"/>
          <w:i w:val="0"/>
          <w:color w:val="1A3A5C"/>
          <w:sz w:val="28"/>
          <w:szCs w:val="28"/>
          <w:rtl/>
          <w:cs/>
        </w:rPr>
        <w:t>٧. التطبيق الميداني</w:t>
      </w:r>
    </w:p>
    <w:p>
      <w:pPr>
        <w:keepNext w:val="0"/>
        <w:bidi/>
        <w:spacing w:after="160" w:before="0" w:line="348" w:lineRule="auto"/>
        <w:jc w:val="both"/>
      </w:pPr>
      <w:r>
        <w:rPr>
          <w:rFonts w:ascii="Times New Roman" w:hAnsi="Times New Roman" w:cs="Noto Naskh Arabic"/>
          <w:b w:val="0"/>
          <w:i w:val="0"/>
          <w:color w:val="111111"/>
          <w:sz w:val="23"/>
          <w:szCs w:val="23"/>
          <w:rtl/>
          <w:cs/>
        </w:rPr>
        <w:t>النماذج وحدها لا تُشكّل منتجاً. فالمُخرَج الآلي على صور غير مضبوطة لا يمكن اعتباره نهائياً — الالتباس فيها بنيوي لا استثنائي — ولذلك طُوِّر بالتوازي تطبيق متعدد المنصّات يؤدي ثلاثة أدوار: توحيد معايير الالتقاط عند نقطة الجمع، وتشغيل خط المعالجة على الصورة، وإقحام مراجع بشري بين مُخرَج النموذج وأي رقم يُبلَّغ عنه بوصفه حقيقة.</w:t>
      </w:r>
    </w:p>
    <w:p>
      <w:pPr>
        <w:keepNext w:val="0"/>
        <w:bidi/>
        <w:spacing w:after="160" w:before="0" w:line="348" w:lineRule="auto"/>
        <w:jc w:val="both"/>
      </w:pPr>
      <w:r>
        <w:rPr>
          <w:rFonts w:ascii="Times New Roman" w:hAnsi="Times New Roman" w:cs="Noto Naskh Arabic"/>
          <w:b w:val="0"/>
          <w:i w:val="0"/>
          <w:color w:val="111111"/>
          <w:sz w:val="23"/>
          <w:szCs w:val="23"/>
          <w:rtl/>
          <w:cs/>
        </w:rPr>
        <w:t>ويتألف التطبيق حالياً من ٦٤ ملفاً مصدرياً بلغة Dart يبلغ مجموعها نحو ١١٬٨٠٠ سطر، يصحبها ٢٣ ملف اختبار بنحو ٤٬٧٠٠ سطر.</w:t>
      </w:r>
    </w:p>
    <w:p>
      <w:pPr>
        <w:keepNext/>
        <w:bidi/>
        <w:spacing w:before="240" w:after="100"/>
        <w:jc w:val="center"/>
      </w:pPr>
      <w:r>
        <w:rPr>
          <w:rFonts w:ascii="Times New Roman" w:hAnsi="Times New Roman" w:cs="Noto Naskh Arabic"/>
          <w:b/>
          <w:bCs w:val="1"/>
          <w:i w:val="0"/>
          <w:color w:val="555555"/>
          <w:sz w:val="19"/>
          <w:szCs w:val="19"/>
          <w:rtl/>
          <w:cs/>
        </w:rPr>
        <w:t xml:space="preserve">الجدول ٣. </w:t>
      </w:r>
      <w:r>
        <w:rPr>
          <w:rFonts w:ascii="Times New Roman" w:hAnsi="Times New Roman" w:cs="Noto Naskh Arabic"/>
          <w:b w:val="0"/>
          <w:i w:val="0"/>
          <w:color w:val="555555"/>
          <w:sz w:val="19"/>
          <w:szCs w:val="19"/>
          <w:rtl/>
          <w:cs/>
        </w:rPr>
        <w:t>تركيب التطبيق بحسب الطبقة المعمارية.</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الطبقة</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عدد الوحدات</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المسؤولية</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الشاشات</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١٢</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المصادقة والالتقاط والمراجعة والإدارة وسير الزيارة</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الخدمات</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١٥</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الكشف والكاميرا والمصادقة وحفظ الأسواق والزيارات</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النماذج</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١٦</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الاكتشافات وصناديق الإحاطة وحصة الرف وملفات المستخدمين</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الودجات</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١٧</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طبقات عرض الاكتشافات والمحرِّرات ولوحات النتائج</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الإعداد والسمة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٣</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إعدادات زمن التشغيل ورموز العرض</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ويُنفِّذ التطبيق سير عمل مُفرَّقاً بحسب الأدوار: يُعرِّف مسؤولو الشركة الأسواق الخاضعة للتدقيق ويراجعون طلبات الوصول، بينما يختار المندوبون سوقاً ويلتقطون صور الرفوف وتُحفَظ النتيجة منسوبةً إلى ذلك السوق ضمن زيارة مسجَّلة. وربط كل صورة بسوق معلوم لحظةَ الالتقاط هو ما يجعل البيانات المجموعة قابلة للتحليل التجاري لاحقاً بدلاً من أن تكون صوراً غير منسوبة.</w:t>
      </w:r>
    </w:p>
    <w:p>
      <w:pPr>
        <w:keepNext w:val="0"/>
        <w:bidi/>
        <w:spacing w:after="160" w:before="0" w:line="348" w:lineRule="auto"/>
        <w:jc w:val="both"/>
      </w:pPr>
      <w:r>
        <w:rPr>
          <w:rFonts w:ascii="Times New Roman" w:hAnsi="Times New Roman" w:cs="Noto Naskh Arabic"/>
          <w:b w:val="0"/>
          <w:i w:val="0"/>
          <w:color w:val="111111"/>
          <w:sz w:val="23"/>
          <w:szCs w:val="23"/>
          <w:rtl/>
          <w:cs/>
        </w:rPr>
        <w:t>ويسمح محرِّر الاكتشافات للمُشغِّل بمراجعة مُخرَج النموذج وتصحيحه قبل الإرسال — فحيثما يجعل الحجب أو زاوية التصوير التصنيفَ غير موثوق، يحسمه إنسان بدلاً من أن تنتشر تسمية ضعيفة الثقة إلى التقارير. وهذه التصحيحات تُشكّل في الوقت ذاته إشارةً خاضعة للإشراف صالحة لإعادة التدريب، فيُنتج الاستخدام الميداني الاعتيادي بياناتِ تدريب كناتج عرَضي.</w:t>
      </w:r>
    </w:p>
    <w:p>
      <w:pPr>
        <w:keepNext w:val="0"/>
        <w:bidi/>
        <w:spacing w:after="160" w:before="0" w:line="348" w:lineRule="auto"/>
        <w:jc w:val="both"/>
      </w:pPr>
      <w:r>
        <w:rPr>
          <w:rFonts w:ascii="Times New Roman" w:hAnsi="Times New Roman" w:cs="Noto Naskh Arabic"/>
          <w:b w:val="0"/>
          <w:i w:val="0"/>
          <w:color w:val="111111"/>
          <w:sz w:val="23"/>
          <w:szCs w:val="23"/>
          <w:rtl/>
          <w:cs/>
        </w:rPr>
        <w:t>وقد أُضيف خلال هذه الفترة ما يجعل البيانات المجموعة مقروءة فعلاً: واجهة تُظهر لمسؤول الشركة ما سجّله المندوبون (كانت البيانات تُكتب سابقاً من دون أن يقرأها أحد)، وتقرير لحصة الرف يفصّل نسبة كل علامة إلى متغيّراتها، وتحذير إلزامي عند الالتقاط من مسافة بعيدة يتعذّر معها العدّ الموثوق. كما باتت مادة التعبئة تُرافق التسمية ذاتها التي يعرضها التطبيق، لا حقلاً منفصلاً لا يقرأه أحد.</w:t>
      </w:r>
    </w:p>
    <w:p>
      <w:pPr>
        <w:keepNext/>
        <w:spacing w:before="240" w:after="80"/>
        <w:jc w:val="center"/>
      </w:pPr>
      <w:r>
        <w:drawing>
          <wp:inline xmlns:a="http://schemas.openxmlformats.org/drawingml/2006/main" xmlns:pic="http://schemas.openxmlformats.org/drawingml/2006/picture">
            <wp:extent cx="3891120" cy="5580000"/>
            <wp:docPr id="3" name="Picture 3"/>
            <wp:cNvGraphicFramePr>
              <a:graphicFrameLocks noChangeAspect="1"/>
            </wp:cNvGraphicFramePr>
            <a:graphic>
              <a:graphicData uri="http://schemas.openxmlformats.org/drawingml/2006/picture">
                <pic:pic>
                  <pic:nvPicPr>
                    <pic:cNvPr id="0" name="fig4_app.jpg"/>
                    <pic:cNvPicPr/>
                  </pic:nvPicPr>
                  <pic:blipFill>
                    <a:blip r:embed="rId11"/>
                    <a:stretch>
                      <a:fillRect/>
                    </a:stretch>
                  </pic:blipFill>
                  <pic:spPr>
                    <a:xfrm>
                      <a:off x="0" y="0"/>
                      <a:ext cx="3891120" cy="5580000"/>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٣. </w:t>
      </w:r>
      <w:r>
        <w:rPr>
          <w:rFonts w:ascii="Times New Roman" w:hAnsi="Times New Roman" w:cs="Noto Naskh Arabic"/>
          <w:b w:val="0"/>
          <w:i w:val="0"/>
          <w:color w:val="555555"/>
          <w:sz w:val="19"/>
          <w:szCs w:val="19"/>
          <w:rtl/>
          <w:cs/>
        </w:rPr>
        <w:t>التطبيق وهو يراجع التقاطاً حياً: ٧٥ اكتشافاً في برّاد واحد مع حصص العلامات محسوبة أسفلها. وتزاحمُ التسميات الظاهر هنا ليس عيباً في العرض بل وصفٌ دقيق لكثافة المشهد الحقيقي، وهو بذاته الحجة على أن المراجعة البشرية جزء من التصميم لا حلٌّ احتياطي.</w:t>
      </w:r>
    </w:p>
    <w:p>
      <w:pPr>
        <w:keepNext/>
        <w:bidi/>
        <w:spacing w:before="360" w:after="140"/>
        <w:jc w:val="right"/>
      </w:pPr>
      <w:r>
        <w:rPr>
          <w:rFonts w:ascii="Times New Roman" w:hAnsi="Times New Roman" w:cs="Noto Naskh Arabic"/>
          <w:b/>
          <w:bCs w:val="1"/>
          <w:i w:val="0"/>
          <w:color w:val="1A3A5C"/>
          <w:sz w:val="28"/>
          <w:szCs w:val="28"/>
          <w:rtl/>
          <w:cs/>
        </w:rPr>
        <w:t>٨. الصعوبات المُواجَهة</w:t>
      </w:r>
    </w:p>
    <w:p>
      <w:pPr>
        <w:keepNext w:val="0"/>
        <w:bidi/>
        <w:spacing w:after="160" w:before="0" w:line="348" w:lineRule="auto"/>
        <w:jc w:val="both"/>
      </w:pPr>
      <w:r>
        <w:rPr>
          <w:rFonts w:ascii="Times New Roman" w:hAnsi="Times New Roman" w:cs="Noto Naskh Arabic"/>
          <w:b w:val="0"/>
          <w:i w:val="0"/>
          <w:color w:val="111111"/>
          <w:sz w:val="23"/>
          <w:szCs w:val="23"/>
          <w:rtl/>
          <w:cs/>
        </w:rPr>
        <w:t>لم تكن الصعوبات الجوهرية في هذه الفترة خوارزمية. فقد كان الجزء الأصعب دائماً هو معرفة ما يفعله النظام فعلياً، في مقابل ما كان يبدو أنه يفعله.</w:t>
      </w:r>
    </w:p>
    <w:p>
      <w:pPr>
        <w:keepNext w:val="0"/>
        <w:bidi/>
        <w:spacing w:after="120" w:before="0" w:line="348" w:lineRule="auto"/>
        <w:jc w:val="both"/>
      </w:pPr>
      <w:r>
        <w:rPr>
          <w:rFonts w:ascii="Times New Roman" w:hAnsi="Times New Roman" w:cs="Noto Naskh Arabic"/>
          <w:b w:val="0"/>
          <w:i w:val="0"/>
          <w:color w:val="111111"/>
          <w:sz w:val="23"/>
          <w:szCs w:val="23"/>
          <w:rtl/>
          <w:cs/>
        </w:rPr>
        <w:t>أولاً: أعراض تشير بعيداً عن أسبابها. عند ضعف الأداء على صنف بعينه، تكون القراءة البديهية دائماً «النموذج يحتاج تدريباً أكثر». وقد تبيّن مراراً أن هذا خطأ. ففي حالة متغيّرات الكوكاكولا، لم يكن القيد في النموذج بل في البيانات نفسها: تدقيقٌ بصري لجميع القصاصات المتاحة البالغة ٣٠١ أظهر أن نحو ٩٥٪ منها للنسخة الكلاسيكية، من دون أي مثال مؤكد لـ Zero. ولا يمكن لأي قدر من التدريب أن يُنتج تمييزاً بين متغيّرات لا توجد صورها أصلاً. والدرس المنهجي أن تدقيق بيانات التدريب مباشرةً أسرع في الوصول إلى السبب من ضبط النموذج.</w:t>
      </w:r>
    </w:p>
    <w:p>
      <w:pPr>
        <w:keepNext w:val="0"/>
        <w:bidi/>
        <w:spacing w:after="120" w:before="0" w:line="348" w:lineRule="auto"/>
        <w:jc w:val="both"/>
      </w:pPr>
      <w:r>
        <w:rPr>
          <w:rFonts w:ascii="Times New Roman" w:hAnsi="Times New Roman" w:cs="Noto Naskh Arabic"/>
          <w:b w:val="0"/>
          <w:i w:val="0"/>
          <w:color w:val="111111"/>
          <w:sz w:val="23"/>
          <w:szCs w:val="23"/>
          <w:rtl/>
          <w:cs/>
        </w:rPr>
        <w:t>ثانياً: إخفاق صامت في محرّك سير العمل. عند إدخال خطوة التوجيه، عادت العلامات فارغة لكل قصاصة غير تابعة للفرع الموجَّه — رغم أن مُصنِّف العلامة كان قد صنّفها جميعاً بشكل صحيح. وقد استُهلِكت محاولتان قبل الوصول إلى السبب: أن المحرّك يُضيّق نطاق أي خطوة إلى أضيق نطاق بين مُدخلاتها، فمزجُ مُدخَل مارٍّ عبر بوابة توجيه بمُدخَل غير مارٍّ بها يُسقِط قيم الثاني بصمت — من دون رسالة خطأ. وكان الحل استخدام الكتلة المخصصة لدمج الفروع البديلة بدلاً من منطق مخصص مكتوب يدوياً. والدرس أن غياب رسالة الخطأ ليس دليل سلامة، وأن الإخفاق الصامت في هذه المنصات هو النمط الأخطر لأنه لا يُعلن عن نفسه.</w:t>
      </w:r>
    </w:p>
    <w:p>
      <w:pPr>
        <w:keepNext w:val="0"/>
        <w:bidi/>
        <w:spacing w:after="120" w:before="0" w:line="348" w:lineRule="auto"/>
        <w:jc w:val="both"/>
      </w:pPr>
      <w:r>
        <w:rPr>
          <w:rFonts w:ascii="Times New Roman" w:hAnsi="Times New Roman" w:cs="Noto Naskh Arabic"/>
          <w:b w:val="0"/>
          <w:i w:val="0"/>
          <w:color w:val="111111"/>
          <w:sz w:val="23"/>
          <w:szCs w:val="23"/>
          <w:rtl/>
          <w:cs/>
        </w:rPr>
        <w:t>ثالثاً: قيد في المنصة لا في العمل. تقييم الدقة الآلي للمُصنِّفات في منصة التدريب يعمل لحظة التدريب فقط، وضمن مستوى اشتراك مدفوع لا تملكه مساحة العمل الحالية، ولا توجد وسيلة لتشغيله لاحقاً على تدريب منتهٍ. ولهذا لا يحمل أيٌّ من المُصنِّفات الأربعة رقم دقة مسجَّلاً — لا لأن الخطوة أُغفِلت، بل لأن المنصة لم تُشغِّلها. وقد استلزم الوصول إلى هذا الاستنتاج استبعاد تفسيرات أكثر ترجيحاً أولاً قبل تأكيده من وثائق المنصة.</w:t>
      </w:r>
    </w:p>
    <w:p>
      <w:pPr>
        <w:keepNext w:val="0"/>
        <w:bidi/>
        <w:spacing w:after="120" w:before="0" w:line="348" w:lineRule="auto"/>
        <w:jc w:val="both"/>
      </w:pPr>
      <w:r>
        <w:rPr>
          <w:rFonts w:ascii="Times New Roman" w:hAnsi="Times New Roman" w:cs="Noto Naskh Arabic"/>
          <w:b w:val="0"/>
          <w:i w:val="0"/>
          <w:color w:val="111111"/>
          <w:sz w:val="23"/>
          <w:szCs w:val="23"/>
          <w:rtl/>
          <w:cs/>
        </w:rPr>
        <w:t>رابعاً: احتكاك العمل على بيانات كبيرة. استلزم تعليم أكثر من ١٬٤٠٠ صورة لمُصنِّف مادة التعبئة توزيع العمل على عدة عمليات متوازية، واصطدم بحدود جلسات حقيقية استوجبت استئنافاً في منتصف المهمة. وهذا ليس قيداً معمارياً، لكنه جزء واقعي من كلفة أي عمل على بيانات بهذا الحجم، ويُذكر لأنه يؤثر في تقدير زمن المهام المشابهة مستقبلاً.</w:t>
      </w:r>
    </w:p>
    <w:p>
      <w:pPr>
        <w:keepNext/>
        <w:bidi/>
        <w:spacing w:before="360" w:after="140"/>
        <w:jc w:val="right"/>
      </w:pPr>
      <w:r>
        <w:rPr>
          <w:rFonts w:ascii="Times New Roman" w:hAnsi="Times New Roman" w:cs="Noto Naskh Arabic"/>
          <w:b/>
          <w:bCs w:val="1"/>
          <w:i w:val="0"/>
          <w:color w:val="1A3A5C"/>
          <w:sz w:val="28"/>
          <w:szCs w:val="28"/>
          <w:rtl/>
          <w:cs/>
        </w:rPr>
        <w:t>٩. المخاطر والفجوات المفتوحة</w:t>
      </w:r>
    </w:p>
    <w:p>
      <w:pPr>
        <w:keepNext w:val="0"/>
        <w:bidi/>
        <w:spacing w:after="160" w:before="0" w:line="348" w:lineRule="auto"/>
        <w:jc w:val="both"/>
      </w:pPr>
      <w:r>
        <w:rPr>
          <w:rFonts w:ascii="Times New Roman" w:hAnsi="Times New Roman" w:cs="Noto Naskh Arabic"/>
          <w:b w:val="0"/>
          <w:i w:val="0"/>
          <w:color w:val="111111"/>
          <w:sz w:val="23"/>
          <w:szCs w:val="23"/>
          <w:rtl/>
          <w:cs/>
        </w:rPr>
        <w:t>مذكورة بترتيب أولوية الإغلاق، مع السبب الصادق وراء بقاء كلٍّ منها مفتوحاً:</w:t>
      </w:r>
    </w:p>
    <w:p>
      <w:pPr>
        <w:keepNext w:val="0"/>
        <w:bidi/>
        <w:spacing w:after="120" w:before="0" w:line="348" w:lineRule="auto"/>
        <w:jc w:val="both"/>
      </w:pPr>
      <w:r>
        <w:rPr>
          <w:rFonts w:ascii="Times New Roman" w:hAnsi="Times New Roman" w:cs="Noto Naskh Arabic"/>
          <w:b w:val="0"/>
          <w:i w:val="0"/>
          <w:color w:val="111111"/>
          <w:sz w:val="23"/>
          <w:szCs w:val="23"/>
          <w:rtl/>
          <w:cs/>
        </w:rPr>
        <w:t>١. لا يوجد رقم دقة مقيس لأي مُصنِّف. المُصنِّفات الأربعة تخدم حركة حية من دون تقييم مسجَّل، للسبب الوارد في القسم السابق. وسدّ هذه الفجوة يستوجب ترقية مستوى الاشتراك ثم إعادة تدريب، لا مجرد استدعاء إضافي. وإلى أن يحدث ذلك، لا يرد في هذا التقرير أي رقم دقة لمُصنِّف.</w:t>
      </w:r>
    </w:p>
    <w:p>
      <w:pPr>
        <w:keepNext w:val="0"/>
        <w:bidi/>
        <w:spacing w:after="120" w:before="0" w:line="348" w:lineRule="auto"/>
        <w:jc w:val="both"/>
      </w:pPr>
      <w:r>
        <w:rPr>
          <w:rFonts w:ascii="Times New Roman" w:hAnsi="Times New Roman" w:cs="Noto Naskh Arabic"/>
          <w:b w:val="0"/>
          <w:i w:val="0"/>
          <w:color w:val="111111"/>
          <w:sz w:val="23"/>
          <w:szCs w:val="23"/>
          <w:rtl/>
          <w:cs/>
        </w:rPr>
        <w:t>٢. فجوة استدعاء الكاشف. نحو ٨٠٠ صورة مُعلَّمة سلفاً لم تُرحَّل إلى المشروع المحايد صنفياً، وهي التفسير المرجَّح لفارق النقاط الأربع في الاستدعاء. مهمة هندسة بيانات لا بحث جديد.</w:t>
      </w:r>
    </w:p>
    <w:p>
      <w:pPr>
        <w:keepNext w:val="0"/>
        <w:bidi/>
        <w:spacing w:after="120" w:before="0" w:line="348" w:lineRule="auto"/>
        <w:jc w:val="both"/>
      </w:pPr>
      <w:r>
        <w:rPr>
          <w:rFonts w:ascii="Times New Roman" w:hAnsi="Times New Roman" w:cs="Noto Naskh Arabic"/>
          <w:b w:val="0"/>
          <w:i w:val="0"/>
          <w:color w:val="111111"/>
          <w:sz w:val="23"/>
          <w:szCs w:val="23"/>
          <w:rtl/>
          <w:cs/>
        </w:rPr>
        <w:t>٣. متغيّرات الكوكاكولا غير موجودة في البيانات. تأكد ذلك بتدقيقين مستقلَّين. والحل تصويرٌ ميداني موجَّه، لا إعادة تنظيم للبيانات القائمة.</w:t>
      </w:r>
    </w:p>
    <w:p>
      <w:pPr>
        <w:keepNext w:val="0"/>
        <w:bidi/>
        <w:spacing w:after="120" w:before="0" w:line="348" w:lineRule="auto"/>
        <w:jc w:val="both"/>
      </w:pPr>
      <w:r>
        <w:rPr>
          <w:rFonts w:ascii="Times New Roman" w:hAnsi="Times New Roman" w:cs="Noto Naskh Arabic"/>
          <w:b w:val="0"/>
          <w:i w:val="0"/>
          <w:color w:val="111111"/>
          <w:sz w:val="23"/>
          <w:szCs w:val="23"/>
          <w:rtl/>
          <w:cs/>
        </w:rPr>
        <w:t>٤. مُصنِّف XL Energy غير متوازن بشدة. يستأثر صنف xl-classic بـ ٢٤٧ صورة من أصل ٢٩١، بينما لا يتجاوز كل من xl-mojito وxl-doublekick ست صور. المُصنِّف حيّ وقابل للاستخدام، لكن الأصناف النادرة فيه غير موثوقة عملياً حتى تُصوَّر أمثلة إضافية.</w:t>
      </w:r>
    </w:p>
    <w:p>
      <w:pPr>
        <w:keepNext w:val="0"/>
        <w:bidi/>
        <w:spacing w:after="120" w:before="0" w:line="348" w:lineRule="auto"/>
        <w:jc w:val="both"/>
      </w:pPr>
      <w:r>
        <w:rPr>
          <w:rFonts w:ascii="Times New Roman" w:hAnsi="Times New Roman" w:cs="Noto Naskh Arabic"/>
          <w:b w:val="0"/>
          <w:i w:val="0"/>
          <w:color w:val="111111"/>
          <w:sz w:val="23"/>
          <w:szCs w:val="23"/>
          <w:rtl/>
          <w:cs/>
        </w:rPr>
        <w:t>٥. الزجاج غير قابل للتدريب حالياً. لا تضم المدوَّنة كلها سوى ٢٢ صورة زجاجية، ولذلك حُصِر مُصنِّف مادة التعبئة عملياً في التمييز بين البلاستيك (‏٨٤٤ صورة) والعلب (‏٧٣٧ صورة)، وحُفِظت الصور الزجاجية جانباً بدلاً من إقحامها في أحد الصنفين.</w:t>
      </w:r>
    </w:p>
    <w:p>
      <w:pPr>
        <w:keepNext w:val="0"/>
        <w:bidi/>
        <w:spacing w:after="120" w:before="0" w:line="348" w:lineRule="auto"/>
        <w:jc w:val="both"/>
      </w:pPr>
      <w:r>
        <w:rPr>
          <w:rFonts w:ascii="Times New Roman" w:hAnsi="Times New Roman" w:cs="Noto Naskh Arabic"/>
          <w:b w:val="0"/>
          <w:i w:val="0"/>
          <w:color w:val="111111"/>
          <w:sz w:val="23"/>
          <w:szCs w:val="23"/>
          <w:rtl/>
          <w:cs/>
        </w:rPr>
        <w:t>٦. كلفة الاستدلال لكل منتج غير مقيسة. الأثر التشغيلي الوارد في القسم ٦٫٣ ينبغي أن يأتي من الاستخدام الحي قبل استخدامه في أي إسقاط مالي.</w:t>
      </w:r>
    </w:p>
    <w:p>
      <w:pPr>
        <w:keepNext/>
        <w:bidi/>
        <w:spacing w:before="360" w:after="140"/>
        <w:jc w:val="right"/>
      </w:pPr>
      <w:r>
        <w:rPr>
          <w:rFonts w:ascii="Times New Roman" w:hAnsi="Times New Roman" w:cs="Noto Naskh Arabic"/>
          <w:b/>
          <w:bCs w:val="1"/>
          <w:i w:val="0"/>
          <w:color w:val="1A3A5C"/>
          <w:sz w:val="28"/>
          <w:szCs w:val="28"/>
          <w:rtl/>
          <w:cs/>
        </w:rPr>
        <w:t>١٠. الخطوات القادمة وما نحتاجه</w:t>
      </w:r>
    </w:p>
    <w:p>
      <w:pPr>
        <w:keepNext w:val="0"/>
        <w:bidi/>
        <w:spacing w:after="160" w:before="0" w:line="348" w:lineRule="auto"/>
        <w:jc w:val="both"/>
      </w:pPr>
      <w:r>
        <w:rPr>
          <w:rFonts w:ascii="Times New Roman" w:hAnsi="Times New Roman" w:cs="Noto Naskh Arabic"/>
          <w:b w:val="0"/>
          <w:i w:val="0"/>
          <w:color w:val="111111"/>
          <w:sz w:val="23"/>
          <w:szCs w:val="23"/>
          <w:rtl/>
          <w:cs/>
        </w:rPr>
        <w:t>العمل القادم مرتّب بحسب ما يمكن إنجازه فوراً مقابل ما يعتمد على مُدخَل خارجي.</w:t>
      </w:r>
    </w:p>
    <w:p>
      <w:pPr>
        <w:keepNext w:val="0"/>
        <w:bidi/>
        <w:spacing w:after="160" w:before="0" w:line="348" w:lineRule="auto"/>
        <w:jc w:val="both"/>
      </w:pPr>
      <w:r>
        <w:rPr>
          <w:rFonts w:ascii="Times New Roman" w:hAnsi="Times New Roman" w:cs="Noto Naskh Arabic"/>
          <w:b w:val="0"/>
          <w:i w:val="0"/>
          <w:color w:val="111111"/>
          <w:sz w:val="23"/>
          <w:szCs w:val="23"/>
          <w:rtl/>
          <w:cs/>
        </w:rPr>
        <w:t>أولاً، ما لا يحتاج شيئاً من خارج الفريق: ترحيل الصور الثمانمئة غير المُرحَّلة وإعادة تدريب الكاشف على المجموعة الأوفر، وهو أرخص إجراء متاح لسدّ فجوة الاستدعاء؛ ثم تدقيق ما تبقّى من العلامات (‏Cappy تحديداً، إذ تأكّد وجود تنوّع حقيقي في نكهاتها) لتحديد أيها يستحق مُصنِّف متغيّرات خاصاً به؛ ثم قياس كلفة الاستدلال الفعلية من الاستخدام الحي. وكل بند من هذه يقع في نطاق أيام لا أسابيع، استناداً إلى الزمن الذي استغرقه فعلياً بناء مُصنِّفَي Fanta وXL Energy.</w:t>
      </w:r>
    </w:p>
    <w:p>
      <w:pPr>
        <w:keepNext w:val="0"/>
        <w:bidi/>
        <w:spacing w:after="160" w:before="0" w:line="348" w:lineRule="auto"/>
        <w:jc w:val="both"/>
      </w:pPr>
      <w:r>
        <w:rPr>
          <w:rFonts w:ascii="Times New Roman" w:hAnsi="Times New Roman" w:cs="Noto Naskh Arabic"/>
          <w:b w:val="0"/>
          <w:i w:val="0"/>
          <w:color w:val="111111"/>
          <w:sz w:val="23"/>
          <w:szCs w:val="23"/>
          <w:rtl/>
          <w:cs/>
        </w:rPr>
        <w:t>وثانياً، المحور الأصعب تقنياً وهو تقدير الحجم — أي التمييز بين العبوة نصف اللتر ونظيرتها لتراً ونصف من الصورة وحدها. والخطوة الأولى فيه ليست تقنية بل استقصائية: التحقق مما إذا كان الحجم مُلتبِساً أصلاً في هذا السوق، إذ إن كثيراً من التركيبات (علامة + نكهة + نوع عبوة) قد لا تُباع إلا بحجم واحد، فيُستخرج الحجم من جدول مرجعي بدلاً من استنتاجه بصرياً. وهذه خطوة رخيصة قد تُلغي معظم الحالات الصعبة قبل بناء أي شيء.</w:t>
      </w:r>
    </w:p>
    <w:p>
      <w:pPr>
        <w:keepNext w:val="0"/>
        <w:bidi/>
        <w:spacing w:after="160" w:before="0" w:line="348" w:lineRule="auto"/>
        <w:jc w:val="both"/>
      </w:pPr>
      <w:r>
        <w:rPr>
          <w:rFonts w:ascii="Times New Roman" w:hAnsi="Times New Roman" w:cs="Noto Naskh Arabic"/>
          <w:b w:val="0"/>
          <w:i w:val="0"/>
          <w:color w:val="111111"/>
          <w:sz w:val="23"/>
          <w:szCs w:val="23"/>
          <w:rtl/>
          <w:cs/>
        </w:rPr>
        <w:t>أما ما نحتاجه من خارج الفريق، وهو ما يحدّ التقدّم فعلياً، فثلاثة أمور. أولها جولة تصوير ميداني موجَّهة تغطي ثلاث فجوات محددة: متغيّرات الكوكاكولا الحقيقية، والمنتجات المعبَّأة بالزجاج، ومتغيّرات XL Energy ناقصة التمثيل. وهذه ليست مسألة جهد هندسي — فالبيانات ببساطة غير موجودة، ولا يُنتجها أي قدر إضافي من العمل على النماذج. ويلزم معها مجموعة تحقق للحجم من ٥٠ إلى ١٠٠ صورة يكون الحجم الحقيقي فيها معلوماً بيقين، إذ يتعذّر تقييم أي نهج لتقدير الحجم من دونها.</w:t>
      </w:r>
    </w:p>
    <w:p>
      <w:pPr>
        <w:keepNext w:val="0"/>
        <w:bidi/>
        <w:spacing w:after="160" w:before="0" w:line="348" w:lineRule="auto"/>
        <w:jc w:val="both"/>
      </w:pPr>
      <w:r>
        <w:rPr>
          <w:rFonts w:ascii="Times New Roman" w:hAnsi="Times New Roman" w:cs="Noto Naskh Arabic"/>
          <w:b w:val="0"/>
          <w:i w:val="0"/>
          <w:color w:val="111111"/>
          <w:sz w:val="23"/>
          <w:szCs w:val="23"/>
          <w:rtl/>
          <w:cs/>
        </w:rPr>
        <w:t>وثانيها قرار بشأن ترقية مستوى الاشتراك الذي يحجب التقييم الآلي للمُصنِّفات. فهذه اليوم أكبر فجوة منفردة بين ما يفعله النظام وما يمكن الإبلاغ عنه رسمياً بشأن جودة أدائه — النظام يعمل، لكننا لا نملك رقماً موثّقاً نضعه أمام عميل.</w:t>
      </w:r>
    </w:p>
    <w:p>
      <w:pPr>
        <w:keepNext w:val="0"/>
        <w:bidi/>
        <w:spacing w:after="160" w:before="0" w:line="348" w:lineRule="auto"/>
        <w:jc w:val="both"/>
      </w:pPr>
      <w:r>
        <w:rPr>
          <w:rFonts w:ascii="Times New Roman" w:hAnsi="Times New Roman" w:cs="Noto Naskh Arabic"/>
          <w:b w:val="0"/>
          <w:i w:val="0"/>
          <w:color w:val="111111"/>
          <w:sz w:val="23"/>
          <w:szCs w:val="23"/>
          <w:rtl/>
          <w:cs/>
        </w:rPr>
        <w:t>وثالثها توجيه لا يستطيع الفريق التقني إصداره وحده: ما هي عتبة الدقة التي تُعدّ جاهزة للإنتاج في هذا المجال؟ فنقطة التشغيل الصحيحة — ومن ثمّ مدى ميل النظام إلى إحالة القرار للمراجعة البشرية بدلاً من الحسم آلياً — حكمٌ تجاري يتعلق بما يقبله العميل، لا مسألة تقنية. وتحديدها سيُشكّل مباشرةً الجولة القادمة من عمل الضبط.</w:t>
      </w:r>
    </w:p>
    <w:p>
      <w:pPr>
        <w:keepNext/>
        <w:bidi/>
        <w:spacing w:before="360" w:after="140"/>
        <w:jc w:val="right"/>
      </w:pPr>
      <w:r>
        <w:rPr>
          <w:rFonts w:ascii="Times New Roman" w:hAnsi="Times New Roman" w:cs="Noto Naskh Arabic"/>
          <w:b/>
          <w:bCs w:val="1"/>
          <w:i w:val="0"/>
          <w:color w:val="1A3A5C"/>
          <w:sz w:val="28"/>
          <w:szCs w:val="28"/>
          <w:rtl/>
          <w:cs/>
        </w:rPr>
        <w:t>١١. الخلاصة</w:t>
      </w:r>
    </w:p>
    <w:p>
      <w:pPr>
        <w:keepNext w:val="0"/>
        <w:bidi/>
        <w:spacing w:after="160" w:before="0" w:line="348" w:lineRule="auto"/>
        <w:jc w:val="both"/>
      </w:pPr>
      <w:r>
        <w:rPr>
          <w:rFonts w:ascii="Times New Roman" w:hAnsi="Times New Roman" w:cs="Noto Naskh Arabic"/>
          <w:b w:val="0"/>
          <w:i w:val="0"/>
          <w:color w:val="111111"/>
          <w:sz w:val="23"/>
          <w:szCs w:val="23"/>
          <w:rtl/>
          <w:cs/>
        </w:rPr>
        <w:t>الاستنتاج الأول لهذه الفترة معماري لا خوارزمي: أن قابلية الصيانة في مجال يتّسع كتالوجه باستمرار تتحدد بكيفية توزيع المسؤوليات بين المكوّنات أكثر مما تتحدد بدقة أي نموذج منفرد. فعزل الجزء المتقلّب من المشكلة عن الجزء المستقر هو ما حوّل نمو الكتالوج من عملية إعادة تدريب إلى عملية إضافة بيانات.</w:t>
      </w:r>
    </w:p>
    <w:p>
      <w:pPr>
        <w:keepNext w:val="0"/>
        <w:bidi/>
        <w:spacing w:after="160" w:before="0" w:line="348" w:lineRule="auto"/>
        <w:jc w:val="both"/>
      </w:pPr>
      <w:r>
        <w:rPr>
          <w:rFonts w:ascii="Times New Roman" w:hAnsi="Times New Roman" w:cs="Noto Naskh Arabic"/>
          <w:b w:val="0"/>
          <w:i w:val="0"/>
          <w:color w:val="111111"/>
          <w:sz w:val="23"/>
          <w:szCs w:val="23"/>
          <w:rtl/>
          <w:cs/>
        </w:rPr>
        <w:t>والاستنتاج الثاني أن شكل النمو يستحق القياس بقدر ما تستحقه الدقة. فالفارق بين ‎O(N×K)‎ و‎O(N)‎ لا يظهر في صورة واحدة، لكنه يحدد ما إذا كان النظام سيظل عملياً بعد عشر علامات تجارية أو سينهار تحت وزنه. وقياس ذلك مبكراً — قبل أن يصبح K كبيراً — كان أرخص بكثير من اكتشافه لاحقاً.</w:t>
      </w:r>
    </w:p>
    <w:p>
      <w:pPr>
        <w:keepNext w:val="0"/>
        <w:bidi/>
        <w:spacing w:after="160" w:before="0" w:line="348" w:lineRule="auto"/>
        <w:jc w:val="both"/>
      </w:pPr>
      <w:r>
        <w:rPr>
          <w:rFonts w:ascii="Times New Roman" w:hAnsi="Times New Roman" w:cs="Noto Naskh Arabic"/>
          <w:b w:val="0"/>
          <w:i w:val="0"/>
          <w:color w:val="111111"/>
          <w:sz w:val="23"/>
          <w:szCs w:val="23"/>
          <w:rtl/>
          <w:cs/>
        </w:rPr>
        <w:t>والاستنتاج الثالث أن جودة البيانات تُقيّد سقف أي معمارية. فأكثر ما أخّر التقدّم في هذه الفترة لم يكن قصوراً في النماذج بل غياب أمثلة حقيقية لما نطلب من النظام تمييزه. ولذلك فإن أهم بند في خطة المرحلة القادمة ليس بنداً هندسياً على الإطلاق، بل جولة تصوير.</w:t>
      </w:r>
    </w:p>
    <w:p>
      <w:pPr>
        <w:keepNext w:val="0"/>
        <w:bidi/>
        <w:spacing w:after="160" w:before="0" w:line="348" w:lineRule="auto"/>
        <w:jc w:val="both"/>
      </w:pPr>
      <w:r>
        <w:rPr>
          <w:rFonts w:ascii="Times New Roman" w:hAnsi="Times New Roman" w:cs="Noto Naskh Arabic"/>
          <w:b w:val="0"/>
          <w:i w:val="0"/>
          <w:color w:val="111111"/>
          <w:sz w:val="23"/>
          <w:szCs w:val="23"/>
          <w:rtl/>
          <w:cs/>
        </w:rPr>
        <w:t>وأخيراً، فإن ما تحقّق حتى الآن — كاشف أدقّ على ثلث البيانات، وأربع طبقات تصنيف عاملة، ومعمارية توجيه مُثبَتة مرتين، وتطبيق ميداني يُنتج تقارير حقيقية — يمثّل أساساً صالحاً للبناء عليه، لا منتجاً مكتملاً. والفجوات المذكورة في القسم التاسع محددة ومعروفة الكلفة، وليس فيها ما يشير إلى خلل في التصميم الأساسي؛ وهذا في تقديري أهم ما يمكن قوله بعد ثلاثة أسابيع.</w:t>
      </w:r>
    </w:p>
    <w:sectPr w:rsidR="00FC693F" w:rsidRPr="0006063C" w:rsidSect="00034616">
      <w:pgSz w:w="11906" w:h="16838"/>
      <w:pgMar w:top="1361" w:right="1474" w:bottom="1361" w:left="1474"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