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Open Sans" w:cs="Open Sans" w:eastAsia="Open Sans" w:hAnsi="Open Sans"/>
          <w:color w:val="ff0000"/>
          <w:sz w:val="28"/>
          <w:szCs w:val="28"/>
        </w:rPr>
      </w:pPr>
      <w:bookmarkStart w:colFirst="0" w:colLast="0" w:name="_4uh1p2rvezwm" w:id="0"/>
      <w:bookmarkEnd w:id="0"/>
      <w:r w:rsidDel="00000000" w:rsidR="00000000" w:rsidRPr="00000000">
        <w:rPr>
          <w:rFonts w:ascii="Open Sans" w:cs="Open Sans" w:eastAsia="Open Sans" w:hAnsi="Open Sans"/>
          <w:color w:val="ff0000"/>
          <w:sz w:val="28"/>
          <w:szCs w:val="28"/>
          <w:rtl w:val="0"/>
        </w:rPr>
        <w:t xml:space="preserve">REGOLAMENTO ARDENNE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rFonts w:ascii="Open Sans" w:cs="Open Sans" w:eastAsia="Open Sans" w:hAnsi="Open Sans"/>
          <w:color w:val="073763"/>
          <w:sz w:val="24"/>
          <w:szCs w:val="24"/>
        </w:rPr>
      </w:pPr>
      <w:bookmarkStart w:colFirst="0" w:colLast="0" w:name="_rbw31jjx1l8n" w:id="1"/>
      <w:bookmarkEnd w:id="1"/>
      <w:r w:rsidDel="00000000" w:rsidR="00000000" w:rsidRPr="00000000">
        <w:rPr>
          <w:rFonts w:ascii="Open Sans" w:cs="Open Sans" w:eastAsia="Open Sans" w:hAnsi="Open Sans"/>
          <w:color w:val="073763"/>
          <w:sz w:val="24"/>
          <w:szCs w:val="24"/>
          <w:rtl w:val="0"/>
        </w:rPr>
        <w:t xml:space="preserve">Turni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Durante ogni turno si possono u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tilizzare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tutte le unità disponibili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Ogni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unità p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uò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compiere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solo movimento e un solo attacco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turno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l’ordine di tali azioni viene scelto dal giocatore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Ogni città in proprio possesso produce (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loco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2 rifornimenti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scelta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ogni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turno</w:t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>
          <w:rFonts w:ascii="Open Sans" w:cs="Open Sans" w:eastAsia="Open Sans" w:hAnsi="Open Sans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bookmarkStart w:colFirst="0" w:colLast="0" w:name="_w5wnkg6ccn3i" w:id="2"/>
      <w:bookmarkEnd w:id="2"/>
      <w:r w:rsidDel="00000000" w:rsidR="00000000" w:rsidRPr="00000000">
        <w:rPr>
          <w:rFonts w:ascii="Open Sans" w:cs="Open Sans" w:eastAsia="Open Sans" w:hAnsi="Open Sans"/>
          <w:color w:val="073763"/>
          <w:sz w:val="24"/>
          <w:szCs w:val="24"/>
          <w:rtl w:val="0"/>
        </w:rPr>
        <w:t xml:space="preserve">Attacco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Nelle colonne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ATK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sono indicati i valori di danno che possono essere inflitti per ogni colpo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L’attacco segnato nella colonna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ATK 1</w:t>
      </w:r>
      <w:r w:rsidDel="00000000" w:rsidR="00000000" w:rsidRPr="00000000">
        <w:rPr>
          <w:rFonts w:ascii="Open Sans" w:cs="Open Sans" w:eastAsia="Open Sans" w:hAnsi="Open San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richiede le munizioni giall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 (munizioni d’artiglieria)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L’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attacco segnato nella colonna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ATK 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richiede le munizioni marroni (munizioni 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 fanteria)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è l’unico attacco efficace contro la fanteria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Nella colonna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DIF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è indicata la difesa dell’unità. Per essere distrutta l’unità deve ricevere un danno maggiore o uguale ad essa. Se necessario tale danno può essere raggiunto con più colpi (nel medesimo attacco) dalla stessa unità nemica. Se il danno non risulta sufficiente, l’unità rimarrà illesa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indica il diametro di un’area all’interno della quale è possibile distribuire il danno di un colpo. In caso contrario ogni colpo può essere indirizzato contro una unica unità nemica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indica la distanza dalla quale è possibile attaccare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indica la distanza massima dalla quale l’unità può ricevere danno, indipendentemente dal raggio di attacco delle unità nemiche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Qualora non siano presenti altri simboli, il valore di attacco indica sia il danno dei singoli colpi, sia la distanza massima dalla quale possono essere effettuati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Gli attacchi contrassegnati con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AF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sono efficaci solo contro la fanteria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Gli attacchi contrassegnati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sono efficaci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anche contro unità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aere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 ogni attacco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 tirando 3 dadi, il 💥 indica il numero di colpi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andati a segno. Se è presente il simbolo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è possibile utilizzare 4 dadi anziché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Indipendentemente dal numero di colpi andati a segno, un attacco richiede 1 munizione</w:t>
      </w:r>
    </w:p>
    <w:p w:rsidR="00000000" w:rsidDel="00000000" w:rsidP="00000000" w:rsidRDefault="00000000" w:rsidRPr="00000000" w14:paraId="00000012">
      <w:pPr>
        <w:pStyle w:val="Heading1"/>
        <w:contextualSpacing w:val="0"/>
        <w:jc w:val="center"/>
        <w:rPr>
          <w:rFonts w:ascii="Open Sans" w:cs="Open Sans" w:eastAsia="Open Sans" w:hAnsi="Open Sans"/>
          <w:color w:val="073763"/>
          <w:sz w:val="24"/>
          <w:szCs w:val="24"/>
        </w:rPr>
      </w:pPr>
      <w:bookmarkStart w:colFirst="0" w:colLast="0" w:name="_3kyis8xjpfff" w:id="3"/>
      <w:bookmarkEnd w:id="3"/>
      <w:r w:rsidDel="00000000" w:rsidR="00000000" w:rsidRPr="00000000">
        <w:rPr>
          <w:rFonts w:ascii="Open Sans" w:cs="Open Sans" w:eastAsia="Open Sans" w:hAnsi="Open Sans"/>
          <w:color w:val="073763"/>
          <w:sz w:val="24"/>
          <w:szCs w:val="24"/>
          <w:rtl w:val="0"/>
        </w:rPr>
        <w:t xml:space="preserve">Movimento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Ogni unità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eccetto la fanteria, per compiere un movimento necessita di 1 unità di carburante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blu/verdi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Nella colonna </w:t>
      </w: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MOB</w:t>
      </w:r>
      <w:r w:rsidDel="00000000" w:rsidR="00000000" w:rsidRPr="00000000">
        <w:rPr>
          <w:rFonts w:ascii="Open Sans" w:cs="Open Sans" w:eastAsia="Open Sans" w:hAnsi="Open San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è indicata la distanza massima percorribile dall’unità in un turno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veicoli terrestri possono muoversi solamente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lungo i tratti continui (strade).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non è possibile superare o passare oltre un veicolo nemico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fanteria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è vincolata a movimenti su strada esclusivamente per l’attraversamento di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fiumi o montagne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velivoli possono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sorvolare qualsiasi terreno. Tuttavia possono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atterra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decolla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solo da città provviste di campi di vol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 velivoli, una volta decollati,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devono attendere il termine del turno avversario per fare ritorno alla base.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L’atterraggio può essere effettuato in una base diversa da quella di partenza.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i trasferimenti vengono, dunque, effettuati in due turni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 le unità aeree il decollo e l’atterraggio, dal momento che devono avvenire in due turni distinti, sono considerati due movimenti distinti: pertanto per un volo completo sono necessarie 2 unità di carburante. Qualora un velivolo decolli con 1 unità sola di carburante, non potendo atterrare, verrà eliminato nel turno seguente.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è dunque possibile effettuare missioni aeree suicide (che non prevedono il ritorno alla base del velivolo)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contextualSpacing w:val="0"/>
        <w:jc w:val="center"/>
        <w:rPr>
          <w:rFonts w:ascii="Open Sans" w:cs="Open Sans" w:eastAsia="Open Sans" w:hAnsi="Open Sans"/>
          <w:color w:val="073763"/>
          <w:sz w:val="24"/>
          <w:szCs w:val="24"/>
        </w:rPr>
      </w:pPr>
      <w:bookmarkStart w:colFirst="0" w:colLast="0" w:name="_q6m9eodd5izl" w:id="4"/>
      <w:bookmarkEnd w:id="4"/>
      <w:r w:rsidDel="00000000" w:rsidR="00000000" w:rsidRPr="00000000">
        <w:rPr>
          <w:rFonts w:ascii="Open Sans" w:cs="Open Sans" w:eastAsia="Open Sans" w:hAnsi="Open Sans"/>
          <w:color w:val="073763"/>
          <w:sz w:val="24"/>
          <w:szCs w:val="24"/>
          <w:rtl w:val="0"/>
        </w:rPr>
        <w:t xml:space="preserve">Speciali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⭐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significa che per evocare tale unità il giocatore deve essere in possesso di almeno 3 città nemiche. Una volta che l’unità viene eliminata non è possibile rievocarla. L’unità comparirà in una città qualsiasi a scelta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⭐⭐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significa che per evocare tale unità il giocatore deve essere in possesso di almeno 5 città nemiche. Una volta che tale unità viene eliminata non è possibile rievocarla. L’unità comparirà in una città alleata/catturata a scelta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0"/>
          <w:szCs w:val="20"/>
          <w:rtl w:val="0"/>
        </w:rPr>
        <w:t xml:space="preserve">⊕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 se presente, indica la possibilità di fare “evolvere” l’unità dopo che essa ha messo a segno 3 colpi con un attacco.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l’unità verrà quindi sostituita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Il simbolo 🎯, se presente, indica la possibilità di evocare tale unità se la capitale è sotto attacco.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l’unità comparirà nella capitale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jc w:val="center"/>
        <w:rPr>
          <w:rFonts w:ascii="Open Sans" w:cs="Open Sans" w:eastAsia="Open Sans" w:hAnsi="Open Sans"/>
          <w:color w:val="073763"/>
          <w:sz w:val="24"/>
          <w:szCs w:val="24"/>
        </w:rPr>
      </w:pPr>
      <w:bookmarkStart w:colFirst="0" w:colLast="0" w:name="_dpgc8ppxhn5j" w:id="5"/>
      <w:bookmarkEnd w:id="5"/>
      <w:r w:rsidDel="00000000" w:rsidR="00000000" w:rsidRPr="00000000">
        <w:rPr>
          <w:rFonts w:ascii="Open Sans" w:cs="Open Sans" w:eastAsia="Open Sans" w:hAnsi="Open Sans"/>
          <w:color w:val="073763"/>
          <w:sz w:val="24"/>
          <w:szCs w:val="24"/>
          <w:rtl w:val="0"/>
        </w:rPr>
        <w:t xml:space="preserve">Parametri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ATK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calibro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* lunghezza canna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calibri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0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00185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arrotondato alla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prima cifra decimale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DIF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spessore corazza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0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065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arrotondato alla prima cifra decimale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= autonomia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0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[arrotondato alla 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prima cifra decimale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= (volume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/ velocità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km/h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valido se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1,3≤Dm&lt;20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u w:val="single"/>
          <w:rtl w:val="0"/>
        </w:rPr>
        <w:t xml:space="preserve">N.B.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: L</w:t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e operazioni per determinare ATK e DIF sono state così pensate tenendo conto che un cannone 128/L55 perfora 200mm di acciaio a 1000m di distanza (distanza media)</w:t>
      </w:r>
    </w:p>
    <w:sectPr>
      <w:pgSz w:h="16838" w:w="11906"/>
      <w:pgMar w:bottom="1133.8582677165355" w:top="1417.3228346456694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