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4397" w14:textId="5309C34D" w:rsidR="00F333DF" w:rsidRDefault="005F77EA">
      <w:pPr>
        <w:rPr>
          <w:b/>
          <w:bCs/>
          <w:color w:val="4472C4" w:themeColor="accent1"/>
          <w:sz w:val="28"/>
          <w:szCs w:val="28"/>
          <w:lang w:val="de-DE"/>
        </w:rPr>
      </w:pPr>
      <w:r>
        <w:rPr>
          <w:b/>
          <w:bCs/>
          <w:color w:val="4472C4" w:themeColor="accent1"/>
          <w:sz w:val="28"/>
          <w:szCs w:val="28"/>
          <w:lang w:val="de-DE"/>
        </w:rPr>
        <w:t>Kennzahlenbereiche</w:t>
      </w:r>
      <w:bookmarkStart w:id="0" w:name="_GoBack"/>
      <w:bookmarkEnd w:id="0"/>
    </w:p>
    <w:p w14:paraId="3BDF1082" w14:textId="7F375EB0" w:rsidR="005F77EA" w:rsidRDefault="005F77EA">
      <w:pPr>
        <w:rPr>
          <w:b/>
          <w:bCs/>
          <w:color w:val="4472C4" w:themeColor="accent1"/>
          <w:sz w:val="28"/>
          <w:szCs w:val="28"/>
          <w:lang w:val="de-DE"/>
        </w:rPr>
      </w:pPr>
    </w:p>
    <w:p w14:paraId="0A3874E9" w14:textId="450D286E" w:rsidR="005F77EA" w:rsidRDefault="005F77EA">
      <w:pPr>
        <w:rPr>
          <w:lang w:val="de-DE"/>
        </w:rPr>
      </w:pPr>
      <w:r>
        <w:rPr>
          <w:lang w:val="de-DE"/>
        </w:rPr>
        <w:t xml:space="preserve">Kennzahlen lassen sich in zwei Bereiche unterteilen. Zum einen in die </w:t>
      </w:r>
      <w:r w:rsidRPr="005F77EA">
        <w:rPr>
          <w:b/>
          <w:bCs/>
          <w:lang w:val="de-DE"/>
        </w:rPr>
        <w:t>finanzielle Stabilität</w:t>
      </w:r>
      <w:r>
        <w:rPr>
          <w:lang w:val="de-DE"/>
        </w:rPr>
        <w:t xml:space="preserve"> und zum anderen in die </w:t>
      </w:r>
      <w:r w:rsidRPr="005F77EA">
        <w:rPr>
          <w:b/>
          <w:bCs/>
          <w:lang w:val="de-DE"/>
        </w:rPr>
        <w:t>Ertragslage</w:t>
      </w:r>
      <w:r>
        <w:rPr>
          <w:lang w:val="de-DE"/>
        </w:rPr>
        <w:t>.</w:t>
      </w:r>
    </w:p>
    <w:p w14:paraId="24D4D63C" w14:textId="47DB369D" w:rsidR="005F77EA" w:rsidRDefault="005F77EA" w:rsidP="005F77E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Finanzielle Stabilität gibt Auskunft darüber, wie solide ein Unternehmen finanziert ist.</w:t>
      </w:r>
    </w:p>
    <w:p w14:paraId="355339A1" w14:textId="61EE2B64" w:rsidR="005F77EA" w:rsidRDefault="005F77EA" w:rsidP="005F77E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Ertragslage gibt Auskunft darüber, wie gut das Unternehmen mit den verfügbaren Mitteln arbeitet.</w:t>
      </w:r>
    </w:p>
    <w:p w14:paraId="09038AAD" w14:textId="7BFC9583" w:rsidR="005F77EA" w:rsidRDefault="005F77EA" w:rsidP="005F77EA">
      <w:pPr>
        <w:rPr>
          <w:lang w:val="de-DE"/>
        </w:rPr>
      </w:pPr>
    </w:p>
    <w:p w14:paraId="2400BFCC" w14:textId="01299B5E" w:rsidR="005F77EA" w:rsidRDefault="005F77EA" w:rsidP="005F77EA">
      <w:pPr>
        <w:rPr>
          <w:color w:val="4472C4" w:themeColor="accent1"/>
          <w:sz w:val="28"/>
          <w:szCs w:val="28"/>
          <w:lang w:val="de-DE"/>
        </w:rPr>
      </w:pPr>
      <w:r>
        <w:rPr>
          <w:color w:val="4472C4" w:themeColor="accent1"/>
          <w:sz w:val="28"/>
          <w:szCs w:val="28"/>
          <w:lang w:val="de-DE"/>
        </w:rPr>
        <w:t>Finanziellen Stabilität</w:t>
      </w:r>
    </w:p>
    <w:p w14:paraId="343A1CBF" w14:textId="4C7163F4" w:rsidR="005F77EA" w:rsidRDefault="005F77EA" w:rsidP="005F77EA">
      <w:pPr>
        <w:rPr>
          <w:b/>
          <w:bCs/>
          <w:lang w:val="de-DE"/>
        </w:rPr>
      </w:pPr>
      <w:r>
        <w:rPr>
          <w:lang w:val="de-DE"/>
        </w:rPr>
        <w:t xml:space="preserve">Lässt sich in zwei Teilbereiche unterteilen. Zum einen in </w:t>
      </w:r>
      <w:r w:rsidRPr="005F77EA">
        <w:rPr>
          <w:b/>
          <w:bCs/>
          <w:lang w:val="de-DE"/>
        </w:rPr>
        <w:t>Vermögens</w:t>
      </w:r>
      <w:r>
        <w:rPr>
          <w:b/>
          <w:bCs/>
          <w:lang w:val="de-DE"/>
        </w:rPr>
        <w:t>-</w:t>
      </w:r>
      <w:r w:rsidRPr="005F77EA">
        <w:rPr>
          <w:b/>
          <w:bCs/>
          <w:lang w:val="de-DE"/>
        </w:rPr>
        <w:t xml:space="preserve"> &amp; Kapitalstruktur </w:t>
      </w:r>
      <w:r>
        <w:rPr>
          <w:lang w:val="de-DE"/>
        </w:rPr>
        <w:t xml:space="preserve">und zum anderen in </w:t>
      </w:r>
      <w:r w:rsidRPr="005F77EA">
        <w:rPr>
          <w:b/>
          <w:bCs/>
          <w:lang w:val="de-DE"/>
        </w:rPr>
        <w:t>Finanzlage</w:t>
      </w:r>
      <w:r>
        <w:rPr>
          <w:b/>
          <w:bCs/>
          <w:lang w:val="de-DE"/>
        </w:rPr>
        <w:t>.</w:t>
      </w:r>
    </w:p>
    <w:p w14:paraId="351467DA" w14:textId="291A8872" w:rsidR="005F77EA" w:rsidRPr="00584A89" w:rsidRDefault="005F77EA" w:rsidP="005F77EA">
      <w:pPr>
        <w:pStyle w:val="ListParagraph"/>
        <w:numPr>
          <w:ilvl w:val="0"/>
          <w:numId w:val="2"/>
        </w:numPr>
        <w:rPr>
          <w:u w:val="single"/>
          <w:lang w:val="de-DE"/>
        </w:rPr>
      </w:pPr>
      <w:r w:rsidRPr="00584A89">
        <w:rPr>
          <w:u w:val="single"/>
          <w:lang w:val="de-DE"/>
        </w:rPr>
        <w:t>Vermögens- &amp; Kapitalstruktur</w:t>
      </w:r>
    </w:p>
    <w:p w14:paraId="79F15826" w14:textId="0478CE05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Anlagenintensität</w:t>
      </w:r>
    </w:p>
    <w:p w14:paraId="29844ACB" w14:textId="315BD58B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Umlaufintensität</w:t>
      </w:r>
    </w:p>
    <w:p w14:paraId="2B1C0F09" w14:textId="41497857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Eigenkapitalquote</w:t>
      </w:r>
    </w:p>
    <w:p w14:paraId="74F65940" w14:textId="1BBF6890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Verschuldungsgrad</w:t>
      </w:r>
    </w:p>
    <w:p w14:paraId="191B26DE" w14:textId="77777777" w:rsidR="005F77EA" w:rsidRDefault="005F77EA" w:rsidP="005F77EA">
      <w:pPr>
        <w:pStyle w:val="ListParagraph"/>
        <w:ind w:left="1440"/>
        <w:rPr>
          <w:lang w:val="de-DE"/>
        </w:rPr>
      </w:pPr>
    </w:p>
    <w:p w14:paraId="664B4A20" w14:textId="12FC887F" w:rsidR="005F77EA" w:rsidRPr="00584A89" w:rsidRDefault="005F77EA" w:rsidP="005F77EA">
      <w:pPr>
        <w:pStyle w:val="ListParagraph"/>
        <w:numPr>
          <w:ilvl w:val="0"/>
          <w:numId w:val="2"/>
        </w:numPr>
        <w:rPr>
          <w:u w:val="single"/>
          <w:lang w:val="de-DE"/>
        </w:rPr>
      </w:pPr>
      <w:r w:rsidRPr="00584A89">
        <w:rPr>
          <w:u w:val="single"/>
          <w:lang w:val="de-DE"/>
        </w:rPr>
        <w:t>Finanzlage</w:t>
      </w:r>
    </w:p>
    <w:p w14:paraId="7D0D3238" w14:textId="1B981FA2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Working Capital</w:t>
      </w:r>
    </w:p>
    <w:p w14:paraId="360245F2" w14:textId="7614F9EB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Anlagendeckung</w:t>
      </w:r>
    </w:p>
    <w:p w14:paraId="1DC494D3" w14:textId="51FCC128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Liquiditätsgrade</w:t>
      </w:r>
    </w:p>
    <w:p w14:paraId="688B0301" w14:textId="79E4A1D3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Cashflow</w:t>
      </w:r>
    </w:p>
    <w:p w14:paraId="53211B38" w14:textId="2C03FF95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Selbstfinanzierungsquote</w:t>
      </w:r>
    </w:p>
    <w:p w14:paraId="3070D192" w14:textId="7E23F34D" w:rsidR="005F77EA" w:rsidRDefault="005F77EA" w:rsidP="005F77E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Entschuldungsdauer</w:t>
      </w:r>
    </w:p>
    <w:p w14:paraId="4439B9F3" w14:textId="3F2A452F" w:rsidR="005F77EA" w:rsidRDefault="005F77EA" w:rsidP="005F77EA">
      <w:pPr>
        <w:rPr>
          <w:lang w:val="de-DE"/>
        </w:rPr>
      </w:pPr>
    </w:p>
    <w:p w14:paraId="53ACEC65" w14:textId="719BA65E" w:rsidR="00584A89" w:rsidRDefault="00584A89" w:rsidP="005F77EA">
      <w:pPr>
        <w:rPr>
          <w:color w:val="4472C4" w:themeColor="accent1"/>
          <w:sz w:val="28"/>
          <w:szCs w:val="28"/>
          <w:lang w:val="de-DE"/>
        </w:rPr>
      </w:pPr>
      <w:r>
        <w:rPr>
          <w:color w:val="4472C4" w:themeColor="accent1"/>
          <w:sz w:val="28"/>
          <w:szCs w:val="28"/>
          <w:lang w:val="de-DE"/>
        </w:rPr>
        <w:t>Ertragslage</w:t>
      </w:r>
    </w:p>
    <w:p w14:paraId="35ED1F22" w14:textId="3EE8FA68" w:rsidR="00584A89" w:rsidRDefault="00584A89" w:rsidP="00584A89">
      <w:pPr>
        <w:rPr>
          <w:b/>
          <w:bCs/>
          <w:lang w:val="de-DE"/>
        </w:rPr>
      </w:pPr>
      <w:r>
        <w:rPr>
          <w:lang w:val="de-DE"/>
        </w:rPr>
        <w:t xml:space="preserve">Lässt sich in zwei Teilbereiche unterteilen. Zum einen in </w:t>
      </w:r>
      <w:r>
        <w:rPr>
          <w:b/>
          <w:bCs/>
          <w:lang w:val="de-DE"/>
        </w:rPr>
        <w:t>Erfolgskennzahlen</w:t>
      </w:r>
      <w:r w:rsidRPr="005F77EA">
        <w:rPr>
          <w:b/>
          <w:bCs/>
          <w:lang w:val="de-DE"/>
        </w:rPr>
        <w:t xml:space="preserve"> </w:t>
      </w:r>
      <w:r>
        <w:rPr>
          <w:lang w:val="de-DE"/>
        </w:rPr>
        <w:t xml:space="preserve">und zum anderen in </w:t>
      </w:r>
      <w:r>
        <w:rPr>
          <w:b/>
          <w:bCs/>
          <w:lang w:val="de-DE"/>
        </w:rPr>
        <w:t>Rentabilitätskennzahlen.</w:t>
      </w:r>
    </w:p>
    <w:p w14:paraId="0ADB2B98" w14:textId="67FBA7B6" w:rsidR="00584A89" w:rsidRPr="00A7465D" w:rsidRDefault="00584A89" w:rsidP="00584A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u w:val="single"/>
          <w:lang w:val="de-DE"/>
        </w:rPr>
      </w:pPr>
      <w:r w:rsidRPr="00A7465D">
        <w:rPr>
          <w:color w:val="000000" w:themeColor="text1"/>
          <w:u w:val="single"/>
          <w:lang w:val="de-DE"/>
        </w:rPr>
        <w:t>Erfolgskennzahlen</w:t>
      </w:r>
    </w:p>
    <w:p w14:paraId="3C5DEFD2" w14:textId="18470256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Materialintensität</w:t>
      </w:r>
    </w:p>
    <w:p w14:paraId="77316D90" w14:textId="67B716A1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Personalintensität</w:t>
      </w:r>
    </w:p>
    <w:p w14:paraId="1B4AF08E" w14:textId="302A3381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Umsatzrentabilität</w:t>
      </w:r>
    </w:p>
    <w:p w14:paraId="62790129" w14:textId="49F052EC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Cashflow-Quote</w:t>
      </w:r>
    </w:p>
    <w:p w14:paraId="23AA11C3" w14:textId="64CEB382" w:rsidR="00584A89" w:rsidRPr="00584A89" w:rsidRDefault="00584A89" w:rsidP="00584A89">
      <w:pPr>
        <w:pStyle w:val="ListParagraph"/>
        <w:numPr>
          <w:ilvl w:val="0"/>
          <w:numId w:val="3"/>
        </w:numPr>
        <w:rPr>
          <w:b/>
          <w:bCs/>
          <w:lang w:val="de-DE"/>
        </w:rPr>
      </w:pPr>
      <w:r>
        <w:rPr>
          <w:u w:val="single"/>
          <w:lang w:val="de-DE"/>
        </w:rPr>
        <w:t>Rentabilitätskennzahlen</w:t>
      </w:r>
    </w:p>
    <w:p w14:paraId="68C96CC6" w14:textId="6DBCBB1D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Eigenkapitalrentabilität</w:t>
      </w:r>
    </w:p>
    <w:p w14:paraId="7C6335E7" w14:textId="49C3A6D7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Return on Investment</w:t>
      </w:r>
    </w:p>
    <w:p w14:paraId="71E45BAC" w14:textId="44FA7F0B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Gesamtkapitalrentabilität</w:t>
      </w:r>
    </w:p>
    <w:p w14:paraId="58E8A528" w14:textId="24654F5C" w:rsidR="00584A89" w:rsidRPr="00584A89" w:rsidRDefault="00584A89" w:rsidP="00584A89">
      <w:pPr>
        <w:pStyle w:val="ListParagraph"/>
        <w:numPr>
          <w:ilvl w:val="1"/>
          <w:numId w:val="3"/>
        </w:numPr>
        <w:rPr>
          <w:b/>
          <w:bCs/>
          <w:lang w:val="de-DE"/>
        </w:rPr>
      </w:pPr>
      <w:r>
        <w:rPr>
          <w:lang w:val="de-DE"/>
        </w:rPr>
        <w:t>Umschlagshäufigkeitskennzahlen</w:t>
      </w:r>
    </w:p>
    <w:p w14:paraId="5DA24C12" w14:textId="77777777" w:rsidR="00584A89" w:rsidRPr="00584A89" w:rsidRDefault="00584A89" w:rsidP="00584A89">
      <w:pPr>
        <w:rPr>
          <w:b/>
          <w:bCs/>
          <w:lang w:val="de-DE"/>
        </w:rPr>
      </w:pPr>
    </w:p>
    <w:p w14:paraId="7B4A4A7F" w14:textId="77777777" w:rsidR="00584A89" w:rsidRPr="00584A89" w:rsidRDefault="00584A89" w:rsidP="005F77EA">
      <w:pPr>
        <w:rPr>
          <w:lang w:val="de-DE"/>
        </w:rPr>
      </w:pPr>
    </w:p>
    <w:p w14:paraId="2F20E35E" w14:textId="77777777" w:rsidR="005F77EA" w:rsidRPr="005F77EA" w:rsidRDefault="005F77EA" w:rsidP="005F77EA">
      <w:pPr>
        <w:rPr>
          <w:lang w:val="de-DE"/>
        </w:rPr>
      </w:pPr>
    </w:p>
    <w:sectPr w:rsidR="005F77EA" w:rsidRPr="005F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2730"/>
    <w:multiLevelType w:val="hybridMultilevel"/>
    <w:tmpl w:val="304406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751C"/>
    <w:multiLevelType w:val="hybridMultilevel"/>
    <w:tmpl w:val="0C684D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A16"/>
    <w:multiLevelType w:val="hybridMultilevel"/>
    <w:tmpl w:val="C78A7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35"/>
    <w:rsid w:val="00046C07"/>
    <w:rsid w:val="00311835"/>
    <w:rsid w:val="00584A89"/>
    <w:rsid w:val="005F77EA"/>
    <w:rsid w:val="00A7465D"/>
    <w:rsid w:val="00E623CD"/>
    <w:rsid w:val="00F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1BF"/>
  <w15:chartTrackingRefBased/>
  <w15:docId w15:val="{8ADB8344-5A7F-4255-8875-361617D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4</cp:revision>
  <dcterms:created xsi:type="dcterms:W3CDTF">2020-01-23T08:03:00Z</dcterms:created>
  <dcterms:modified xsi:type="dcterms:W3CDTF">2020-01-23T08:47:00Z</dcterms:modified>
</cp:coreProperties>
</file>