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eastAsia="Times New Roman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SP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-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3068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Fundamentos para el aprendizaje de 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máquinas 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aprendizaje estadístico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)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Nombre del Programa: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Programa de Posgrado en Ciencias Cognoscitivas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Plan de Estudios al que pertenece el curso: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Maestría Académica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Modalidad: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 Teórico-práctico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ab/>
      </w:r>
      <w:r>
        <w:rPr>
          <w:rFonts w:hint="default" w:ascii="Source Sans Pro" w:hAnsi="Source Sans Pro" w:cs="Source Sans Pro"/>
          <w:sz w:val="20"/>
          <w:szCs w:val="20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Tipo de entorno: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Presencial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  <w:lang w:val="en-US"/>
        </w:rPr>
        <w:t>H</w:t>
      </w: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oras semanales: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Profesor que lo impart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: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Marcelo Araya Salas PhD</w:t>
      </w:r>
      <w:r>
        <w:rPr>
          <w:rFonts w:hint="default" w:ascii="Source Sans Pro" w:hAnsi="Source Sans Pro" w:eastAsia="Times New Roman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"mailto:(marcelo.araya@ucr.ac.crñ" </w:instrTex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(marcelo.araya@ucr.ac.cr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;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sitio web: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"https://marce10.github.io/" </w:instrTex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https://marce10.github.io/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Sitio web del curso: 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"https://marce10.github.io/aprendizaje_estadistico_2024" </w:instrTex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</w:rPr>
        <w:t>https://marce10.github.io/aprendizaje_</w:t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lang w:val="en-US"/>
        </w:rPr>
        <w:t>estadistico</w:t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</w:rPr>
        <w:t>_2024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Horas de consulta: 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Martes 4 pm (oficina 2, Centro de Investigación en Neurociencias)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Justificación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, también conocido como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de máquinas o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automático o "machine learning," es una rama de la inteligencia artificial que se enfoca en el desarrollo de algoritmos y modelos que permiten a las computadoras aprender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patrones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y hacer predicciones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para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tomar decisiones basadas en datos. En lugar de seguir instrucciones explícitas para realizar una tarea, estos algoritmos identifican patrones en los datos y usan estos patrones para mejorar su desempeño en tareas específicas.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se utiliza en una amplia variedad de aplicaciones, desde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el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reconocimiento de voz hasta el análisis de grandes conjuntos de datos y la automatización de procesos industriales.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E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n este curso los estudiantes podrán conocer los fundamentos y las técnicas básicas del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estadístico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para responder preguntas de investigación en Ciencias Cognoscitivas. Al iniciar el curso, se espera que las y los estudiantes conozcan los aspectos básicos de la estadística descriptiva e inferencial y el manejo básico de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l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lenguaje de programación y análisis estadístico R. 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Objetivo General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Capacitar a los estudiantes en los fundamentos, historia y diversas aplicaciones del aprendizaje de máquinas en el contexto de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Objetivos Específicos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Al finalizar el curso, los estudiantes deberán ser capaces de: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Describir y explicar los conceptos y métodos principales del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estadístico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aplicados a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Diferenciar entre los tipos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: supervisado, no supervisado, semi-supervisado y por reforzamiento.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Comprender los fundamentos teóricos y los supuestos de técnicas como la regresión, las redes neuronales, los árboles de decisión y el análisis de conglomerados.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Implementar, en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el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lenguaje de programación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 R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, las técnicas desarrolladas a lo largo del curso.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Seleccionar la técnica más adecuada en función del problema práctico o pregunta de investigación en las diversas áreas de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numPr>
          <w:ilvl w:val="0"/>
          <w:numId w:val="0"/>
        </w:numPr>
        <w:pBdr>
          <w:bottom w:val="single" w:color="000000" w:sz="4" w:space="1"/>
        </w:pBdr>
        <w:spacing w:line="240" w:lineRule="auto"/>
        <w:ind w:left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Contenidos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Aprendizaje Estadístico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estadística y su relación con el aprendizaje estadístico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Diferencias y similitudes entre inteligencia artificial, aprendizaje estadístico y ciencia de datos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Aplicaciones del aprendizaje estadístico en las Ciencias Cognoscitivas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Instalación y configuración de R y RStudio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Estructuras de datos en R: vectores, matrices, listas y data frames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Manipulación de datos con funciones base 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visualización de datos con gráficos base 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Escribir funciones y usar loops en R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Simulación de Datos con Patrones Predefinidos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simulados en 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patrones específicos para análisis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simulación de datos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Lineal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 de regresión lineal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Supuestos del modelo de regresión lineal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del modelo: R², error estándar, test 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modelos lineales simples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Lineal Múltiple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 de regresión lineal múltiple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Supuestos adicionales y diagnóstico del modelo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con interacciones y variables categóricas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modelos múltiples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Métodos de Clasificación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logística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discriminante lineal y cuadrático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K-vecinos más cercanos (KNN)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métodos de clasificación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Métodos de Remuestreo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Bootstrap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técnicas de remuestreo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Selección y Regularización de Modelos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Subconjunto, Ridge y Lasso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de modelos y criterios de selección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técnicas de regularización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Modelos de Árboles de Decisión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los árboles de decisión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Árboles de clasificación y regresión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árboles de decisión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Modelos de Ensamblado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Bagging y Random Forests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Boosting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modelos de ensamblado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Máquinas de Soporte Vectorial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las SVMs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Kernels y clasificación no lineal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SVMs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y Deep Learning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las redes neuronales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Perceptrón y neurona sigmoide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Arquitectura de redes neuronales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Algoritmo de propagación hacia atrás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redes neuronales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y Deep Learning Avanzado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Modelos de deep learning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convolucionales y recurrentes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avanzadas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Conglomerados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análisis de conglomerados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K-means y jerárquico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análisis de conglomerados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Reducción de Dimensionalidad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componentes principales (PCA)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discriminante lineal (LDA)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técnicas de reducción de dimensionalidad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M</w:t>
      </w:r>
      <w:r>
        <w:rPr>
          <w:rFonts w:hint="default" w:ascii="Source Sans Pro" w:hAnsi="Source Sans Pro" w:cs="Source Sans Pro"/>
          <w:b/>
          <w:sz w:val="20"/>
          <w:szCs w:val="20"/>
          <w:rtl w:val="0"/>
          <w:lang w:val="en-US"/>
        </w:rPr>
        <w:t>é</w:t>
      </w: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todo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Se utilizará la plataforma de Mediación Virtual de la Universidad de Costa Rica como un recurso complementario para el acceso a los </w:t>
      </w:r>
      <w:r>
        <w:rPr>
          <w:rFonts w:hint="default" w:ascii="Source Sans Pro" w:hAnsi="Source Sans Pro" w:cs="Source Sans Pro"/>
          <w:b w:val="0"/>
          <w:bCs/>
          <w:i/>
          <w:sz w:val="20"/>
          <w:szCs w:val="20"/>
          <w:rtl w:val="0"/>
        </w:rPr>
        <w:t>scripts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, la entrega de las tareas y la comunicación entre el profesor y el estudiantado.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L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as sesiones teóricas y prácticas del curso serán presenciales.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El metodo utilizado combina clases magistrales, demostraciones con software de algunos de los procedimientos de análisis de datos, y ejercicios prácticos que los y las estudiantes resolverán. Cuando se realicen los ejercicios prácticos, los resultados se discutirán en la clase para propiciar la interacción entre docente y estudiantes.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Evaluación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Tareas (60%)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Cada estudiante, de manera individual, deberá realizar 3 tareas con un valor de 20% cada una. En estas tareas, el estudiantado pondrá en práctica los conocimientos y destrezas abordados durante las sesiones presenciales del curso. Las tareas están diseñadas para evaluar la comprensión y aplicación de los conceptos teóricos y prácticos vistos en clase. Las tareas pueden incluir, pero no se limitan a: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- Implementación de algoritmos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 en R.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- Análisis de datos utilizando técnicas de visualización y preprocesamiento.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- Resolución de problemas específicos utilizando modelos predictivos y de clasificación.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- Comparación y evaluación de diferentes métodos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Trabajo Final (40%)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El trabajo final tiene un valor de 40% y consiste en un proyecto integrador donde los estudiantes aplicarán todos los conocimientos adquiridos durante el curso para resolver un problema práctico. A continuación se detalla la estructura y los requisitos del trabajo final: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1. Selección del Problema (10%)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Los estudiantes deben elegir un problema de investigación o un caso práctico relevante en el contexto de las Ciencias Cognoscitivas.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El problema seleccionado debe permitir la aplicación de técnicas de aprendizaje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vistas en el curso.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2. Recopilación y Preprocesamiento de Datos (10%)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Recopilación de un conjunto de datos adecuado para abordar el problema seleccionado.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Realización de un preprocesamiento completo de los datos, incluyendo limpieza, transformación y visualización inicial.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 xml:space="preserve">3. </w:t>
      </w:r>
      <w:r>
        <w:rPr>
          <w:rFonts w:hint="default" w:ascii="Source Sans Pro" w:hAnsi="Source Sans Pro" w:cs="Source Sans Pro"/>
          <w:b/>
          <w:bCs w:val="0"/>
          <w:i/>
          <w:iCs/>
          <w:sz w:val="18"/>
          <w:szCs w:val="18"/>
        </w:rPr>
        <w:t>Desarrollo e Implementación de Modelos (40%)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Selección de al menos tres técnicas de aprendizaje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diferentes para abordar el problema.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Implementación de los modelos seleccionados en R, con una explicación detallada de los supuestos y parámetros utilizados.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Evaluación comparativa de los modelos implementados utilizando métricas adecuadas (e.g., precisión, recall, F1-score, RMSE).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4. Análisis y Discusión de Resultados (20%)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Interpretación de los resultados obtenidos de cada modelo.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Discusión sobre las ventajas y desventajas de cada técnica aplicada en el contexto del problema seleccionado.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Identificación de posibles mejoras y futuras direcciones de investigación.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5. Presentación y Reporte Final (20%)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Elaboración de un reporte escrito que incluya introducción, metodología, resultados, discusión y conclusiones.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Preparación de una presentación oral de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2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>0-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30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minutos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 xml:space="preserve">(incluyendo preguntas)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>donde se expongan los principales hallazgos y se responda a preguntas del instructor y compañeros.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El trabajo final permitirá a los estudiantes demostrar su capacidad para integrar y aplicar de manera crítica y creativa los conceptos y técnicas aprendidas a lo largo del curso. Además, les proporcionará una experiencia práctica que refuerce sus habilidades en el uso de R y en la resolución de problemas reales mediante el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Contenidos por sesión (3 horas semanales)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1: Introducción a R para el Aprendizaje Estadístico - Parte 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aprendizaje estadístico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Instalación de R y RStudio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Navegación en el entorno de RStudio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Estructuras de datos básicas: vectores, matrices y listas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Operaciones básicas y funciones en 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Crear y manipular vectores y data frames. Uso de funciones básicas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>Lectura: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Source Sans Pro" w:hAnsi="Source Sans Pro" w:cs="Source Sans Pro"/>
          <w:i/>
          <w:iCs/>
          <w:sz w:val="20"/>
          <w:szCs w:val="20"/>
          <w:lang w:val="en-US"/>
        </w:rPr>
        <w:t xml:space="preserve">Badillo et al (2020). 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An introduction to machine learning.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"https://ascpt.onlinelibrary.wiley.com/doi/full/10.1002/cpt.1796"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https://ascpt.onlinelibrary.wiley.com/doi/full/10.1002/cpt.1796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2: Introducción a R para el Aprendizaje Estadístico - Parte 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Manejo de data frames y matrices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Filtrado, ordenamiento y resumen de datos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básica de datos con gráficos base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gráficos personalizados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Manipulación de data frames, gráficos simples y personalizados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3: Simulación de Datos con Patrones Predefinidos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simulación de datos y su importancia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con distribuciones específicas (normal, uniforme, etc.)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datos con correlaciones y estructuras de dependencia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categóricos y con ruido controlado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Simulación de conjuntos de datos para diferentes casos de estudio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>Lectura: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 Roediger et al (2001). Factors that determine false recall: A multiple regression analysis.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instrText xml:space="preserve"> HYPERLINK "https://link.springer.com/content/pdf/10.3758/bf03196177.pdf" </w:instrTex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t>https://link.springer.com/content/pdf/10.3758/bf03196177.pdf</w: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4: Regresión Lineal Simple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básicos de regresión lineal simple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Ajuste de modelos y interpretación de coeficientes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del modelo: R² y error cuadrático medio (MSE)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Diagnóstico de supuestos y multicolinealidad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Tamaño de muestra y poder estadístico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Construcción y evaluación de modelos de regresión lineal simple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5: Regresión Múltiple e Interacciones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regresión múltiple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Modelado con variables categóricas mediante variables ficticias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Interacciones entre variables y su interpretación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y diagnóstico de modelos avanzados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Análisis de regresión múltiple e interacciones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6: Regresión Logística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clasificación y problemas de clasificación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logística, uso e interpretación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Predicciones a partir de un modelo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multinomial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función discriminante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Implementación de modelos de clasificación y evaluación de desempeño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>Lectura: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 Chen et al (2023). Identifying the top determinants of psychological resilience among community older adults during COVID-19 in Taiwan: A random forest approach. </w: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instrText xml:space="preserve"> HYPERLINK "https://www.sciencedirect.com/science/article/pii/S2666827023000476" </w:instrTex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t>https://www.sciencedirect.com/science/article/pii/S2666827023000476</w: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7: Métodos de Remuestreo y Evaluación de Modelos (Parte I)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 y técnicas de remuestreo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Uso de validación cruzada para evaluar modelos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Medidas de evaluación: matriz de confusión, precisión, recall, índice F1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Implementación de técnicas de validación cruzada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8: Evaluación de Modelos (Parte II)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 y división de conjuntos de datos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Curvas ROC y AUC: interpretación y uso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errores y ajuste de modelos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y selección de modelos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Evaluación y comparación de modelos con diferentes métricas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9: Métodos Basados en Árboles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Árboles de decisión: construcción e interpretación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Random forest: fundamentos y aplicaciones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 modelos de árboles y comparación con otros métodos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Construcción y evaluación de modelos basados en árboles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>Choi et al. 2020.</w:t>
      </w: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 xml:space="preserve"> Introduction to machine learning, neural networks, and deep learning.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"https://tvst.arvojournals.org/article.aspx?articleid=2762344"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https://tvst.arvojournals.org/article.aspx?articleid=2762344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10: Explorar Espacios Multidimensionales: Reducción de Dimensionalidad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reducción de dimensionalidad y su necesidad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Componentes Principales (PCA): teoría y aplicación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de datos en espacios reducidos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con otros métodos como t-SNE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Aplicación de PCA y visualización de resultados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11: Redes Neuronales y Deep Learning - Introducción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 de una red neuronal: neuronas, capas y activación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Entrenamiento de redes neuronales: forward y backpropagation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Deep Learning y redes neuronales profundas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Aplicaciones y casos de uso en el mundo real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Construcción de una red neuronal simple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12: Redes Neuronales y Deep Learning - Aplicaciones Avanzadas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Capas convolucionales y redes neuronales convolucionales (CNNs)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recurrentes (RNNs) y LSTM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de optimización y regularización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Casos de estudio y aplicaciones en visión por computadora y procesamiento de lenguaje natural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Implementación de una CNN básica y una RNN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>Yarkoni &amp; Westfall. 2017.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</w:rPr>
        <w:t xml:space="preserve"> Choosing prediction over explanation in psychology: Lessons from machine learning.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"https://journals.sagepub.com/doi/pdf/10.1177/1745691617693393"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https://journals.sagepub.com/doi/pdf/10.1177/1745691617693393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bookmarkStart w:id="0" w:name="_GoBack"/>
      <w:bookmarkEnd w:id="0"/>
      <w:r>
        <w:rPr>
          <w:rFonts w:hint="default" w:ascii="Source Sans Pro" w:hAnsi="Source Sans Pro" w:cs="Source Sans Pro"/>
          <w:sz w:val="20"/>
          <w:szCs w:val="20"/>
        </w:rPr>
        <w:t>Día 13: Regularización y Generalización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de sobreajuste y subajuste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Regularización: Lasso, Ridge y Elastic Net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Prácticas para evitar el sobreajuste en modelos complejos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Aplicación de técnicas de regularización y ensamble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14: Aprendizaje No Supervisado: Clustering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básicos de clustering y su importancia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 k-means: algoritmos y aplicaciones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Clustering jerárquico: construcción de dendrogramas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 clusters: índice de Silhouette y coeficiente de Rand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Realización de análisis de clustering en datos de ejemplo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Días 15 y 16: Presentaciones del Proyecto Final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Presentación del proyecto incluyendo una descripción detallada de los análisis de datos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Bibliografía de Referencia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Alpaydin, E. (2020).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Introduction to Machine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recurso introductorio que cubre los conceptos clave y algoritmos en el aprendizaje estadístico, accesible para estudiantes con poca o ninguna experiencia previa.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"https://www.mitpress.mit.edu/books/introduction-machine-learning"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https://www.mitpress.mit.edu/books/introduction-machine-learning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Badillo, S., Banfai, B., Birzele, F., Davydov, I. I., Hutchinson, L., Kam‐Thong, T., Siebourg-Polster J., Steiert  B., &amp; Zhang, J. D. (2020). </w:t>
      </w:r>
      <w:r>
        <w:rPr>
          <w:rFonts w:hint="default" w:ascii="Source Sans Pro" w:hAnsi="Source Sans Pro" w:cs="Source Sans Pro"/>
          <w:b/>
          <w:bCs/>
          <w:sz w:val="20"/>
          <w:szCs w:val="20"/>
          <w:lang w:val="en-US"/>
        </w:rPr>
        <w:t xml:space="preserve">An introduction to machine learning. </w:t>
      </w:r>
      <w:r>
        <w:rPr>
          <w:rFonts w:hint="default" w:ascii="Source Sans Pro" w:hAnsi="Source Sans Pro" w:cs="Source Sans Pro"/>
          <w:b w:val="0"/>
          <w:bCs w:val="0"/>
          <w:sz w:val="20"/>
          <w:szCs w:val="20"/>
          <w:lang w:val="en-US"/>
        </w:rPr>
        <w:t xml:space="preserve">Introduccion general a los metodos de aprendizaje estadístico mas robustos y otros comúnmente utilizados. Enlace: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"https://ascpt.onlinelibrary.wiley.com/doi/full/10.1002/cpt.1796"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https://ascpt.onlinelibrary.wiley.com/doi/full/10.1002/cpt.1796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Bishop, C. M. (2006).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Pattern Recognition and Machine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libro esencial que abarca desde los fundamentos hasta las técnicas avanzadas en reconocimiento de patrones y aprendizaje estadístico.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"https://www.springer.com/gp/book/9780387310732"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https://www.springer.com/gp/book/9780387310732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Choi, R. Y., Coyner, A. S., Kalpathy-Cramer, J., Chiang, M. F., &amp; Campbell, J. P. (2020). </w:t>
      </w:r>
      <w:r>
        <w:rPr>
          <w:rFonts w:hint="default" w:ascii="Source Sans Pro" w:hAnsi="Source Sans Pro" w:cs="Source Sans Pro"/>
          <w:b/>
          <w:bCs/>
          <w:sz w:val="20"/>
          <w:szCs w:val="20"/>
          <w:lang w:val="en-US"/>
        </w:rPr>
        <w:t>Introduction to machine learning, neural networks, and deep learning.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 Enlace: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"https://tvst.arvojournals.org/article.aspx?articleid=2762344"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https://tvst.arvojournals.org/article.aspx?articleid=2762344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Goodfellow, I., Bengio, Y., &amp; Courville, A. (2016).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Deep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Este libro es una referencia esencial para entender los conceptos fundamentales y avanzados de las redes neuronales y el deep learning.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"https://www.deeplearningbook.org"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https://www.deeplearningbook.org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Gareth, J., Daniela, W., Trevor, H., &amp; Robert, T. (2021).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An Introduction to Statistical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Proporciona una introducción accesible a los métodos estadísticos y de aprendizaje estadístico con aplicaciones prácticas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"https://www.statlearning.com"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https://www.statlearning.com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Hastie, T., Tibshirani, R., &amp; Friedman, J. (2009).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The Elements of Statistical Learning: Data Mining, Inference, and Prediction.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recurso exhaustivo que cubre una amplia gama de métodos de aprendizaje estadístico y computacional, incluyendo teoría y aplicaciones.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"https://hastie.su.domains/ElemStatLearn/"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https://hastie.su.domains/ElemStatLearn/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Hannes Rosenbusch, Felix Soldner, Anthony M. Evans, Marcel Zeelenberg. (2024).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Supervised machine learning methods in psychology: A practical introduction with annotated R code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. Introduccion general al aprendizaje estadistico supervisado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"https://compass.onlinelibrary.wiley.com/doi/full/10.1111/spc3.12579"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https://compass.onlinelibrary.wiley.com/doi/full/10.1111/spc3.12579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James, G., Witten, D., Hastie, T., &amp; Tibshirani, R. (2013).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An Introduction to Statistical Learning with Applications in R.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texto fundamental que cubre una amplia gama de técnicas de aprendizaje estadístico y computacional, con ejemplos prácticos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"https://www.statlearning.com"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https://www.statlearning.com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Kuhn, M., &amp; Johnson, K. (2013).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Applied Predictive Modeling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. Este libro proporciona una guía práctica para la construcción de modelos predictivos utilizando R, con un enfoque en la preparación de datos y la selección de modelos.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"https://www.springer.com/gp/book/9781461468486"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https://www.springer.com/gp/book/9781461468486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Murphy, K. P. (2012).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Machine Learning: A Probabilistic Perspective.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Ofrece una visión integral del aprendizaje estadístico desde una perspectiva probabilística, con numerosos ejemplos y ejercicios prácticos.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"https://mitpress.mit.edu/books/machine-learning"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https://mitpress.mit.edu/books/machine-learning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Shalev-Shwartz, S., &amp; Ben-David, S. (2014).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Understanding Machine Learning: From Theory to Algorithms.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Una introducción teórica sólida a los principios y algoritmos del aprendizaje estadístico.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"https://www.cs.huji.ac.il/~shais/UnderstandingMachineLearning/"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https://www.cs.huji.ac.il/~shais/UnderstandingMachineLearning/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Wickham, H., &amp; Grolemund, G. (2017).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R for Data Science: Import, Tidy, Transform, Visualize, and Model Data.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Aunque centrado en tidyverse, es útil para comprender el flujo de trabajo en R y cómo aplicar principios de limpieza y visualización de datos.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"https://r4ds.had.co.nz"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https://r4ds.had.co.nz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Yarkoni, T., &amp; Westfall, J. (2017). </w:t>
      </w:r>
      <w:r>
        <w:rPr>
          <w:rFonts w:hint="default" w:ascii="Source Sans Pro" w:hAnsi="Source Sans Pro" w:cs="Source Sans Pro"/>
          <w:b/>
          <w:bCs/>
          <w:sz w:val="20"/>
          <w:szCs w:val="20"/>
        </w:rPr>
        <w:t>Choosing prediction over explanation in psychology: Lessons from machine learning.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Este articulo trata de las ventajas que puede traer el uso de herramientas de aprendizaje estadístico en la investigación en psicología. Enlace: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"https://journals.sagepub.com/doi/pdf/10.1177/1745691617693393"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https://journals.sagepub.com/doi/pdf/10.1177/1745691617693393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sectPr>
      <w:headerReference r:id="rId3" w:type="default"/>
      <w:footerReference r:id="rId4" w:type="default"/>
      <w:pgSz w:w="12242" w:h="15842"/>
      <w:pgMar w:top="1418" w:right="1418" w:bottom="1418" w:left="1701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2000000000000000000"/>
    <w:charset w:val="00"/>
    <w:family w:val="auto"/>
    <w:pitch w:val="default"/>
    <w:sig w:usb0="A00002AF" w:usb1="500078FB" w:usb2="00000000" w:usb3="00000000" w:csb0="6000019F" w:csb1="DFF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-162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Fwt5fogAgAAYAQAAA4AAAAAAAAAAQAgAAAANQEAAGRycy9lMm9Eb2Mu&#10;eG1sUEsBAhQAFAAAAAgAh07iQLNJWO7QAAAABQEAAA8AAAAAAAAAAQAgAAAAOAAAAGRycy9kb3du&#10;cmV2LnhtbFBLAQIUAAoAAAAAAIdO4kAAAAAAAAAAAAAAAAAEAAAAAAAAAAAAEAAAABYAAABkcnMv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5579745" cy="6350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745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C1316"/>
    <w:multiLevelType w:val="multilevel"/>
    <w:tmpl w:val="9D7C1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7EC7F2"/>
    <w:multiLevelType w:val="multilevel"/>
    <w:tmpl w:val="9D7EC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FC13C7"/>
    <w:multiLevelType w:val="multilevel"/>
    <w:tmpl w:val="AEFC1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A9EFD4"/>
    <w:multiLevelType w:val="multilevel"/>
    <w:tmpl w:val="C2A9E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D04229"/>
    <w:multiLevelType w:val="multilevel"/>
    <w:tmpl w:val="D5D04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7F3DDF"/>
    <w:multiLevelType w:val="multilevel"/>
    <w:tmpl w:val="DD7F3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EFA3946"/>
    <w:multiLevelType w:val="multilevel"/>
    <w:tmpl w:val="DEFA3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20EC2D"/>
    <w:multiLevelType w:val="multilevel"/>
    <w:tmpl w:val="DF20E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777403"/>
    <w:multiLevelType w:val="multilevel"/>
    <w:tmpl w:val="DF777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FDEF16E"/>
    <w:multiLevelType w:val="multilevel"/>
    <w:tmpl w:val="DFDEF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4FE2B4E"/>
    <w:multiLevelType w:val="multilevel"/>
    <w:tmpl w:val="F4FE2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7BF38C4"/>
    <w:multiLevelType w:val="multilevel"/>
    <w:tmpl w:val="F7BF3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3F31DD"/>
    <w:multiLevelType w:val="multilevel"/>
    <w:tmpl w:val="F93F3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9FFA424"/>
    <w:multiLevelType w:val="singleLevel"/>
    <w:tmpl w:val="F9FFA4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4">
    <w:nsid w:val="FA7EDD2D"/>
    <w:multiLevelType w:val="multilevel"/>
    <w:tmpl w:val="FA7ED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B775A61"/>
    <w:multiLevelType w:val="multilevel"/>
    <w:tmpl w:val="FB775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DBD38D2"/>
    <w:multiLevelType w:val="multilevel"/>
    <w:tmpl w:val="FDBD3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DDE1FFF"/>
    <w:multiLevelType w:val="multilevel"/>
    <w:tmpl w:val="FDDE1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F5F665C"/>
    <w:multiLevelType w:val="multilevel"/>
    <w:tmpl w:val="FF5F6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F6B99D5"/>
    <w:multiLevelType w:val="multilevel"/>
    <w:tmpl w:val="FF6B9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FCA37F7"/>
    <w:multiLevelType w:val="multilevel"/>
    <w:tmpl w:val="FFCA3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FEED11E"/>
    <w:multiLevelType w:val="multilevel"/>
    <w:tmpl w:val="FFEED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DEF1AA1"/>
    <w:multiLevelType w:val="multilevel"/>
    <w:tmpl w:val="1DEF1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83632D0"/>
    <w:multiLevelType w:val="multilevel"/>
    <w:tmpl w:val="28363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BDAF2AC"/>
    <w:multiLevelType w:val="multilevel"/>
    <w:tmpl w:val="3BDAF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3AFD43C"/>
    <w:multiLevelType w:val="multilevel"/>
    <w:tmpl w:val="63AFD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71CBB50"/>
    <w:multiLevelType w:val="multilevel"/>
    <w:tmpl w:val="671CB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7DE3DA3"/>
    <w:multiLevelType w:val="multilevel"/>
    <w:tmpl w:val="77DE3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AFE079B"/>
    <w:multiLevelType w:val="multilevel"/>
    <w:tmpl w:val="7AFE0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FBE5565"/>
    <w:multiLevelType w:val="multilevel"/>
    <w:tmpl w:val="7FBE5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FD9940D"/>
    <w:multiLevelType w:val="multilevel"/>
    <w:tmpl w:val="7FD99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21"/>
  </w:num>
  <w:num w:numId="5">
    <w:abstractNumId w:val="4"/>
  </w:num>
  <w:num w:numId="6">
    <w:abstractNumId w:val="27"/>
  </w:num>
  <w:num w:numId="7">
    <w:abstractNumId w:val="3"/>
  </w:num>
  <w:num w:numId="8">
    <w:abstractNumId w:val="18"/>
  </w:num>
  <w:num w:numId="9">
    <w:abstractNumId w:val="10"/>
  </w:num>
  <w:num w:numId="10">
    <w:abstractNumId w:val="8"/>
  </w:num>
  <w:num w:numId="11">
    <w:abstractNumId w:val="0"/>
  </w:num>
  <w:num w:numId="12">
    <w:abstractNumId w:val="24"/>
  </w:num>
  <w:num w:numId="13">
    <w:abstractNumId w:val="29"/>
  </w:num>
  <w:num w:numId="14">
    <w:abstractNumId w:val="7"/>
  </w:num>
  <w:num w:numId="15">
    <w:abstractNumId w:val="5"/>
  </w:num>
  <w:num w:numId="16">
    <w:abstractNumId w:val="1"/>
  </w:num>
  <w:num w:numId="17">
    <w:abstractNumId w:val="26"/>
  </w:num>
  <w:num w:numId="18">
    <w:abstractNumId w:val="12"/>
  </w:num>
  <w:num w:numId="19">
    <w:abstractNumId w:val="6"/>
  </w:num>
  <w:num w:numId="20">
    <w:abstractNumId w:val="17"/>
  </w:num>
  <w:num w:numId="21">
    <w:abstractNumId w:val="2"/>
  </w:num>
  <w:num w:numId="22">
    <w:abstractNumId w:val="11"/>
  </w:num>
  <w:num w:numId="23">
    <w:abstractNumId w:val="28"/>
  </w:num>
  <w:num w:numId="24">
    <w:abstractNumId w:val="23"/>
  </w:num>
  <w:num w:numId="25">
    <w:abstractNumId w:val="20"/>
  </w:num>
  <w:num w:numId="26">
    <w:abstractNumId w:val="25"/>
  </w:num>
  <w:num w:numId="27">
    <w:abstractNumId w:val="15"/>
  </w:num>
  <w:num w:numId="28">
    <w:abstractNumId w:val="19"/>
  </w:num>
  <w:num w:numId="29">
    <w:abstractNumId w:val="14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BE522B"/>
    <w:rsid w:val="2B4F5445"/>
    <w:rsid w:val="3B2B9765"/>
    <w:rsid w:val="448FC023"/>
    <w:rsid w:val="4BBB8366"/>
    <w:rsid w:val="4EB7159B"/>
    <w:rsid w:val="4F46D705"/>
    <w:rsid w:val="577A84EF"/>
    <w:rsid w:val="5F3FB480"/>
    <w:rsid w:val="5FAF2908"/>
    <w:rsid w:val="6725DC23"/>
    <w:rsid w:val="67DD5285"/>
    <w:rsid w:val="67F5E2AF"/>
    <w:rsid w:val="6DBFD9C3"/>
    <w:rsid w:val="6FA825D5"/>
    <w:rsid w:val="73DFF68C"/>
    <w:rsid w:val="757FAB4D"/>
    <w:rsid w:val="76BF8E72"/>
    <w:rsid w:val="779F040A"/>
    <w:rsid w:val="79DFFC3E"/>
    <w:rsid w:val="7EE3E476"/>
    <w:rsid w:val="7EED794E"/>
    <w:rsid w:val="7F3FB990"/>
    <w:rsid w:val="7FB58E61"/>
    <w:rsid w:val="7FBFE614"/>
    <w:rsid w:val="7FDA6DD9"/>
    <w:rsid w:val="7FF996CA"/>
    <w:rsid w:val="7FFF289B"/>
    <w:rsid w:val="873F69EF"/>
    <w:rsid w:val="8FC74F50"/>
    <w:rsid w:val="AB6C0623"/>
    <w:rsid w:val="AFE7D23D"/>
    <w:rsid w:val="B67F5F9D"/>
    <w:rsid w:val="B75F5C46"/>
    <w:rsid w:val="BBBD91BC"/>
    <w:rsid w:val="BD63F754"/>
    <w:rsid w:val="C34BF1CD"/>
    <w:rsid w:val="DC7E1442"/>
    <w:rsid w:val="E7FD5479"/>
    <w:rsid w:val="EBB4B7D9"/>
    <w:rsid w:val="EDFE29E5"/>
    <w:rsid w:val="EEBFC89B"/>
    <w:rsid w:val="EF721BB8"/>
    <w:rsid w:val="EFDF8318"/>
    <w:rsid w:val="F58F664D"/>
    <w:rsid w:val="F63D9271"/>
    <w:rsid w:val="F7EC6521"/>
    <w:rsid w:val="F7ED4D12"/>
    <w:rsid w:val="F7FB3453"/>
    <w:rsid w:val="F7FCB76E"/>
    <w:rsid w:val="FB5E2741"/>
    <w:rsid w:val="FBA79EAE"/>
    <w:rsid w:val="FBE66D2C"/>
    <w:rsid w:val="FC7FD70F"/>
    <w:rsid w:val="FEB35B20"/>
    <w:rsid w:val="FF3E7253"/>
    <w:rsid w:val="FFBFC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0"/>
      <w:lang w:val="es-ES" w:eastAsia="es-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  <w:spacing w:before="20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4"/>
      <w:lang w:val="en" w:eastAsia="es-C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6"/>
    <w:semiHidden/>
    <w:qFormat/>
    <w:uiPriority w:val="0"/>
    <w:pPr>
      <w:jc w:val="both"/>
    </w:pPr>
    <w:rPr>
      <w:szCs w:val="24"/>
    </w:rPr>
  </w:style>
  <w:style w:type="character" w:styleId="13">
    <w:name w:val="Emphasis"/>
    <w:basedOn w:val="9"/>
    <w:qFormat/>
    <w:uiPriority w:val="0"/>
    <w:rPr>
      <w:i/>
      <w:iCs/>
    </w:rPr>
  </w:style>
  <w:style w:type="paragraph" w:styleId="14">
    <w:name w:val="footer"/>
    <w:basedOn w:val="1"/>
    <w:link w:val="24"/>
    <w:qFormat/>
    <w:uiPriority w:val="0"/>
    <w:pPr>
      <w:tabs>
        <w:tab w:val="center" w:pos="4252"/>
        <w:tab w:val="right" w:pos="8504"/>
      </w:tabs>
    </w:pPr>
  </w:style>
  <w:style w:type="paragraph" w:styleId="15">
    <w:name w:val="header"/>
    <w:basedOn w:val="1"/>
    <w:link w:val="23"/>
    <w:qFormat/>
    <w:uiPriority w:val="0"/>
    <w:pPr>
      <w:tabs>
        <w:tab w:val="center" w:pos="4252"/>
        <w:tab w:val="right" w:pos="8504"/>
      </w:tabs>
    </w:pPr>
  </w:style>
  <w:style w:type="character" w:styleId="16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9">
    <w:name w:val="Strong"/>
    <w:basedOn w:val="9"/>
    <w:qFormat/>
    <w:uiPriority w:val="0"/>
    <w:rPr>
      <w:b/>
      <w:bCs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2">
    <w:name w:val="Table Normal1"/>
    <w:qFormat/>
    <w:uiPriority w:val="0"/>
  </w:style>
  <w:style w:type="character" w:customStyle="1" w:styleId="23">
    <w:name w:val="Encabezado Car"/>
    <w:basedOn w:val="9"/>
    <w:link w:val="15"/>
    <w:qFormat/>
    <w:uiPriority w:val="0"/>
    <w:rPr>
      <w:rFonts w:ascii="Times New Roman" w:hAnsi="Times New Roman" w:eastAsia="Times New Roman" w:cs="Times New Roman"/>
      <w:szCs w:val="20"/>
      <w:lang w:val="es-ES" w:eastAsia="es-ES"/>
    </w:rPr>
  </w:style>
  <w:style w:type="character" w:customStyle="1" w:styleId="24">
    <w:name w:val="Pie de página Car"/>
    <w:basedOn w:val="9"/>
    <w:link w:val="14"/>
    <w:qFormat/>
    <w:uiPriority w:val="0"/>
    <w:rPr>
      <w:rFonts w:ascii="Times New Roman" w:hAnsi="Times New Roman" w:eastAsia="Times New Roman" w:cs="Times New Roman"/>
      <w:szCs w:val="20"/>
      <w:lang w:val="es-ES" w:eastAsia="es-ES"/>
    </w:rPr>
  </w:style>
  <w:style w:type="paragraph" w:styleId="25">
    <w:name w:val="List Paragraph"/>
    <w:basedOn w:val="1"/>
    <w:qFormat/>
    <w:uiPriority w:val="72"/>
    <w:pPr>
      <w:ind w:left="720"/>
      <w:contextualSpacing/>
    </w:pPr>
  </w:style>
  <w:style w:type="character" w:customStyle="1" w:styleId="26">
    <w:name w:val="Texto independiente Car"/>
    <w:basedOn w:val="9"/>
    <w:link w:val="12"/>
    <w:semiHidden/>
    <w:qFormat/>
    <w:uiPriority w:val="0"/>
    <w:rPr>
      <w:rFonts w:ascii="Times New Roman" w:hAnsi="Times New Roman" w:eastAsia="Times New Roman" w:cs="Times New Roman"/>
      <w:lang w:val="es-ES" w:eastAsia="es-ES"/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Texto de globo Car"/>
    <w:basedOn w:val="9"/>
    <w:link w:val="11"/>
    <w:semiHidden/>
    <w:qFormat/>
    <w:uiPriority w:val="99"/>
    <w:rPr>
      <w:rFonts w:ascii="Tahoma" w:hAnsi="Tahoma" w:eastAsia="Times New Roman" w:cs="Tahoma"/>
      <w:sz w:val="16"/>
      <w:szCs w:val="16"/>
      <w:lang w:val="es-ES" w:eastAsia="es-ES"/>
    </w:rPr>
  </w:style>
  <w:style w:type="character" w:customStyle="1" w:styleId="29">
    <w:name w:val="Título 7 Car"/>
    <w:basedOn w:val="9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val="en" w:eastAsia="es-C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es-ES"/>
    </w:rPr>
  </w:style>
  <w:style w:type="table" w:customStyle="1" w:styleId="31">
    <w:name w:val="_Style 27"/>
    <w:basedOn w:val="2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28"/>
    <w:basedOn w:val="22"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2315</Words>
  <Characters>14321</Characters>
  <TotalTime>0</TotalTime>
  <ScaleCrop>false</ScaleCrop>
  <LinksUpToDate>false</LinksUpToDate>
  <CharactersWithSpaces>16479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2021-05-19T01:50:00Z</dcterms:created>
  <dc:creator>Odir Rodriguez Villagra</dc:creator>
  <cp:lastModifiedBy>marcelo</cp:lastModifiedBy>
  <dcterms:modified xsi:type="dcterms:W3CDTF">2024-08-08T18:18:41Z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