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SP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-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3068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Fundamentos para el aprendizaje de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máquinas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aprendizaje estadístico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Nombre del Programa: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Programa de Posgrado en Ciencias Cognoscitivas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Plan de Estudios al que pertenece el curso: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Maestría Académica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Modalidad: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 Teórico-práctico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Tipo de entorno: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Presencial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  <w:lang w:val="en-US"/>
        </w:rPr>
      </w:pPr>
      <w:bookmarkStart w:id="0" w:name="_GoBack"/>
      <w:r>
        <w:rPr>
          <w:rFonts w:hint="default" w:ascii="Source Sans Pro" w:hAnsi="Source Sans Pro" w:cs="Source Sans Pro"/>
          <w:b/>
          <w:bCs/>
          <w:sz w:val="20"/>
          <w:szCs w:val="20"/>
          <w:rtl w:val="0"/>
          <w:lang w:val="en-US"/>
        </w:rPr>
        <w:t>Grado de virtualidad:</w:t>
      </w:r>
      <w:bookmarkEnd w:id="0"/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Bajo virtual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  <w:lang w:val="en-US"/>
        </w:rPr>
        <w:t>H</w:t>
      </w: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oras semanales: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Profesor que lo impart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Marcelo Araya Salas PhD</w:t>
      </w:r>
      <w:r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"mailto:(marcelo.araya@ucr.ac.crñ"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(marcelo.araya@ucr.ac.cr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;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sitio web: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https://marce10.github.io/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Sitio web del curso: 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"https://marce10.github.io/aprendizaje_estadistico_2024" </w:instrTex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https://marce10.github.io/aprendizaje_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lang w:val="en-US"/>
        </w:rPr>
        <w:t>estadistico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_2024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Horas de consulta: 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Martes 4 pm (oficina 2, Centro de Investigación en Neurociencias)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Justificación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, también conocido como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de máquinas 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automático o "machine learning," es una rama de la inteligencia artificial que se enfoca en el desarrollo de algoritmos y modelos que permiten a las computadoras aprender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patrones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y hacer predicciones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para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tomar decisiones basadas en datos. En lugar de seguir instrucciones explícitas para realizar una tarea, estos algoritmos identifican patrones en los datos y usan estos patrones para mejorar su desempeño en tareas específicas.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se utiliza en una amplia variedad de aplicaciones, desde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reconocimiento de voz hasta el análisis de grandes conjuntos de datos y la automatización de procesos industriales.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E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n este curso los estudiantes podrán conocer los fundamentos y las técnicas básicas del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para responder preguntas de investigación en Ciencias Cognoscitivas. Al iniciar el curso, se espera que las y los estudiantes conozcan los aspectos básicos de la estadística descriptiva e inferencial y el manejo básico de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lenguaje de programación y análisis estadístico R. 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 General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Capacitar a los estudiantes en los fundamentos, historia y diversas aplicaciones del aprendizaje de máquinas en el contexto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Objetivos Específicos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Al finalizar el curso, los estudiantes deberán ser capaces de: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Describir y explicar los conceptos y métodos principales del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aplicados a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Diferenciar entre los tipos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: supervisado, no supervisado, semi-supervisado y por reforzamiento.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Comprender los fundamentos teóricos y los supuestos de técnicas como la regresión, las redes neuronales, los árboles de decisión y el análisis de conglomerados.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Implementar, en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lenguaje de programación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 R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, las técnicas desarrolladas a lo largo del curso.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Seleccionar la técnica más adecuada en función del problema práctico o pregunta de investigación en las diversas áreas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0"/>
        </w:numPr>
        <w:pBdr>
          <w:bottom w:val="single" w:color="000000" w:sz="4" w:space="1"/>
        </w:pBdr>
        <w:spacing w:line="240" w:lineRule="auto"/>
        <w:ind w:left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Aprendizaje Estadístico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estadística y su relación con el aprendizaje estadístico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Diferencias y similitudes entre inteligencia artificial, aprendizaje estadístico y ciencia de datos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Aplicaciones del aprendizaje estadístico en las Ciencias Cognoscitivas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y configuración de R y RStudio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datos en R: vectores, matrices, listas y data frames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Manipulación de datos con funciones base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visualización de datos con gráficos base 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Escribir funciones y usar loops en R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Simulación de Datos con Patrones Predefinidos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simulados en 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patrones específicos para análisis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simulación de datos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 de 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Supuestos del modelo de regresión lineal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del modelo: R², error estándar, test 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lineales simples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Lineal Múltiple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 de regresión lineal múltiple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Supuestos adicionales y diagnóstico del modelo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con interacciones y variables categóricas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múltiples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de Clasificación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logística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discriminante lineal y cuadrático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K-vecinos más cercanos (KNN)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métodos de clasificación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de Remuestreo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Bootstrap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remuestreo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Selección y Regularización de Modelos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Subconjunto, Ridge y Lasso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de modelos y criterios de selección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regularización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Árboles de Decisión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los árboles de decisión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clasificación y regresión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árboles de decisión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Ensamblado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Bagging y Random Forests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Boosting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modelos de ensamblado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Máquinas de Soporte Vectorial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las SVMs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Kernels y clasificación no lineal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SVMs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y Deep Learning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las redes neuronales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Perceptrón y neurona sigmoide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Arquitectura de redes neuronales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Algoritmo de propagación hacia atrás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redes neuronales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y Deep Learning Avanzado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Modelos de deep learning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convolucionales y recurrentes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avanzadas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Conglomerados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análisis de conglomerados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K-means y jerárquico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análisis de conglomerados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Reducción de Dimensionalidad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discriminante lineal (LDA)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Implementación en R y prácticas con técnicas de reducción de dimensionalidad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M</w:t>
      </w:r>
      <w:r>
        <w:rPr>
          <w:rFonts w:hint="default" w:ascii="Source Sans Pro" w:hAnsi="Source Sans Pro" w:cs="Source Sans Pro"/>
          <w:b/>
          <w:sz w:val="20"/>
          <w:szCs w:val="20"/>
          <w:rtl w:val="0"/>
          <w:lang w:val="en-US"/>
        </w:rPr>
        <w:t>é</w:t>
      </w: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todo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 utilizará la plataforma de Mediación Virtual de la Universidad de Costa Rica como un recurso complementario para el acceso a los </w:t>
      </w:r>
      <w:r>
        <w:rPr>
          <w:rFonts w:hint="default" w:ascii="Source Sans Pro" w:hAnsi="Source Sans Pro" w:cs="Source Sans Pro"/>
          <w:b w:val="0"/>
          <w:bCs/>
          <w:i/>
          <w:sz w:val="20"/>
          <w:szCs w:val="20"/>
          <w:rtl w:val="0"/>
        </w:rPr>
        <w:t>scripts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, la entrega de las tareas y la comunicación entre el profesor y el estudiantado.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as sesiones teóricas y prácticas del curso serán presenciales.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El metodo utilizado combina clases magistrales, demostraciones con software de algunos de los procedimientos de análisis de datos, y ejercicios prácticos que los y las estudiantes resolverán. Cuando se realicen los ejercicios prácticos, los resultados se discutirán en la clase para propiciar la interacción entre docente y estudiantes.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Evaluación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Tareas (60%)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Cada estudiante, de manera individual, deberá realizar 3 tareas con un valor de 20% cada una. En estas tareas, el estudiantado pondrá en práctica los conocimientos y destrezas abordados durante las sesiones presenciales del curso. Las tareas están diseñadas para evaluar la comprensión y aplicación de los conceptos teóricos y prácticos vistos en clase. Las tareas pueden incluir, pero no se limitan a: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Implementación de algoritmos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 en R.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Análisis de datos utilizando técnicas de visualización y preprocesamiento.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Resolución de problemas específicos utilizando modelos predictivos y de clasificación.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Comparación y evaluación de diferentes métodos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Trabajo Final (40%)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El trabajo final tiene un valor de 40% y consiste en un proyecto integrador donde los estudiantes aplicarán todos los conocimientos adquiridos durante el curso para resolver un problema práctico. A continuación se detalla la estructura y los requisitos del trabajo final: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1. Selección del Problema (10%)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Los estudiantes deben elegir un problema de investigación o un caso práctico relevante en el contexto de las Ciencias Cognoscitivas.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El problema seleccionado debe permitir la aplicación de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vistas en el curso.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2. Recopilación y Preprocesamiento de Datos (10%)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Recopilación de un conjunto de datos adecuado para abordar el problema seleccionado.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Realización de un preprocesamiento completo de los datos, incluyendo limpieza, transformación y visualización inicial.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 xml:space="preserve">3. </w:t>
      </w:r>
      <w:r>
        <w:rPr>
          <w:rFonts w:hint="default" w:ascii="Source Sans Pro" w:hAnsi="Source Sans Pro" w:cs="Source Sans Pro"/>
          <w:b/>
          <w:bCs w:val="0"/>
          <w:i/>
          <w:iCs/>
          <w:sz w:val="18"/>
          <w:szCs w:val="18"/>
        </w:rPr>
        <w:t>Desarrollo e Implementación de Modelos (40%)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Selección de al menos tres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diferentes para abordar el problema.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Implementación de los modelos seleccionados en R, con una explicación detallada de los supuestos y parámetros utilizados.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Evaluación comparativa de los modelos implementados utilizando métricas adecuadas (e.g., precisión, recall, F1-score, RMSE).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4. Análisis y Discusión de Resultados (20%)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Interpretación de los resultados obtenidos de cada modelo.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Discusión sobre las ventajas y desventajas de cada técnica aplicada en el contexto del problema seleccionado.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Identificación de posibles mejoras y futuras direcciones de investigación.</w:t>
      </w: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</w:rPr>
      </w:pPr>
    </w:p>
    <w:p>
      <w:pPr>
        <w:pBdr>
          <w:bottom w:val="single" w:color="000000" w:sz="4" w:space="1"/>
        </w:pBdr>
        <w:spacing w:line="240" w:lineRule="auto"/>
        <w:ind w:left="11" w:leftChars="0" w:hanging="11" w:hangingChars="6"/>
        <w:rPr>
          <w:rFonts w:hint="default" w:ascii="Source Sans Pro" w:hAnsi="Source Sans Pro" w:cs="Source Sans Pro"/>
          <w:b/>
          <w:i/>
          <w:iCs/>
          <w:sz w:val="18"/>
          <w:szCs w:val="18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18"/>
          <w:szCs w:val="18"/>
        </w:rPr>
        <w:t>5. Presentación y Reporte Final (20%)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Elaboración de un reporte escrito que incluya introducción, metodología, resultados, discusión y conclusiones.</w:t>
      </w:r>
    </w:p>
    <w:p>
      <w:pPr>
        <w:pBdr>
          <w:bottom w:val="single" w:color="000000" w:sz="4" w:space="1"/>
        </w:pBdr>
        <w:spacing w:line="240" w:lineRule="auto"/>
        <w:ind w:left="10" w:leftChars="0" w:hanging="10" w:hangingChars="6"/>
        <w:rPr>
          <w:rFonts w:hint="default" w:ascii="Source Sans Pro" w:hAnsi="Source Sans Pro" w:cs="Source Sans Pro"/>
          <w:b w:val="0"/>
          <w:bCs/>
          <w:sz w:val="18"/>
          <w:szCs w:val="18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  - Preparación de una presentación oral de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2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>0-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>30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 xml:space="preserve"> minutos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  <w:lang w:val="en-US"/>
        </w:rPr>
        <w:t xml:space="preserve">(incluyendo preguntas) </w:t>
      </w:r>
      <w:r>
        <w:rPr>
          <w:rFonts w:hint="default" w:ascii="Source Sans Pro" w:hAnsi="Source Sans Pro" w:cs="Source Sans Pro"/>
          <w:b w:val="0"/>
          <w:bCs/>
          <w:i/>
          <w:iCs/>
          <w:sz w:val="18"/>
          <w:szCs w:val="18"/>
        </w:rPr>
        <w:t>donde se expongan los principales hallazgos y se responda a preguntas del instructor y compañeros.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El trabajo final permitirá a los estudiantes demostrar su capacidad para integrar y aplicar de manera crítica y creativa los conceptos y técnicas aprendidas a lo largo del curso. Además, les proporcionará una experiencia práctica que refuerce sus habilidades en el uso de R y en la resolución de problemas reales mediante 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 por sesión (3 horas semanales)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1: Introducción a R para el Aprendizaje Estadístico - Parte 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aprendizaje estadístico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de R y RStudio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Navegación en el entorno de RStudio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datos básicas: vectores, matrices y listas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Operaciones básicas y funciones en 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Crear y manipular vectores y data frames. Uso de funciones básicas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/>
          <w:i/>
          <w:iCs/>
          <w:sz w:val="20"/>
          <w:szCs w:val="20"/>
          <w:lang w:val="en-US"/>
        </w:rPr>
        <w:t xml:space="preserve">Badillo et al (2020). 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An introduction to machine learning.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"https://ascpt.onlinelibrary.wiley.com/doi/full/10.1002/cpt.1796"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https://ascpt.onlinelibrary.wiley.com/doi/full/10.1002/cpt.1796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2: Introducción a R para el Aprendizaje Estadístico - Parte 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Manejo de data frames y matrices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Filtrado, ordenamiento y resumen de datos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básica de datos con gráficos base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gráficos personalizados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Manipulación de data frames, gráficos simples y personalizados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3: Simulación de Datos con Patrones Predefinidos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simulación de datos y su importancia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con distribuciones específicas (normal, uniforme, etc.)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datos con correlaciones y estructuras de dependencia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categóricos y con ruido controlado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Simulación de conjuntos de datos para diferentes casos de estudio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Roediger et al (2001). Factors that determine false recall: A multiple regression analysis.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instrText xml:space="preserve"> HYPERLINK "https://link.springer.com/content/pdf/10.3758/bf03196177.pdf" </w:instrTex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t>https://link.springer.com/content/pdf/10.3758/bf03196177.pdf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4: Regresión Lineal Simple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regresión lineal simple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Ajuste de modelos y interpretación de coeficientes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del modelo: R² y error cuadrático medio (MSE)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Diagnóstico de supuestos y multicolinealidad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Tamaño de muestra y poder estadístico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y evaluación de modelos de regresión lineal simple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5: Regresión Múltiple e Interacciones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regresión múltiple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Modelado con variables categóricas mediante variables ficticias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Interacciones entre variables y su interpretación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y diagnóstico de modelos avanzados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Análisis de regresión múltiple e interacciones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6: Regresión Logística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clasificación y problemas de clasificación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logística, uso e interpretación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Predicciones a partir de un modelo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multinomial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función discriminante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modelos de clasificación y evaluación de desempeño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>Lectura: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  <w:lang w:val="en-US"/>
        </w:rPr>
        <w:t xml:space="preserve"> Chen et al (2023). Identifying the top determinants of psychological resilience among community older adults during COVID-19 in Taiwan: A random forest approach. 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instrText xml:space="preserve"> HYPERLINK "https://www.sciencedirect.com/science/article/pii/S2666827023000476" </w:instrTex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iCs w:val="0"/>
          <w:sz w:val="20"/>
          <w:szCs w:val="20"/>
          <w:lang w:val="en-US"/>
        </w:rPr>
        <w:t>https://www.sciencedirect.com/science/article/pii/S2666827023000476</w:t>
      </w:r>
      <w:r>
        <w:rPr>
          <w:rFonts w:hint="default" w:ascii="Source Sans Pro" w:hAnsi="Source Sans Pro" w:cs="Source Sans Pro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7: Métodos de Remuestreo y Evaluación de Modelos (Parte I)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 y técnicas de remuestreo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Uso de validación cruzada para evaluar modelos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Medidas de evaluación: matriz de confusión, precisión, recall, índice F1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técnicas de validación cruzada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8: Evaluación de Modelos (Parte II)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 y división de conjuntos de datos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Curvas ROC y AUC: interpretación y uso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errores y ajuste de modelos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y selección de modelos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Evaluación y comparación de modelos con diferentes métricas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9: Métodos Basados en Árboles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decisión: construcción e interpretación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Random forest: fundamentos y aplicaciones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modelos de árboles y comparación con otros métodos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y evaluación de modelos basados en árboles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>Choi et al. 2020.</w:t>
      </w:r>
      <w:r>
        <w:rPr>
          <w:rFonts w:hint="default" w:ascii="Source Sans Pro" w:hAnsi="Source Sans Pro" w:cs="Source Sans Pro"/>
          <w:b/>
          <w:bCs/>
          <w:i/>
          <w:iCs/>
          <w:sz w:val="20"/>
          <w:szCs w:val="20"/>
          <w:lang w:val="en-US"/>
        </w:rPr>
        <w:t xml:space="preserve"> Introduction to machine learning, neural networks, and deep learning.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"https://tvst.arvojournals.org/article.aspx?articleid=2762344"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https://tvst.arvojournals.org/article.aspx?articleid=2762344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10: Explorar Espacios Multidimensionales: Reducción de Dimensionalidad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reducción de dimensionalidad y su necesidad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(PCA): teoría y aplicación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de datos en espacios reducidos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con otros métodos como t-SNE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Aplicación de PCA y visualización de resultados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11: Redes Neuronales y Deep Learning - Introducción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 de una red neuronal: neuronas, capas y activación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Entrenamiento de redes neuronales: forward y backpropagation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Deep Learning y redes neuronales profundas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Aplicaciones y casos de uso en el mundo real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Construcción de una red neuronal simple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12: Redes Neuronales y Deep Learning - Aplicaciones Avanzadas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Capas convolucionales y redes neuronales convolucionales (CNNs)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recurrentes (RNNs) y LSTM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optimización y regularización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Casos de estudio y aplicaciones en visión por computadora y procesamiento de lenguaje natural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Implementación de una CNN básica y una RNN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>Yarkoni &amp; Westfall. 2017.</w:t>
      </w:r>
      <w:r>
        <w:rPr>
          <w:rFonts w:hint="default" w:ascii="Source Sans Pro" w:hAnsi="Source Sans Pro" w:cs="Source Sans Pro"/>
          <w:b w:val="0"/>
          <w:bCs w:val="0"/>
          <w:i/>
          <w:iCs/>
          <w:sz w:val="20"/>
          <w:szCs w:val="20"/>
        </w:rPr>
        <w:t xml:space="preserve"> Choosing prediction over explanation in psychology: Lessons from machine learning.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"https://journals.sagepub.com/doi/pdf/10.1177/1745691617693393"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https://journals.sagepub.com/doi/pdf/10.1177/1745691617693393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13: Regularización y Generalización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sobreajuste y subajuste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Regularización: Lasso, Ridge y Elastic Net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Prácticas para evitar el sobreajuste en modelos complejos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Aplicación de técnicas de regularización y ensamble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14: Aprendizaje No Supervisado: Clustering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clustering y su importancia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 k-means: algoritmos y aplicaciones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Clustering jerárquico: construcción de dendrogramas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clusters: índice de Silhouette y coeficiente de Rand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 con R: Realización de análisis de clustering en datos de ejemplo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Días 15 y 16: Presentaciones del Proyecto Final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Presentación del proyecto incluyendo una descripción detallada de los análisis de datos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Bibliografía de Referencia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Alpaydin, E. (2020).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Introduction to Machine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introductorio que cubre los conceptos clave y algoritmos en el aprendizaje estadístico, accesible para estudiantes con poca o ninguna experiencia previa.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"https://www.mitpress.mit.edu/books/introduction-machine-learning"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https://www.mitpress.mit.edu/books/introduction-machine-learning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Badillo, S., Banfai, B., Birzele, F., Davydov, I. I., Hutchinson, L., Kam‐Thong, T., Siebourg-Polster J., Steiert  B., &amp; Zhang, J. D. (2020). </w:t>
      </w:r>
      <w:r>
        <w:rPr>
          <w:rFonts w:hint="default" w:ascii="Source Sans Pro" w:hAnsi="Source Sans Pro" w:cs="Source Sans Pro"/>
          <w:b/>
          <w:bCs/>
          <w:sz w:val="20"/>
          <w:szCs w:val="20"/>
          <w:lang w:val="en-US"/>
        </w:rPr>
        <w:t xml:space="preserve">An introduction to machine learning. </w:t>
      </w:r>
      <w:r>
        <w:rPr>
          <w:rFonts w:hint="default" w:ascii="Source Sans Pro" w:hAnsi="Source Sans Pro" w:cs="Source Sans Pro"/>
          <w:b w:val="0"/>
          <w:bCs w:val="0"/>
          <w:sz w:val="20"/>
          <w:szCs w:val="20"/>
          <w:lang w:val="en-US"/>
        </w:rPr>
        <w:t xml:space="preserve">Introduccion general a los metodos de aprendizaje estadístico mas robustos y otros comúnmente utilizados.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"https://ascpt.onlinelibrary.wiley.com/doi/full/10.1002/cpt.1796"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https://ascpt.onlinelibrary.wiley.com/doi/full/10.1002/cpt.1796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Bishop, C. M. (2006).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Pattern Recognition and Machine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libro esencial que abarca desde los fundamentos hasta las técnicas avanzadas en reconocimiento de patrones y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"https://www.springer.com/gp/book/9780387310732"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https://www.springer.com/gp/book/9780387310732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Choi, R. Y., Coyner, A. S., Kalpathy-Cramer, J., Chiang, M. F., &amp; Campbell, J. P. (2020). </w:t>
      </w:r>
      <w:r>
        <w:rPr>
          <w:rFonts w:hint="default" w:ascii="Source Sans Pro" w:hAnsi="Source Sans Pro" w:cs="Source Sans Pro"/>
          <w:b/>
          <w:bCs/>
          <w:sz w:val="20"/>
          <w:szCs w:val="20"/>
          <w:lang w:val="en-US"/>
        </w:rPr>
        <w:t>Introduction to machine learning, neural networks, and deep learning.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"https://tvst.arvojournals.org/article.aspx?articleid=2762344"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https://tvst.arvojournals.org/article.aspx?articleid=2762344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Goodfellow, I., Bengio, Y., &amp; Courville, A. (2016).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Deep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Este libro es una referencia esencial para entender los conceptos fundamentales y avanzados de las redes neuronales y el deep learning.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"https://www.deeplearningbook.org"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https://www.deeplearningbook.org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Gareth, J., Daniela, W., Trevor, H., &amp; Robert, T. (2021).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Proporciona una introducción accesible a los métodos estadísticos y de aprendizaje estadístico con aplicaciones prácticas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Hastie, T., Tibshirani, R., &amp; Friedman, J. (2009).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The Elements of Statistical Learning: Data Mining, Inference, and Prediction.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exhaustivo que cubre una amplia gama de métodos de aprendizaje estadístico y computacional, incluyendo teoría y aplicaciones.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"https://hastie.su.domains/ElemStatLearn/"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https://hastie.su.domains/ElemStatLearn/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Hannes Rosenbusch, Felix Soldner, Anthony M. Evans, Marcel Zeelenberg. (2024).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Supervised machine learning methods in psychology: A practical introduction with annotated R code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. Introduccion general al aprendizaje estadistico supervisado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"https://compass.onlinelibrary.wiley.com/doi/full/10.1111/spc3.12579"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https://compass.onlinelibrary.wiley.com/doi/full/10.1111/spc3.12579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James, G., Witten, D., Hastie, T., &amp; Tibshirani, R. (2013).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 with Applications in R.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texto fundamental que cubre una amplia gama de técnicas de aprendizaje estadístico y computacional, con ejemplos prácticos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Kuhn, M., &amp; Johnson, K. (2013).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Applied Predictive Modeling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. Este libro proporciona una guía práctica para la construcción de modelos predictivos utilizando R, con un enfoque en la preparación de datos y la selección de modelos.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"https://www.springer.com/gp/book/9781461468486"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https://www.springer.com/gp/book/9781461468486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Murphy, K. P. (2012).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Machine Learning: A Probabilistic Perspective.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Ofrece una visión integral del aprendizaje estadístico desde una perspectiva probabilística, con numerosos ejemplos y ejercicios prácticos.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"https://mitpress.mit.edu/books/machine-learning"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https://mitpress.mit.edu/books/machine-learning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Shalev-Shwartz, S., &amp; Ben-David, S. (2014).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Understanding Machine Learning: From Theory to Algorithms.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Una introducción teórica sólida a los principios y algoritmos del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"https://www.cs.huji.ac.il/~shais/UnderstandingMachineLearning/"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https://www.cs.huji.ac.il/~shais/UnderstandingMachineLearning/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Wickham, H., &amp; Grolemund, G. (2017).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R for Data Science: Import, Tidy, Transform, Visualize, and Model Data.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Aunque centrado en tidyverse, es útil para comprender el flujo de trabajo en R y cómo aplicar principios de limpieza y visualización de datos.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"https://r4ds.had.co.nz"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https://r4ds.had.co.nz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Yarkoni, T., &amp; Westfall, J. (2017). </w:t>
      </w:r>
      <w:r>
        <w:rPr>
          <w:rFonts w:hint="default" w:ascii="Source Sans Pro" w:hAnsi="Source Sans Pro" w:cs="Source Sans Pro"/>
          <w:b/>
          <w:bCs/>
          <w:sz w:val="20"/>
          <w:szCs w:val="20"/>
        </w:rPr>
        <w:t>Choosing prediction over explanation in psychology: Lessons from machine learning.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 xml:space="preserve">Este articulo trata de las ventajas que puede traer el uso de herramientas de aprendizaje estadístico en la investigación en psicología. Enlace: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begin"/>
      </w:r>
      <w:r>
        <w:rPr>
          <w:rFonts w:hint="default" w:ascii="Source Sans Pro" w:hAnsi="Source Sans Pro" w:cs="Source Sans Pro"/>
          <w:sz w:val="20"/>
          <w:szCs w:val="20"/>
          <w:lang w:val="en-US"/>
        </w:rPr>
        <w:instrText xml:space="preserve"> HYPERLINK "https://journals.sagepub.com/doi/pdf/10.1177/1745691617693393" </w:instrTex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separate"/>
      </w:r>
      <w:r>
        <w:rPr>
          <w:rStyle w:val="17"/>
          <w:rFonts w:hint="default" w:ascii="Source Sans Pro" w:hAnsi="Source Sans Pro" w:cs="Source Sans Pro"/>
          <w:sz w:val="20"/>
          <w:szCs w:val="20"/>
          <w:lang w:val="en-US"/>
        </w:rPr>
        <w:t>https://journals.sagepub.com/doi/pdf/10.1177/1745691617693393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fldChar w:fldCharType="end"/>
      </w:r>
    </w:p>
    <w:sectPr>
      <w:headerReference r:id="rId3" w:type="default"/>
      <w:footerReference r:id="rId4" w:type="default"/>
      <w:pgSz w:w="12242" w:h="15842"/>
      <w:pgMar w:top="1418" w:right="1418" w:bottom="1418" w:left="1701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Caladea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ymbol">
    <w:altName w:val="Dhurjati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-162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5579745" cy="6350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745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C1316"/>
    <w:multiLevelType w:val="multilevel"/>
    <w:tmpl w:val="9D7C1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7EC7F2"/>
    <w:multiLevelType w:val="multilevel"/>
    <w:tmpl w:val="9D7EC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FC13C7"/>
    <w:multiLevelType w:val="multilevel"/>
    <w:tmpl w:val="AEFC1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A9EFD4"/>
    <w:multiLevelType w:val="multilevel"/>
    <w:tmpl w:val="C2A9E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D04229"/>
    <w:multiLevelType w:val="multilevel"/>
    <w:tmpl w:val="D5D04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7F3DDF"/>
    <w:multiLevelType w:val="multilevel"/>
    <w:tmpl w:val="DD7F3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EFA3946"/>
    <w:multiLevelType w:val="multilevel"/>
    <w:tmpl w:val="DEFA3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20EC2D"/>
    <w:multiLevelType w:val="multilevel"/>
    <w:tmpl w:val="DF20E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777403"/>
    <w:multiLevelType w:val="multilevel"/>
    <w:tmpl w:val="DF777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FDEF16E"/>
    <w:multiLevelType w:val="multilevel"/>
    <w:tmpl w:val="DFDEF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4FE2B4E"/>
    <w:multiLevelType w:val="multilevel"/>
    <w:tmpl w:val="F4FE2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7BF38C4"/>
    <w:multiLevelType w:val="multilevel"/>
    <w:tmpl w:val="F7BF3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3F31DD"/>
    <w:multiLevelType w:val="multilevel"/>
    <w:tmpl w:val="F93F3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9FFA424"/>
    <w:multiLevelType w:val="singleLevel"/>
    <w:tmpl w:val="F9FFA4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4">
    <w:nsid w:val="FA7EDD2D"/>
    <w:multiLevelType w:val="multilevel"/>
    <w:tmpl w:val="FA7ED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B775A61"/>
    <w:multiLevelType w:val="multilevel"/>
    <w:tmpl w:val="FB775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DBD38D2"/>
    <w:multiLevelType w:val="multilevel"/>
    <w:tmpl w:val="FDBD3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DDE1FFF"/>
    <w:multiLevelType w:val="multilevel"/>
    <w:tmpl w:val="FDDE1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F5F665C"/>
    <w:multiLevelType w:val="multilevel"/>
    <w:tmpl w:val="FF5F6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F6B99D5"/>
    <w:multiLevelType w:val="multilevel"/>
    <w:tmpl w:val="FF6B9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CA37F7"/>
    <w:multiLevelType w:val="multilevel"/>
    <w:tmpl w:val="FFCA3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FEED11E"/>
    <w:multiLevelType w:val="multilevel"/>
    <w:tmpl w:val="FFEED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DEF1AA1"/>
    <w:multiLevelType w:val="multilevel"/>
    <w:tmpl w:val="1DEF1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83632D0"/>
    <w:multiLevelType w:val="multilevel"/>
    <w:tmpl w:val="28363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BDAF2AC"/>
    <w:multiLevelType w:val="multilevel"/>
    <w:tmpl w:val="3BDAF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3AFD43C"/>
    <w:multiLevelType w:val="multilevel"/>
    <w:tmpl w:val="63AFD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71CBB50"/>
    <w:multiLevelType w:val="multilevel"/>
    <w:tmpl w:val="671CB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7DE3DA3"/>
    <w:multiLevelType w:val="multilevel"/>
    <w:tmpl w:val="77DE3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AFE079B"/>
    <w:multiLevelType w:val="multilevel"/>
    <w:tmpl w:val="7AFE0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FBE5565"/>
    <w:multiLevelType w:val="multilevel"/>
    <w:tmpl w:val="7FBE5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FD9940D"/>
    <w:multiLevelType w:val="multilevel"/>
    <w:tmpl w:val="7FD99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1"/>
  </w:num>
  <w:num w:numId="5">
    <w:abstractNumId w:val="4"/>
  </w:num>
  <w:num w:numId="6">
    <w:abstractNumId w:val="27"/>
  </w:num>
  <w:num w:numId="7">
    <w:abstractNumId w:val="3"/>
  </w:num>
  <w:num w:numId="8">
    <w:abstractNumId w:val="18"/>
  </w:num>
  <w:num w:numId="9">
    <w:abstractNumId w:val="10"/>
  </w:num>
  <w:num w:numId="10">
    <w:abstractNumId w:val="8"/>
  </w:num>
  <w:num w:numId="11">
    <w:abstractNumId w:val="0"/>
  </w:num>
  <w:num w:numId="12">
    <w:abstractNumId w:val="24"/>
  </w:num>
  <w:num w:numId="13">
    <w:abstractNumId w:val="29"/>
  </w:num>
  <w:num w:numId="14">
    <w:abstractNumId w:val="7"/>
  </w:num>
  <w:num w:numId="15">
    <w:abstractNumId w:val="5"/>
  </w:num>
  <w:num w:numId="16">
    <w:abstractNumId w:val="1"/>
  </w:num>
  <w:num w:numId="17">
    <w:abstractNumId w:val="26"/>
  </w:num>
  <w:num w:numId="18">
    <w:abstractNumId w:val="12"/>
  </w:num>
  <w:num w:numId="19">
    <w:abstractNumId w:val="6"/>
  </w:num>
  <w:num w:numId="20">
    <w:abstractNumId w:val="17"/>
  </w:num>
  <w:num w:numId="21">
    <w:abstractNumId w:val="2"/>
  </w:num>
  <w:num w:numId="22">
    <w:abstractNumId w:val="11"/>
  </w:num>
  <w:num w:numId="23">
    <w:abstractNumId w:val="28"/>
  </w:num>
  <w:num w:numId="24">
    <w:abstractNumId w:val="23"/>
  </w:num>
  <w:num w:numId="25">
    <w:abstractNumId w:val="20"/>
  </w:num>
  <w:num w:numId="26">
    <w:abstractNumId w:val="25"/>
  </w:num>
  <w:num w:numId="27">
    <w:abstractNumId w:val="15"/>
  </w:num>
  <w:num w:numId="28">
    <w:abstractNumId w:val="19"/>
  </w:num>
  <w:num w:numId="29">
    <w:abstractNumId w:val="14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EFA110"/>
    <w:rsid w:val="1FBE522B"/>
    <w:rsid w:val="2B4F5445"/>
    <w:rsid w:val="3B2B9765"/>
    <w:rsid w:val="448FC023"/>
    <w:rsid w:val="4BBB8366"/>
    <w:rsid w:val="4EB7159B"/>
    <w:rsid w:val="4F46D705"/>
    <w:rsid w:val="577A84EF"/>
    <w:rsid w:val="5F3FB480"/>
    <w:rsid w:val="5FAF2908"/>
    <w:rsid w:val="6725DC23"/>
    <w:rsid w:val="67DD5285"/>
    <w:rsid w:val="67F5E2AF"/>
    <w:rsid w:val="6DBFD9C3"/>
    <w:rsid w:val="6FA825D5"/>
    <w:rsid w:val="73DFF68C"/>
    <w:rsid w:val="757FAB4D"/>
    <w:rsid w:val="76BF8E72"/>
    <w:rsid w:val="779F040A"/>
    <w:rsid w:val="79DFFC3E"/>
    <w:rsid w:val="7EE3E476"/>
    <w:rsid w:val="7EED794E"/>
    <w:rsid w:val="7F3FB990"/>
    <w:rsid w:val="7FB58E61"/>
    <w:rsid w:val="7FBFE614"/>
    <w:rsid w:val="7FDA6DD9"/>
    <w:rsid w:val="7FF996CA"/>
    <w:rsid w:val="7FFF289B"/>
    <w:rsid w:val="873F69EF"/>
    <w:rsid w:val="8FC74F50"/>
    <w:rsid w:val="AB6C0623"/>
    <w:rsid w:val="AFE7D23D"/>
    <w:rsid w:val="B67F5F9D"/>
    <w:rsid w:val="B75F5C46"/>
    <w:rsid w:val="BBBD91BC"/>
    <w:rsid w:val="BD63F754"/>
    <w:rsid w:val="C34BF1CD"/>
    <w:rsid w:val="DC7E1442"/>
    <w:rsid w:val="E7FD5479"/>
    <w:rsid w:val="EBB4B7D9"/>
    <w:rsid w:val="EDFE29E5"/>
    <w:rsid w:val="EEBFC89B"/>
    <w:rsid w:val="EF721BB8"/>
    <w:rsid w:val="EFDF8318"/>
    <w:rsid w:val="F58F664D"/>
    <w:rsid w:val="F63D9271"/>
    <w:rsid w:val="F7EC6521"/>
    <w:rsid w:val="F7ED4D12"/>
    <w:rsid w:val="F7FB3453"/>
    <w:rsid w:val="F7FCB76E"/>
    <w:rsid w:val="FB5E2741"/>
    <w:rsid w:val="FBA79EAE"/>
    <w:rsid w:val="FBE66D2C"/>
    <w:rsid w:val="FC7FD70F"/>
    <w:rsid w:val="FEB35B20"/>
    <w:rsid w:val="FF3E7253"/>
    <w:rsid w:val="FFBFC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0"/>
      <w:lang w:val="es-ES" w:eastAsia="es-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  <w:spacing w:before="20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4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6"/>
    <w:semiHidden/>
    <w:qFormat/>
    <w:uiPriority w:val="0"/>
    <w:pPr>
      <w:jc w:val="both"/>
    </w:pPr>
    <w:rPr>
      <w:szCs w:val="24"/>
    </w:rPr>
  </w:style>
  <w:style w:type="character" w:styleId="13">
    <w:name w:val="Emphasis"/>
    <w:basedOn w:val="9"/>
    <w:qFormat/>
    <w:uiPriority w:val="0"/>
    <w:rPr>
      <w:i/>
      <w:iCs/>
    </w:rPr>
  </w:style>
  <w:style w:type="paragraph" w:styleId="14">
    <w:name w:val="footer"/>
    <w:basedOn w:val="1"/>
    <w:link w:val="24"/>
    <w:qFormat/>
    <w:uiPriority w:val="0"/>
    <w:pPr>
      <w:tabs>
        <w:tab w:val="center" w:pos="4252"/>
        <w:tab w:val="right" w:pos="8504"/>
      </w:tabs>
    </w:pPr>
  </w:style>
  <w:style w:type="paragraph" w:styleId="15">
    <w:name w:val="header"/>
    <w:basedOn w:val="1"/>
    <w:link w:val="23"/>
    <w:qFormat/>
    <w:uiPriority w:val="0"/>
    <w:pPr>
      <w:tabs>
        <w:tab w:val="center" w:pos="4252"/>
        <w:tab w:val="right" w:pos="8504"/>
      </w:tabs>
    </w:pPr>
  </w:style>
  <w:style w:type="character" w:styleId="16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9">
    <w:name w:val="Strong"/>
    <w:basedOn w:val="9"/>
    <w:qFormat/>
    <w:uiPriority w:val="0"/>
    <w:rPr>
      <w:b/>
      <w:bCs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2">
    <w:name w:val="Table Normal1"/>
    <w:qFormat/>
    <w:uiPriority w:val="0"/>
  </w:style>
  <w:style w:type="character" w:customStyle="1" w:styleId="23">
    <w:name w:val="Encabezado Car"/>
    <w:basedOn w:val="9"/>
    <w:link w:val="15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character" w:customStyle="1" w:styleId="24">
    <w:name w:val="Pie de página Car"/>
    <w:basedOn w:val="9"/>
    <w:link w:val="14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paragraph" w:styleId="25">
    <w:name w:val="List Paragraph"/>
    <w:basedOn w:val="1"/>
    <w:qFormat/>
    <w:uiPriority w:val="72"/>
    <w:pPr>
      <w:ind w:left="720"/>
      <w:contextualSpacing/>
    </w:pPr>
  </w:style>
  <w:style w:type="character" w:customStyle="1" w:styleId="26">
    <w:name w:val="Texto independiente Car"/>
    <w:basedOn w:val="9"/>
    <w:link w:val="12"/>
    <w:semiHidden/>
    <w:qFormat/>
    <w:uiPriority w:val="0"/>
    <w:rPr>
      <w:rFonts w:ascii="Times New Roman" w:hAnsi="Times New Roman" w:eastAsia="Times New Roman" w:cs="Times New Roman"/>
      <w:lang w:val="es-ES" w:eastAsia="es-ES"/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Texto de globo Car"/>
    <w:basedOn w:val="9"/>
    <w:link w:val="11"/>
    <w:semiHidden/>
    <w:qFormat/>
    <w:uiPriority w:val="99"/>
    <w:rPr>
      <w:rFonts w:ascii="Tahoma" w:hAnsi="Tahoma" w:eastAsia="Times New Roman" w:cs="Tahoma"/>
      <w:sz w:val="16"/>
      <w:szCs w:val="16"/>
      <w:lang w:val="es-ES" w:eastAsia="es-ES"/>
    </w:rPr>
  </w:style>
  <w:style w:type="character" w:customStyle="1" w:styleId="29">
    <w:name w:val="Título 7 C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es-ES"/>
    </w:rPr>
  </w:style>
  <w:style w:type="table" w:customStyle="1" w:styleId="31">
    <w:name w:val="_Style 27"/>
    <w:basedOn w:val="2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28"/>
    <w:basedOn w:val="22"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2315</Words>
  <Characters>14321</Characters>
  <TotalTime>4</TotalTime>
  <ScaleCrop>false</ScaleCrop>
  <LinksUpToDate>false</LinksUpToDate>
  <CharactersWithSpaces>16479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2021-05-18T19:50:00Z</dcterms:created>
  <dc:creator>Odir Rodriguez Villagra</dc:creator>
  <cp:lastModifiedBy>marce</cp:lastModifiedBy>
  <dcterms:modified xsi:type="dcterms:W3CDTF">2024-08-22T10:26:41Z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