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A26" w:rsidRDefault="007659D2">
      <w:pPr>
        <w:rPr>
          <w:b/>
          <w:lang w:val="en-GB"/>
        </w:rPr>
      </w:pPr>
      <w:r w:rsidRPr="007659D2">
        <w:rPr>
          <w:b/>
          <w:lang w:val="en-GB"/>
        </w:rPr>
        <w:t xml:space="preserve">Foraging, fear and behavioural traits – a lesson </w:t>
      </w:r>
      <w:r>
        <w:rPr>
          <w:b/>
          <w:lang w:val="en-GB"/>
        </w:rPr>
        <w:t>from hummingbirds</w:t>
      </w:r>
    </w:p>
    <w:p w:rsidR="00385A26" w:rsidRDefault="00385A26">
      <w:r w:rsidRPr="00385A26">
        <w:t>Katarzyna Wojczulanis-Jakubas</w:t>
      </w:r>
      <w:r w:rsidR="00CF560C" w:rsidRPr="007A3614">
        <w:rPr>
          <w:vertAlign w:val="superscript"/>
        </w:rPr>
        <w:t>1</w:t>
      </w:r>
      <w:r w:rsidRPr="00385A26">
        <w:t xml:space="preserve">, </w:t>
      </w:r>
      <w:proofErr w:type="spellStart"/>
      <w:r w:rsidRPr="00385A26">
        <w:t>Marcelo</w:t>
      </w:r>
      <w:proofErr w:type="spellEnd"/>
      <w:r w:rsidRPr="00385A26">
        <w:t xml:space="preserve"> A</w:t>
      </w:r>
      <w:r>
        <w:t>raya-Salas</w:t>
      </w:r>
      <w:r w:rsidR="00CF560C" w:rsidRPr="007A3614">
        <w:rPr>
          <w:vertAlign w:val="superscript"/>
        </w:rPr>
        <w:t>2</w:t>
      </w:r>
      <w:r w:rsidR="00CB688B">
        <w:rPr>
          <w:vertAlign w:val="superscript"/>
        </w:rPr>
        <w:t>,3</w:t>
      </w:r>
    </w:p>
    <w:p w:rsidR="00385A26" w:rsidRDefault="007A3614" w:rsidP="0088697A">
      <w:pPr>
        <w:rPr>
          <w:lang w:val="en-GB"/>
        </w:rPr>
      </w:pPr>
      <w:r w:rsidRPr="007A3614">
        <w:rPr>
          <w:vertAlign w:val="superscript"/>
          <w:lang w:val="en-GB"/>
        </w:rPr>
        <w:t>1</w:t>
      </w:r>
      <w:r w:rsidR="0088697A" w:rsidRPr="0088697A">
        <w:rPr>
          <w:lang w:val="en-GB"/>
        </w:rPr>
        <w:t>Department of Vertebrate Ecology and Zoology, Univers</w:t>
      </w:r>
      <w:r w:rsidR="00CF560C">
        <w:rPr>
          <w:lang w:val="en-GB"/>
        </w:rPr>
        <w:t>ity of Gdansk, Gdansk, Poland</w:t>
      </w:r>
      <w:r>
        <w:rPr>
          <w:lang w:val="en-GB"/>
        </w:rPr>
        <w:t>; biokwj@univ.gda.pl</w:t>
      </w:r>
    </w:p>
    <w:p w:rsidR="007A3614" w:rsidRDefault="007A3614" w:rsidP="007A3614">
      <w:pPr>
        <w:rPr>
          <w:lang w:val="en-GB"/>
        </w:rPr>
      </w:pPr>
      <w:r w:rsidRPr="007A3614">
        <w:rPr>
          <w:vertAlign w:val="superscript"/>
          <w:lang w:val="en-GB"/>
        </w:rPr>
        <w:t>2</w:t>
      </w:r>
      <w:r w:rsidRPr="0088697A">
        <w:rPr>
          <w:lang w:val="en-GB"/>
        </w:rPr>
        <w:t xml:space="preserve">Laboratory of Ornithology, Cornell University, Ithaca, NY, USA. </w:t>
      </w:r>
      <w:r w:rsidRPr="00CB688B">
        <w:rPr>
          <w:vertAlign w:val="superscript"/>
          <w:lang w:val="en-GB"/>
        </w:rPr>
        <w:t>2</w:t>
      </w:r>
      <w:r w:rsidRPr="0088697A">
        <w:rPr>
          <w:lang w:val="en-GB"/>
        </w:rPr>
        <w:t xml:space="preserve">Escuela de </w:t>
      </w:r>
      <w:proofErr w:type="spellStart"/>
      <w:r w:rsidRPr="0088697A">
        <w:rPr>
          <w:lang w:val="en-GB"/>
        </w:rPr>
        <w:t>Biología</w:t>
      </w:r>
      <w:proofErr w:type="spellEnd"/>
      <w:r w:rsidRPr="0088697A">
        <w:rPr>
          <w:lang w:val="en-GB"/>
        </w:rPr>
        <w:t>, Universidad de Costa Rica, San Pedro, San José, Costa Rica</w:t>
      </w:r>
    </w:p>
    <w:p w:rsidR="00CF560C" w:rsidRPr="0088697A" w:rsidRDefault="00CF560C" w:rsidP="0088697A">
      <w:pPr>
        <w:rPr>
          <w:lang w:val="en-GB"/>
        </w:rPr>
      </w:pPr>
    </w:p>
    <w:p w:rsidR="0088697A" w:rsidRPr="00F26029" w:rsidRDefault="0088697A">
      <w:pPr>
        <w:rPr>
          <w:b/>
          <w:highlight w:val="yellow"/>
          <w:lang w:val="en-GB"/>
        </w:rPr>
      </w:pPr>
      <w:r w:rsidRPr="00F26029">
        <w:rPr>
          <w:b/>
          <w:highlight w:val="yellow"/>
          <w:lang w:val="en-GB"/>
        </w:rPr>
        <w:t>Abstract</w:t>
      </w:r>
    </w:p>
    <w:p w:rsidR="0088697A" w:rsidRPr="0088697A" w:rsidRDefault="0088697A" w:rsidP="0088697A">
      <w:pPr>
        <w:rPr>
          <w:lang w:val="en-GB"/>
        </w:rPr>
      </w:pPr>
      <w:r w:rsidRPr="00F26029">
        <w:rPr>
          <w:highlight w:val="yellow"/>
          <w:lang w:val="en-GB"/>
        </w:rPr>
        <w:t>…</w:t>
      </w:r>
    </w:p>
    <w:p w:rsidR="0088697A" w:rsidRDefault="0088697A">
      <w:pPr>
        <w:rPr>
          <w:b/>
          <w:lang w:val="en-GB"/>
        </w:rPr>
      </w:pPr>
    </w:p>
    <w:p w:rsidR="00950333" w:rsidRPr="00F26029" w:rsidRDefault="00385A26">
      <w:pPr>
        <w:rPr>
          <w:b/>
          <w:highlight w:val="yellow"/>
          <w:lang w:val="en-GB"/>
        </w:rPr>
      </w:pPr>
      <w:r w:rsidRPr="00F26029">
        <w:rPr>
          <w:b/>
          <w:highlight w:val="yellow"/>
          <w:lang w:val="en-GB"/>
        </w:rPr>
        <w:t>Introduction</w:t>
      </w:r>
    </w:p>
    <w:p w:rsidR="005A1AC1" w:rsidRPr="00A74BF1" w:rsidRDefault="005A1AC1" w:rsidP="005A1AC1">
      <w:pPr>
        <w:pStyle w:val="NormalnyWeb"/>
        <w:numPr>
          <w:ilvl w:val="0"/>
          <w:numId w:val="1"/>
        </w:numPr>
        <w:rPr>
          <w:highlight w:val="yellow"/>
          <w:lang w:val="en-GB"/>
        </w:rPr>
      </w:pPr>
      <w:r w:rsidRPr="00A74BF1">
        <w:rPr>
          <w:highlight w:val="yellow"/>
          <w:lang w:val="en-GB"/>
        </w:rPr>
        <w:t>It is now widely accepted that animal’s foraging strategy (i.e. </w:t>
      </w:r>
      <w:proofErr w:type="spellStart"/>
      <w:r w:rsidRPr="00A74BF1">
        <w:rPr>
          <w:highlight w:val="yellow"/>
          <w:lang w:val="en-GB"/>
        </w:rPr>
        <w:t>resourse</w:t>
      </w:r>
      <w:proofErr w:type="spellEnd"/>
      <w:r w:rsidRPr="00A74BF1">
        <w:rPr>
          <w:highlight w:val="yellow"/>
          <w:lang w:val="en-GB"/>
        </w:rPr>
        <w:t xml:space="preserve"> exploitation) depends only on the amount/distribution of available food resources and animal motivation (marginal value theorem) but also predation pressure (Lime and </w:t>
      </w:r>
      <w:proofErr w:type="spellStart"/>
      <w:r w:rsidRPr="00A74BF1">
        <w:rPr>
          <w:highlight w:val="yellow"/>
          <w:lang w:val="en-GB"/>
        </w:rPr>
        <w:t>Bednekoff</w:t>
      </w:r>
      <w:proofErr w:type="spellEnd"/>
      <w:r w:rsidRPr="00A74BF1">
        <w:rPr>
          <w:highlight w:val="yellow"/>
          <w:lang w:val="en-GB"/>
        </w:rPr>
        <w:t>, 1999)</w:t>
      </w:r>
    </w:p>
    <w:p w:rsidR="005A1AC1" w:rsidRPr="00A74BF1" w:rsidRDefault="005A1AC1" w:rsidP="005A1AC1">
      <w:pPr>
        <w:pStyle w:val="NormalnyWeb"/>
        <w:numPr>
          <w:ilvl w:val="0"/>
          <w:numId w:val="1"/>
        </w:numPr>
        <w:rPr>
          <w:highlight w:val="yellow"/>
          <w:lang w:val="en-GB"/>
        </w:rPr>
      </w:pPr>
      <w:r w:rsidRPr="00A74BF1">
        <w:rPr>
          <w:highlight w:val="yellow"/>
          <w:lang w:val="en-GB"/>
        </w:rPr>
        <w:t>The intensity of prey vigilance depends on level of risk and proportion of predator presence. The risk allocation hypothesis (RAH) imposes that prey will allocate the time to foraging inversely proportionately to the predation pressure. The hypothesis usually tested in species that have an obvious predator/s.</w:t>
      </w:r>
    </w:p>
    <w:p w:rsidR="005A1AC1" w:rsidRPr="00A74BF1" w:rsidRDefault="005A1AC1" w:rsidP="005A1AC1">
      <w:pPr>
        <w:pStyle w:val="NormalnyWeb"/>
        <w:numPr>
          <w:ilvl w:val="0"/>
          <w:numId w:val="1"/>
        </w:numPr>
        <w:rPr>
          <w:highlight w:val="yellow"/>
          <w:lang w:val="en-GB"/>
        </w:rPr>
      </w:pPr>
      <w:r w:rsidRPr="00A74BF1">
        <w:rPr>
          <w:highlight w:val="yellow"/>
          <w:lang w:val="en-GB"/>
        </w:rPr>
        <w:t xml:space="preserve">Hummingbirds are rarely considered typical preys; rather do not have a specialized predator. However, they are often taken </w:t>
      </w:r>
      <w:proofErr w:type="spellStart"/>
      <w:r w:rsidRPr="00A74BF1">
        <w:rPr>
          <w:highlight w:val="yellow"/>
          <w:lang w:val="en-GB"/>
        </w:rPr>
        <w:t>oportunistically</w:t>
      </w:r>
      <w:proofErr w:type="spellEnd"/>
      <w:r w:rsidRPr="00A74BF1">
        <w:rPr>
          <w:highlight w:val="yellow"/>
          <w:lang w:val="en-GB"/>
        </w:rPr>
        <w:t xml:space="preserve"> by a wide range of predators, which imposes a great risk and </w:t>
      </w:r>
      <w:proofErr w:type="spellStart"/>
      <w:r w:rsidRPr="00A74BF1">
        <w:rPr>
          <w:highlight w:val="yellow"/>
          <w:lang w:val="en-GB"/>
        </w:rPr>
        <w:t>favor</w:t>
      </w:r>
      <w:proofErr w:type="spellEnd"/>
      <w:r w:rsidRPr="00A74BF1">
        <w:rPr>
          <w:highlight w:val="yellow"/>
          <w:lang w:val="en-GB"/>
        </w:rPr>
        <w:t xml:space="preserve"> evolution of anti-predator behaviours, including foraging strategy in the conditions of high predation pressure. On the other hand, the hummingbirds, owing to the </w:t>
      </w:r>
      <w:proofErr w:type="spellStart"/>
      <w:r w:rsidRPr="00A74BF1">
        <w:rPr>
          <w:highlight w:val="yellow"/>
          <w:lang w:val="en-GB"/>
        </w:rPr>
        <w:t>extremeally</w:t>
      </w:r>
      <w:proofErr w:type="spellEnd"/>
      <w:r w:rsidRPr="00A74BF1">
        <w:rPr>
          <w:highlight w:val="yellow"/>
          <w:lang w:val="en-GB"/>
        </w:rPr>
        <w:t xml:space="preserve"> high metabolic rate, are very much driven by energy intake. That could constraint evolution of foraging strategy (as a matter of fact, they would be expected to forage regardless of the risk level, so called paradox of RAH).</w:t>
      </w:r>
    </w:p>
    <w:p w:rsidR="005A1AC1" w:rsidRPr="00A74BF1" w:rsidRDefault="005A1AC1" w:rsidP="005A1AC1">
      <w:pPr>
        <w:numPr>
          <w:ilvl w:val="0"/>
          <w:numId w:val="2"/>
        </w:numPr>
        <w:spacing w:before="100" w:beforeAutospacing="1" w:after="100" w:afterAutospacing="1" w:line="240" w:lineRule="auto"/>
        <w:rPr>
          <w:highlight w:val="yellow"/>
          <w:lang w:val="en-GB"/>
        </w:rPr>
      </w:pPr>
      <w:r w:rsidRPr="00A74BF1">
        <w:rPr>
          <w:highlight w:val="yellow"/>
          <w:lang w:val="en-GB"/>
        </w:rPr>
        <w:t xml:space="preserve">Another question that may affects foraging </w:t>
      </w:r>
      <w:proofErr w:type="spellStart"/>
      <w:r w:rsidRPr="00A74BF1">
        <w:rPr>
          <w:highlight w:val="yellow"/>
          <w:lang w:val="en-GB"/>
        </w:rPr>
        <w:t>perfomance</w:t>
      </w:r>
      <w:proofErr w:type="spellEnd"/>
      <w:r w:rsidRPr="00A74BF1">
        <w:rPr>
          <w:highlight w:val="yellow"/>
          <w:lang w:val="en-GB"/>
        </w:rPr>
        <w:t xml:space="preserve"> is a behavioural profile/personality…. (to be elaborated)</w:t>
      </w:r>
    </w:p>
    <w:p w:rsidR="00F26029" w:rsidRPr="0088697A" w:rsidRDefault="005A1AC1" w:rsidP="005A1AC1">
      <w:pPr>
        <w:rPr>
          <w:lang w:val="en-GB"/>
        </w:rPr>
      </w:pPr>
      <w:r w:rsidRPr="00F26029">
        <w:rPr>
          <w:highlight w:val="yellow"/>
          <w:lang w:val="en-GB"/>
        </w:rPr>
        <w:t xml:space="preserve"> </w:t>
      </w:r>
      <w:r w:rsidR="00F26029" w:rsidRPr="00F26029">
        <w:rPr>
          <w:highlight w:val="yellow"/>
          <w:lang w:val="en-GB"/>
        </w:rPr>
        <w:t>…exploration/risk-avoidance/arousal</w:t>
      </w:r>
    </w:p>
    <w:p w:rsidR="00F26029" w:rsidRDefault="00F26029">
      <w:pPr>
        <w:rPr>
          <w:b/>
          <w:lang w:val="en-GB"/>
        </w:rPr>
      </w:pPr>
    </w:p>
    <w:p w:rsidR="00385A26" w:rsidRPr="00534D38" w:rsidRDefault="00385A26">
      <w:pPr>
        <w:rPr>
          <w:b/>
          <w:lang w:val="en-GB"/>
        </w:rPr>
      </w:pPr>
      <w:r w:rsidRPr="00534D38">
        <w:rPr>
          <w:b/>
          <w:lang w:val="en-GB"/>
        </w:rPr>
        <w:t>Material and methods</w:t>
      </w:r>
    </w:p>
    <w:p w:rsidR="00534D38" w:rsidRDefault="00385A26" w:rsidP="0088697A">
      <w:pPr>
        <w:jc w:val="both"/>
        <w:rPr>
          <w:lang w:val="en-GB"/>
        </w:rPr>
      </w:pPr>
      <w:r w:rsidRPr="00534D38">
        <w:rPr>
          <w:i/>
          <w:lang w:val="en-GB"/>
        </w:rPr>
        <w:t>Fieldwork</w:t>
      </w:r>
      <w:r w:rsidR="00534D38" w:rsidRPr="00534D38">
        <w:rPr>
          <w:i/>
          <w:lang w:val="en-GB"/>
        </w:rPr>
        <w:t>.</w:t>
      </w:r>
      <w:r w:rsidR="00534D38">
        <w:rPr>
          <w:lang w:val="en-GB"/>
        </w:rPr>
        <w:t xml:space="preserve"> </w:t>
      </w:r>
      <w:r w:rsidRPr="00385A26">
        <w:rPr>
          <w:lang w:val="en-GB"/>
        </w:rPr>
        <w:t xml:space="preserve">We </w:t>
      </w:r>
      <w:r>
        <w:rPr>
          <w:lang w:val="en-GB"/>
        </w:rPr>
        <w:t xml:space="preserve">carried out the study at the area of one of LBH </w:t>
      </w:r>
      <w:proofErr w:type="spellStart"/>
      <w:r>
        <w:rPr>
          <w:lang w:val="en-GB"/>
        </w:rPr>
        <w:t>leks</w:t>
      </w:r>
      <w:proofErr w:type="spellEnd"/>
      <w:r>
        <w:rPr>
          <w:lang w:val="en-GB"/>
        </w:rPr>
        <w:t xml:space="preserve"> </w:t>
      </w:r>
      <w:r w:rsidRPr="00385A26">
        <w:rPr>
          <w:lang w:val="en-GB"/>
        </w:rPr>
        <w:t xml:space="preserve">in La </w:t>
      </w:r>
      <w:proofErr w:type="spellStart"/>
      <w:r w:rsidRPr="00385A26">
        <w:rPr>
          <w:lang w:val="en-GB"/>
        </w:rPr>
        <w:t>Selva</w:t>
      </w:r>
      <w:proofErr w:type="spellEnd"/>
      <w:r w:rsidRPr="00385A26">
        <w:rPr>
          <w:lang w:val="en-GB"/>
        </w:rPr>
        <w:t xml:space="preserve"> Bio</w:t>
      </w:r>
      <w:r>
        <w:rPr>
          <w:lang w:val="en-GB"/>
        </w:rPr>
        <w:t>logical Station, Costa Rica (10</w:t>
      </w:r>
      <w:r w:rsidRPr="00385A26">
        <w:rPr>
          <w:vertAlign w:val="superscript"/>
          <w:lang w:val="en-GB"/>
        </w:rPr>
        <w:t xml:space="preserve"> o</w:t>
      </w:r>
      <w:r w:rsidRPr="00385A26">
        <w:rPr>
          <w:lang w:val="en-GB"/>
        </w:rPr>
        <w:t>23</w:t>
      </w:r>
      <w:r>
        <w:rPr>
          <w:lang w:val="en-GB"/>
        </w:rPr>
        <w:t xml:space="preserve">’ </w:t>
      </w:r>
      <w:r w:rsidRPr="00385A26">
        <w:rPr>
          <w:lang w:val="en-GB"/>
        </w:rPr>
        <w:t>N, 84</w:t>
      </w:r>
      <w:r w:rsidRPr="00385A26">
        <w:rPr>
          <w:vertAlign w:val="superscript"/>
          <w:lang w:val="en-GB"/>
        </w:rPr>
        <w:t>o</w:t>
      </w:r>
      <w:r w:rsidRPr="00385A26">
        <w:rPr>
          <w:lang w:val="en-GB"/>
        </w:rPr>
        <w:t>10</w:t>
      </w:r>
      <w:r>
        <w:rPr>
          <w:lang w:val="en-GB"/>
        </w:rPr>
        <w:t xml:space="preserve">’ </w:t>
      </w:r>
      <w:r w:rsidRPr="00385A26">
        <w:rPr>
          <w:lang w:val="en-GB"/>
        </w:rPr>
        <w:t xml:space="preserve">W) between </w:t>
      </w:r>
      <w:r>
        <w:rPr>
          <w:lang w:val="en-GB"/>
        </w:rPr>
        <w:t xml:space="preserve">May </w:t>
      </w:r>
      <w:r w:rsidRPr="00385A26">
        <w:rPr>
          <w:lang w:val="en-GB"/>
        </w:rPr>
        <w:t xml:space="preserve">and </w:t>
      </w:r>
      <w:r>
        <w:rPr>
          <w:lang w:val="en-GB"/>
        </w:rPr>
        <w:t xml:space="preserve">June </w:t>
      </w:r>
      <w:r w:rsidRPr="00385A26">
        <w:rPr>
          <w:lang w:val="en-GB"/>
        </w:rPr>
        <w:t>201</w:t>
      </w:r>
      <w:r>
        <w:rPr>
          <w:lang w:val="en-GB"/>
        </w:rPr>
        <w:t>5</w:t>
      </w:r>
      <w:r w:rsidRPr="00385A26">
        <w:rPr>
          <w:lang w:val="en-GB"/>
        </w:rPr>
        <w:t xml:space="preserve">. </w:t>
      </w:r>
      <w:r w:rsidR="009927AD">
        <w:rPr>
          <w:lang w:val="en-GB"/>
        </w:rPr>
        <w:t>Owing to another project on LBH being carried out the same time, local birds were already individually marked [</w:t>
      </w:r>
      <w:r w:rsidR="0088697A">
        <w:rPr>
          <w:lang w:val="en-GB"/>
        </w:rPr>
        <w:t xml:space="preserve">Fig. 1; </w:t>
      </w:r>
      <w:r w:rsidR="009927AD" w:rsidRPr="00385A26">
        <w:rPr>
          <w:lang w:val="en-GB"/>
        </w:rPr>
        <w:t xml:space="preserve">foam tags </w:t>
      </w:r>
      <w:r w:rsidR="009927AD">
        <w:rPr>
          <w:lang w:val="en-GB"/>
        </w:rPr>
        <w:t>of</w:t>
      </w:r>
      <w:r w:rsidR="009927AD" w:rsidRPr="00385A26">
        <w:rPr>
          <w:lang w:val="en-GB"/>
        </w:rPr>
        <w:t xml:space="preserve"> unique colour combinations, attached to </w:t>
      </w:r>
      <w:r w:rsidR="009927AD">
        <w:rPr>
          <w:lang w:val="en-GB"/>
        </w:rPr>
        <w:t xml:space="preserve">bird </w:t>
      </w:r>
      <w:r w:rsidR="009927AD" w:rsidRPr="00385A26">
        <w:rPr>
          <w:lang w:val="en-GB"/>
        </w:rPr>
        <w:t xml:space="preserve">back </w:t>
      </w:r>
      <w:r w:rsidR="009927AD">
        <w:rPr>
          <w:lang w:val="en-GB"/>
        </w:rPr>
        <w:t xml:space="preserve">and breast </w:t>
      </w:r>
      <w:r w:rsidR="009927AD" w:rsidRPr="00385A26">
        <w:rPr>
          <w:lang w:val="en-GB"/>
        </w:rPr>
        <w:t>with nontoxic eyelash glue</w:t>
      </w:r>
      <w:r w:rsidR="009927AD">
        <w:rPr>
          <w:lang w:val="en-GB"/>
        </w:rPr>
        <w:t xml:space="preserve">, see </w:t>
      </w:r>
      <w:r w:rsidR="009927AD">
        <w:rPr>
          <w:lang w:val="en-GB"/>
        </w:rPr>
        <w:fldChar w:fldCharType="begin" w:fldLock="1"/>
      </w:r>
      <w:r w:rsidR="0088697A">
        <w:rPr>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2018)","manualFormatting":"Araya-Salas et al. 2018","plainTextFormattedCitation":"(Araya-Salas et al. 2018)"},"properties":{"noteIndex":0},"schema":"https://github.com/citation-style-language/schema/raw/master/csl-citation.json"}</w:instrText>
      </w:r>
      <w:r w:rsidR="009927AD">
        <w:rPr>
          <w:lang w:val="en-GB"/>
        </w:rPr>
        <w:fldChar w:fldCharType="separate"/>
      </w:r>
      <w:r w:rsidR="009927AD" w:rsidRPr="009927AD">
        <w:rPr>
          <w:noProof/>
          <w:lang w:val="en-GB"/>
        </w:rPr>
        <w:t>Araya-Salas et al. 2018</w:t>
      </w:r>
      <w:r w:rsidR="009927AD">
        <w:rPr>
          <w:lang w:val="en-GB"/>
        </w:rPr>
        <w:fldChar w:fldCharType="end"/>
      </w:r>
      <w:r w:rsidR="009927AD">
        <w:rPr>
          <w:lang w:val="en-GB"/>
        </w:rPr>
        <w:t xml:space="preserve"> for details] and habituated to use feeders. Of the </w:t>
      </w:r>
      <w:r w:rsidR="009927AD" w:rsidRPr="009927AD">
        <w:rPr>
          <w:highlight w:val="yellow"/>
          <w:lang w:val="en-GB"/>
        </w:rPr>
        <w:t>XX</w:t>
      </w:r>
      <w:r w:rsidR="009927AD">
        <w:rPr>
          <w:lang w:val="en-GB"/>
        </w:rPr>
        <w:t xml:space="preserve"> birds marked at the study </w:t>
      </w:r>
      <w:proofErr w:type="spellStart"/>
      <w:r w:rsidR="009927AD">
        <w:rPr>
          <w:lang w:val="en-GB"/>
        </w:rPr>
        <w:t>lek</w:t>
      </w:r>
      <w:proofErr w:type="spellEnd"/>
      <w:r w:rsidR="009927AD">
        <w:rPr>
          <w:lang w:val="en-GB"/>
        </w:rPr>
        <w:t xml:space="preserve"> (</w:t>
      </w:r>
      <w:r w:rsidR="009927AD" w:rsidRPr="009927AD">
        <w:rPr>
          <w:highlight w:val="yellow"/>
          <w:lang w:val="en-GB"/>
        </w:rPr>
        <w:t>XX</w:t>
      </w:r>
      <w:r w:rsidR="009927AD">
        <w:rPr>
          <w:lang w:val="en-GB"/>
        </w:rPr>
        <w:t xml:space="preserve"> territorials and </w:t>
      </w:r>
      <w:r w:rsidR="009927AD" w:rsidRPr="009927AD">
        <w:rPr>
          <w:highlight w:val="yellow"/>
          <w:lang w:val="en-GB"/>
        </w:rPr>
        <w:t>XX</w:t>
      </w:r>
      <w:r w:rsidR="009927AD">
        <w:rPr>
          <w:lang w:val="en-GB"/>
        </w:rPr>
        <w:t xml:space="preserve"> floaters or females), 12 individuals regularly used feeders utilized in the present study</w:t>
      </w:r>
      <w:r w:rsidR="00326299">
        <w:rPr>
          <w:lang w:val="en-GB"/>
        </w:rPr>
        <w:t xml:space="preserve"> (located at </w:t>
      </w:r>
      <w:r w:rsidR="00326299" w:rsidRPr="00326299">
        <w:rPr>
          <w:highlight w:val="yellow"/>
          <w:lang w:val="en-GB"/>
        </w:rPr>
        <w:t>XX</w:t>
      </w:r>
      <w:r w:rsidR="00326299">
        <w:rPr>
          <w:lang w:val="en-GB"/>
        </w:rPr>
        <w:t xml:space="preserve"> distance from the closest </w:t>
      </w:r>
      <w:proofErr w:type="spellStart"/>
      <w:r w:rsidR="00326299">
        <w:rPr>
          <w:lang w:val="en-GB"/>
        </w:rPr>
        <w:t>lek</w:t>
      </w:r>
      <w:proofErr w:type="spellEnd"/>
      <w:r w:rsidR="00326299">
        <w:rPr>
          <w:lang w:val="en-GB"/>
        </w:rPr>
        <w:t xml:space="preserve"> border) and so were tested in the experiment.</w:t>
      </w:r>
    </w:p>
    <w:p w:rsidR="00DB0E0F" w:rsidRDefault="00DB0E0F" w:rsidP="0088697A">
      <w:pPr>
        <w:jc w:val="both"/>
        <w:rPr>
          <w:b/>
          <w:lang w:val="en-GB"/>
        </w:rPr>
      </w:pPr>
    </w:p>
    <w:p w:rsidR="00DB0E0F" w:rsidRDefault="00DB0E0F" w:rsidP="0088697A">
      <w:pPr>
        <w:jc w:val="both"/>
        <w:rPr>
          <w:lang w:val="en-GB"/>
        </w:rPr>
      </w:pPr>
      <w:r w:rsidRPr="00DB0E0F">
        <w:rPr>
          <w:b/>
          <w:lang w:val="en-GB"/>
        </w:rPr>
        <w:t>Fig. 1</w:t>
      </w:r>
      <w:r>
        <w:rPr>
          <w:lang w:val="en-GB"/>
        </w:rPr>
        <w:t xml:space="preserve"> Long billed hermit (LBH) marked with a foam tag of unique </w:t>
      </w:r>
      <w:proofErr w:type="spellStart"/>
      <w:r>
        <w:rPr>
          <w:lang w:val="en-GB"/>
        </w:rPr>
        <w:t>color</w:t>
      </w:r>
      <w:proofErr w:type="spellEnd"/>
      <w:r>
        <w:rPr>
          <w:lang w:val="en-GB"/>
        </w:rPr>
        <w:t xml:space="preserve">-combination. Photo credit: </w:t>
      </w:r>
      <w:r w:rsidRPr="00F26029">
        <w:rPr>
          <w:highlight w:val="yellow"/>
          <w:lang w:val="en-GB"/>
        </w:rPr>
        <w:t>XXXX</w:t>
      </w:r>
    </w:p>
    <w:p w:rsidR="00183F7E" w:rsidRDefault="00E673BD" w:rsidP="00183F7E">
      <w:pPr>
        <w:jc w:val="both"/>
        <w:rPr>
          <w:lang w:val="en-GB"/>
        </w:rPr>
      </w:pPr>
      <w:r>
        <w:rPr>
          <w:lang w:val="en-GB"/>
        </w:rPr>
        <w:lastRenderedPageBreak/>
        <w:t>We used three</w:t>
      </w:r>
      <w:r w:rsidR="00700B6D">
        <w:rPr>
          <w:lang w:val="en-GB"/>
        </w:rPr>
        <w:t xml:space="preserve"> one-flower </w:t>
      </w:r>
      <w:r>
        <w:rPr>
          <w:lang w:val="en-GB"/>
        </w:rPr>
        <w:t>feeders for the experimental set up,  arranging them in a line</w:t>
      </w:r>
      <w:r w:rsidR="00326299">
        <w:rPr>
          <w:lang w:val="en-GB"/>
        </w:rPr>
        <w:t xml:space="preserve">, separated </w:t>
      </w:r>
      <w:r>
        <w:rPr>
          <w:lang w:val="en-GB"/>
        </w:rPr>
        <w:t xml:space="preserve">by </w:t>
      </w:r>
      <w:r w:rsidR="00326299">
        <w:rPr>
          <w:lang w:val="en-GB"/>
        </w:rPr>
        <w:t xml:space="preserve">ca </w:t>
      </w:r>
      <w:r>
        <w:rPr>
          <w:lang w:val="en-GB"/>
        </w:rPr>
        <w:t>10 cm distance from each other</w:t>
      </w:r>
      <w:r w:rsidR="0088697A">
        <w:rPr>
          <w:lang w:val="en-GB"/>
        </w:rPr>
        <w:t xml:space="preserve"> (Fig. 2)</w:t>
      </w:r>
      <w:r>
        <w:rPr>
          <w:lang w:val="en-GB"/>
        </w:rPr>
        <w:t>.</w:t>
      </w:r>
      <w:r w:rsidR="00326299">
        <w:rPr>
          <w:lang w:val="en-GB"/>
        </w:rPr>
        <w:t xml:space="preserve"> The experiment consisted of two </w:t>
      </w:r>
      <w:r w:rsidR="00C61C49">
        <w:rPr>
          <w:lang w:val="en-GB"/>
        </w:rPr>
        <w:t xml:space="preserve">phases </w:t>
      </w:r>
      <w:r w:rsidR="00326299">
        <w:rPr>
          <w:lang w:val="en-GB"/>
        </w:rPr>
        <w:t>– control and experimental</w:t>
      </w:r>
      <w:r w:rsidR="00C61C49">
        <w:rPr>
          <w:lang w:val="en-GB"/>
        </w:rPr>
        <w:t>, both performed at the same day, with the control being directly followed by the experimental phase</w:t>
      </w:r>
      <w:r w:rsidR="00326299">
        <w:rPr>
          <w:lang w:val="en-GB"/>
        </w:rPr>
        <w:t xml:space="preserve">. </w:t>
      </w:r>
      <w:r w:rsidR="00183F7E">
        <w:rPr>
          <w:lang w:val="en-GB"/>
        </w:rPr>
        <w:t xml:space="preserve"> The experimental phase started at the moment when all the focal individuals have been recorded at the feeder for the control conditions, and lasted until all of them visited the feeder again in the experimental conditions. Since focal individuals visited feeders regularly, appearing at the site on average </w:t>
      </w:r>
      <w:r w:rsidR="00183F7E" w:rsidRPr="00183F7E">
        <w:rPr>
          <w:highlight w:val="yellow"/>
          <w:lang w:val="en-GB"/>
        </w:rPr>
        <w:t>XX</w:t>
      </w:r>
      <w:r w:rsidR="00183F7E">
        <w:rPr>
          <w:lang w:val="en-GB"/>
        </w:rPr>
        <w:t xml:space="preserve"> times per hour, we were able to complete the two phases within ca </w:t>
      </w:r>
      <w:r w:rsidR="00183F7E" w:rsidRPr="00183F7E">
        <w:rPr>
          <w:highlight w:val="yellow"/>
          <w:lang w:val="en-GB"/>
        </w:rPr>
        <w:t>XX</w:t>
      </w:r>
      <w:r w:rsidR="00183F7E">
        <w:rPr>
          <w:lang w:val="en-GB"/>
        </w:rPr>
        <w:t xml:space="preserve"> hours. </w:t>
      </w:r>
      <w:r w:rsidR="00326299">
        <w:rPr>
          <w:lang w:val="en-GB"/>
        </w:rPr>
        <w:t xml:space="preserve">During both </w:t>
      </w:r>
      <w:r w:rsidR="00C61C49">
        <w:rPr>
          <w:lang w:val="en-GB"/>
        </w:rPr>
        <w:t xml:space="preserve">phases </w:t>
      </w:r>
      <w:r w:rsidR="00326299">
        <w:rPr>
          <w:lang w:val="en-GB"/>
        </w:rPr>
        <w:t xml:space="preserve">of the experiment the three feeders were </w:t>
      </w:r>
      <w:r w:rsidR="00385A26" w:rsidRPr="00385A26">
        <w:rPr>
          <w:lang w:val="en-GB"/>
        </w:rPr>
        <w:t xml:space="preserve">filled </w:t>
      </w:r>
      <w:r w:rsidR="00326299">
        <w:rPr>
          <w:lang w:val="en-GB"/>
        </w:rPr>
        <w:t xml:space="preserve">up </w:t>
      </w:r>
      <w:r w:rsidR="00385A26" w:rsidRPr="00385A26">
        <w:rPr>
          <w:lang w:val="en-GB"/>
        </w:rPr>
        <w:t xml:space="preserve">with ~ 30% sugar-water </w:t>
      </w:r>
      <w:r w:rsidR="00326299">
        <w:rPr>
          <w:lang w:val="en-GB"/>
        </w:rPr>
        <w:t xml:space="preserve"> and birds were allowed to forage on the nectar spontaneously, while their behaviour at feeders site were recorded </w:t>
      </w:r>
      <w:r w:rsidR="00C61C49">
        <w:rPr>
          <w:lang w:val="en-GB"/>
        </w:rPr>
        <w:t>by human observer and a commercial camera (</w:t>
      </w:r>
      <w:r w:rsidR="00C61C49" w:rsidRPr="00C61C49">
        <w:rPr>
          <w:highlight w:val="yellow"/>
          <w:lang w:val="en-GB"/>
        </w:rPr>
        <w:t>XX</w:t>
      </w:r>
      <w:r w:rsidR="00C61C49">
        <w:rPr>
          <w:lang w:val="en-GB"/>
        </w:rPr>
        <w:t xml:space="preserve">). The only difference between the control and experimental phase were a threat model attached to feeders during the experimental phase. For the threat model, we used specimens of the bull-headed ant </w:t>
      </w:r>
      <w:r w:rsidR="00C61C49" w:rsidRPr="00183F7E">
        <w:rPr>
          <w:highlight w:val="yellow"/>
          <w:lang w:val="en-GB"/>
        </w:rPr>
        <w:t>(XXX</w:t>
      </w:r>
      <w:r w:rsidR="00C61C49">
        <w:rPr>
          <w:lang w:val="en-GB"/>
        </w:rPr>
        <w:t>; found dead in the forest). Although the ant is not a predator of hummingbird</w:t>
      </w:r>
      <w:r w:rsidR="00183F7E">
        <w:rPr>
          <w:lang w:val="en-GB"/>
        </w:rPr>
        <w:t>s (including LBH)</w:t>
      </w:r>
      <w:r w:rsidR="00C61C49">
        <w:rPr>
          <w:lang w:val="en-GB"/>
        </w:rPr>
        <w:t xml:space="preserve">, the ant-bird encounter imposes </w:t>
      </w:r>
      <w:r w:rsidR="00183F7E">
        <w:rPr>
          <w:lang w:val="en-GB"/>
        </w:rPr>
        <w:t xml:space="preserve">potential </w:t>
      </w:r>
      <w:r w:rsidR="00C61C49">
        <w:rPr>
          <w:lang w:val="en-GB"/>
        </w:rPr>
        <w:t>danger for the bird in the form of being bitten. Indeed, an average birds response was as an expected for a poten</w:t>
      </w:r>
      <w:r w:rsidR="00183F7E">
        <w:rPr>
          <w:lang w:val="en-GB"/>
        </w:rPr>
        <w:t>tial treat  (see results).  We performed t</w:t>
      </w:r>
      <w:r w:rsidR="00385A26" w:rsidRPr="00385A26">
        <w:rPr>
          <w:lang w:val="en-GB"/>
        </w:rPr>
        <w:t xml:space="preserve">otal of </w:t>
      </w:r>
      <w:r w:rsidR="00183F7E">
        <w:rPr>
          <w:lang w:val="en-GB"/>
        </w:rPr>
        <w:t xml:space="preserve">four </w:t>
      </w:r>
      <w:r w:rsidR="00385A26" w:rsidRPr="00385A26">
        <w:rPr>
          <w:lang w:val="en-GB"/>
        </w:rPr>
        <w:t>complete experimental sessions (control and experiment) within ca two weeks.</w:t>
      </w:r>
    </w:p>
    <w:p w:rsidR="00183F7E" w:rsidRDefault="00385A26" w:rsidP="00183F7E">
      <w:pPr>
        <w:jc w:val="both"/>
        <w:rPr>
          <w:lang w:val="en-GB"/>
        </w:rPr>
      </w:pPr>
      <w:r w:rsidRPr="00385A26">
        <w:rPr>
          <w:lang w:val="en-GB"/>
        </w:rPr>
        <w:t xml:space="preserve"> </w:t>
      </w:r>
      <w:r w:rsidR="00B61A16">
        <w:rPr>
          <w:noProof/>
          <w:lang w:eastAsia="pl-PL"/>
        </w:rPr>
        <w:drawing>
          <wp:inline distT="0" distB="0" distL="0" distR="0" wp14:anchorId="796CA679" wp14:editId="15DB9B23">
            <wp:extent cx="3542857" cy="1342857"/>
            <wp:effectExtent l="0" t="0" r="63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2857" cy="1342857"/>
                    </a:xfrm>
                    <a:prstGeom prst="rect">
                      <a:avLst/>
                    </a:prstGeom>
                  </pic:spPr>
                </pic:pic>
              </a:graphicData>
            </a:graphic>
          </wp:inline>
        </w:drawing>
      </w:r>
    </w:p>
    <w:p w:rsidR="00B61A16" w:rsidRDefault="00B61A16" w:rsidP="00183F7E">
      <w:pPr>
        <w:jc w:val="both"/>
        <w:rPr>
          <w:lang w:val="en-GB"/>
        </w:rPr>
      </w:pPr>
      <w:r w:rsidRPr="00B61A16">
        <w:rPr>
          <w:b/>
          <w:lang w:val="en-GB"/>
        </w:rPr>
        <w:t>Fig. 2</w:t>
      </w:r>
      <w:r>
        <w:rPr>
          <w:lang w:val="en-GB"/>
        </w:rPr>
        <w:t>. Feeders set up</w:t>
      </w:r>
    </w:p>
    <w:p w:rsidR="00D73C2B" w:rsidRDefault="00D33C28" w:rsidP="00D33C28">
      <w:pPr>
        <w:jc w:val="both"/>
        <w:rPr>
          <w:lang w:val="en-GB"/>
        </w:rPr>
      </w:pPr>
      <w:r w:rsidRPr="007A2BB0">
        <w:rPr>
          <w:lang w:val="en-GB"/>
        </w:rPr>
        <w:t xml:space="preserve">We first screened video recordings with VLC software </w:t>
      </w:r>
      <w:r>
        <w:rPr>
          <w:highlight w:val="yellow"/>
          <w:lang w:val="en-GB"/>
        </w:rPr>
        <w:t>(XXXX)</w:t>
      </w:r>
      <w:r w:rsidRPr="007A2BB0">
        <w:rPr>
          <w:lang w:val="en-GB"/>
        </w:rPr>
        <w:t>, to locate and cut out</w:t>
      </w:r>
      <w:r w:rsidR="007A2BB0" w:rsidRPr="007A2BB0">
        <w:rPr>
          <w:lang w:val="en-GB"/>
        </w:rPr>
        <w:t xml:space="preserve"> video fragments with </w:t>
      </w:r>
      <w:r w:rsidRPr="007A2BB0">
        <w:rPr>
          <w:lang w:val="en-GB"/>
        </w:rPr>
        <w:t xml:space="preserve"> foraging visits of all focal birds. As a</w:t>
      </w:r>
      <w:r>
        <w:rPr>
          <w:lang w:val="en-GB"/>
        </w:rPr>
        <w:t xml:space="preserve"> foraging visit we considered </w:t>
      </w:r>
      <w:r w:rsidR="007A2BB0">
        <w:rPr>
          <w:lang w:val="en-GB"/>
        </w:rPr>
        <w:t xml:space="preserve">birds’ </w:t>
      </w:r>
      <w:r>
        <w:rPr>
          <w:lang w:val="en-GB"/>
        </w:rPr>
        <w:t xml:space="preserve">visit </w:t>
      </w:r>
      <w:r w:rsidR="007A2BB0">
        <w:rPr>
          <w:lang w:val="en-GB"/>
        </w:rPr>
        <w:t xml:space="preserve">at the feeder area </w:t>
      </w:r>
      <w:r w:rsidR="00D73C2B">
        <w:rPr>
          <w:lang w:val="en-GB"/>
        </w:rPr>
        <w:t xml:space="preserve">when </w:t>
      </w:r>
      <w:r w:rsidR="007A2BB0">
        <w:rPr>
          <w:lang w:val="en-GB"/>
        </w:rPr>
        <w:t xml:space="preserve">it </w:t>
      </w:r>
      <w:r w:rsidR="00D73C2B">
        <w:rPr>
          <w:lang w:val="en-GB"/>
        </w:rPr>
        <w:t xml:space="preserve">inserted the bill into a feeder at least once. For each visit </w:t>
      </w:r>
      <w:r>
        <w:rPr>
          <w:lang w:val="en-GB"/>
        </w:rPr>
        <w:t xml:space="preserve">(both at control and experimental phase) </w:t>
      </w:r>
      <w:r w:rsidR="00D73C2B">
        <w:rPr>
          <w:lang w:val="en-GB"/>
        </w:rPr>
        <w:t>we established several crucial time-points (</w:t>
      </w:r>
      <w:r w:rsidR="00686693">
        <w:rPr>
          <w:lang w:val="en-GB"/>
        </w:rPr>
        <w:t xml:space="preserve">white and black </w:t>
      </w:r>
      <w:r w:rsidR="00D73C2B">
        <w:rPr>
          <w:lang w:val="en-GB"/>
        </w:rPr>
        <w:t xml:space="preserve">circles on Fig. </w:t>
      </w:r>
      <w:r w:rsidR="00E120BA">
        <w:rPr>
          <w:lang w:val="en-GB"/>
        </w:rPr>
        <w:t>3</w:t>
      </w:r>
      <w:r w:rsidR="00D73C2B">
        <w:rPr>
          <w:lang w:val="en-GB"/>
        </w:rPr>
        <w:t>)</w:t>
      </w:r>
      <w:r w:rsidR="007A2BB0">
        <w:rPr>
          <w:lang w:val="en-GB"/>
        </w:rPr>
        <w:t xml:space="preserve">, with 0.1 seconds precision, using </w:t>
      </w:r>
      <w:proofErr w:type="spellStart"/>
      <w:r w:rsidR="007A2BB0">
        <w:rPr>
          <w:lang w:val="en-GB"/>
        </w:rPr>
        <w:t>Cowlog</w:t>
      </w:r>
      <w:proofErr w:type="spellEnd"/>
      <w:r w:rsidR="007A2BB0">
        <w:rPr>
          <w:lang w:val="en-GB"/>
        </w:rPr>
        <w:t xml:space="preserve"> </w:t>
      </w:r>
      <w:r w:rsidR="00F26029">
        <w:rPr>
          <w:lang w:val="en-GB"/>
        </w:rPr>
        <w:t>software</w:t>
      </w:r>
      <w:r>
        <w:rPr>
          <w:lang w:val="en-GB"/>
        </w:rPr>
        <w:t xml:space="preserve">. </w:t>
      </w:r>
      <w:r w:rsidR="00D73C2B">
        <w:rPr>
          <w:lang w:val="en-GB"/>
        </w:rPr>
        <w:t xml:space="preserve"> </w:t>
      </w:r>
      <w:r w:rsidR="007A2BB0">
        <w:rPr>
          <w:lang w:val="en-GB"/>
        </w:rPr>
        <w:t>B</w:t>
      </w:r>
      <w:r w:rsidR="00D73C2B">
        <w:rPr>
          <w:lang w:val="en-GB"/>
        </w:rPr>
        <w:t xml:space="preserve">ased on </w:t>
      </w:r>
      <w:r w:rsidR="007A2BB0">
        <w:rPr>
          <w:lang w:val="en-GB"/>
        </w:rPr>
        <w:t xml:space="preserve">the time-points we </w:t>
      </w:r>
      <w:r w:rsidR="00D73C2B">
        <w:rPr>
          <w:lang w:val="en-GB"/>
        </w:rPr>
        <w:t>calculated duration</w:t>
      </w:r>
      <w:r>
        <w:rPr>
          <w:lang w:val="en-GB"/>
        </w:rPr>
        <w:t xml:space="preserve"> </w:t>
      </w:r>
      <w:r w:rsidR="00D73C2B">
        <w:rPr>
          <w:lang w:val="en-GB"/>
        </w:rPr>
        <w:t xml:space="preserve">of </w:t>
      </w:r>
      <w:r w:rsidR="009E57AA">
        <w:rPr>
          <w:lang w:val="en-GB"/>
        </w:rPr>
        <w:t xml:space="preserve">events </w:t>
      </w:r>
      <w:r w:rsidR="00D73C2B">
        <w:rPr>
          <w:lang w:val="en-GB"/>
        </w:rPr>
        <w:t xml:space="preserve">such as: </w:t>
      </w:r>
      <w:r w:rsidR="009E57AA">
        <w:rPr>
          <w:lang w:val="en-GB"/>
        </w:rPr>
        <w:t>latency to forage (</w:t>
      </w:r>
      <w:r>
        <w:rPr>
          <w:lang w:val="en-GB"/>
        </w:rPr>
        <w:t xml:space="preserve">the interval between appearance in the feeder area (usually hovering in front of the feeder) and the onset of foraging, i.e. </w:t>
      </w:r>
      <w:r w:rsidR="009E57AA">
        <w:rPr>
          <w:lang w:val="en-GB"/>
        </w:rPr>
        <w:t>distance a-b</w:t>
      </w:r>
      <w:r>
        <w:rPr>
          <w:lang w:val="en-GB"/>
        </w:rPr>
        <w:t xml:space="preserve"> on </w:t>
      </w:r>
      <w:r w:rsidR="009E57AA">
        <w:rPr>
          <w:lang w:val="en-GB"/>
        </w:rPr>
        <w:t>Fig</w:t>
      </w:r>
      <w:r w:rsidR="00E120BA">
        <w:rPr>
          <w:lang w:val="en-GB"/>
        </w:rPr>
        <w:t>.</w:t>
      </w:r>
      <w:r w:rsidR="009E57AA">
        <w:rPr>
          <w:lang w:val="en-GB"/>
        </w:rPr>
        <w:t xml:space="preserve"> </w:t>
      </w:r>
      <w:r w:rsidR="00E120BA">
        <w:rPr>
          <w:lang w:val="en-GB"/>
        </w:rPr>
        <w:t>3</w:t>
      </w:r>
      <w:r w:rsidR="009E57AA">
        <w:rPr>
          <w:lang w:val="en-GB"/>
        </w:rPr>
        <w:t xml:space="preserve">); </w:t>
      </w:r>
      <w:r w:rsidR="00D73C2B">
        <w:rPr>
          <w:lang w:val="en-GB"/>
        </w:rPr>
        <w:t>foraging interval</w:t>
      </w:r>
      <w:r w:rsidR="009E57AA">
        <w:rPr>
          <w:lang w:val="en-GB"/>
        </w:rPr>
        <w:t>/s</w:t>
      </w:r>
      <w:r w:rsidR="00D73C2B">
        <w:rPr>
          <w:lang w:val="en-GB"/>
        </w:rPr>
        <w:t xml:space="preserve"> (</w:t>
      </w:r>
      <w:r w:rsidR="009E57AA">
        <w:rPr>
          <w:lang w:val="en-GB"/>
        </w:rPr>
        <w:t xml:space="preserve">e.g. distance b-c, Fig. </w:t>
      </w:r>
      <w:r w:rsidR="00E120BA">
        <w:rPr>
          <w:lang w:val="en-GB"/>
        </w:rPr>
        <w:t>3</w:t>
      </w:r>
      <w:r w:rsidR="009E57AA">
        <w:rPr>
          <w:lang w:val="en-GB"/>
        </w:rPr>
        <w:t xml:space="preserve">; on average </w:t>
      </w:r>
      <w:r w:rsidR="009E57AA" w:rsidRPr="009E57AA">
        <w:rPr>
          <w:highlight w:val="yellow"/>
          <w:lang w:val="en-GB"/>
        </w:rPr>
        <w:t>XX</w:t>
      </w:r>
      <w:r w:rsidR="009E57AA">
        <w:rPr>
          <w:lang w:val="en-GB"/>
        </w:rPr>
        <w:t xml:space="preserve"> events</w:t>
      </w:r>
      <w:r w:rsidR="00D73C2B">
        <w:rPr>
          <w:lang w:val="en-GB"/>
        </w:rPr>
        <w:t>)</w:t>
      </w:r>
      <w:r w:rsidR="009E57AA">
        <w:rPr>
          <w:lang w:val="en-GB"/>
        </w:rPr>
        <w:t xml:space="preserve">; foraging break/s (e.g. distance c-d, Fig. </w:t>
      </w:r>
      <w:r w:rsidR="00E120BA">
        <w:rPr>
          <w:lang w:val="en-GB"/>
        </w:rPr>
        <w:t>3</w:t>
      </w:r>
      <w:r w:rsidR="009E57AA">
        <w:rPr>
          <w:lang w:val="en-GB"/>
        </w:rPr>
        <w:t xml:space="preserve">; on average </w:t>
      </w:r>
      <w:r w:rsidR="009E57AA" w:rsidRPr="009E57AA">
        <w:rPr>
          <w:highlight w:val="yellow"/>
          <w:lang w:val="en-GB"/>
        </w:rPr>
        <w:t>XX</w:t>
      </w:r>
      <w:r w:rsidR="009E57AA">
        <w:rPr>
          <w:lang w:val="en-GB"/>
        </w:rPr>
        <w:t xml:space="preserve"> events); total foraging (distance b-e, Fig. </w:t>
      </w:r>
      <w:r w:rsidR="00E120BA">
        <w:rPr>
          <w:lang w:val="en-GB"/>
        </w:rPr>
        <w:t>3</w:t>
      </w:r>
      <w:r w:rsidR="009E57AA">
        <w:rPr>
          <w:lang w:val="en-GB"/>
        </w:rPr>
        <w:t xml:space="preserve">) and total foraging visit (distance a-e, Fig. </w:t>
      </w:r>
      <w:r w:rsidR="00E120BA">
        <w:rPr>
          <w:lang w:val="en-GB"/>
        </w:rPr>
        <w:t>3</w:t>
      </w:r>
      <w:r w:rsidR="009E57AA">
        <w:rPr>
          <w:lang w:val="en-GB"/>
        </w:rPr>
        <w:t>).</w:t>
      </w:r>
      <w:r w:rsidR="00F26029">
        <w:rPr>
          <w:lang w:val="en-GB"/>
        </w:rPr>
        <w:t xml:space="preserve">  For each visit we also noted which and how many times each of the three feeders were used by the focal bird.</w:t>
      </w:r>
      <w:r w:rsidR="009E57AA">
        <w:rPr>
          <w:lang w:val="en-GB"/>
        </w:rPr>
        <w:tab/>
      </w:r>
    </w:p>
    <w:p w:rsidR="009A2696" w:rsidRDefault="00DB0E0F" w:rsidP="00384E32">
      <w:pPr>
        <w:jc w:val="both"/>
        <w:rPr>
          <w:lang w:val="en-GB"/>
        </w:rPr>
      </w:pPr>
      <w:r>
        <w:rPr>
          <w:lang w:val="en-GB"/>
        </w:rPr>
        <w:t>To</w:t>
      </w:r>
      <w:r w:rsidR="00D33C28">
        <w:rPr>
          <w:lang w:val="en-GB"/>
        </w:rPr>
        <w:t xml:space="preserve"> further analyse </w:t>
      </w:r>
      <w:r>
        <w:rPr>
          <w:lang w:val="en-GB"/>
        </w:rPr>
        <w:t xml:space="preserve">birds behaviour we </w:t>
      </w:r>
      <w:r w:rsidR="007A2BB0">
        <w:rPr>
          <w:lang w:val="en-GB"/>
        </w:rPr>
        <w:t xml:space="preserve">calculated </w:t>
      </w:r>
      <w:r>
        <w:rPr>
          <w:lang w:val="en-GB"/>
        </w:rPr>
        <w:t>several parameters (</w:t>
      </w:r>
      <w:r w:rsidR="007A2BB0" w:rsidRPr="00DB0E0F">
        <w:rPr>
          <w:highlight w:val="yellow"/>
          <w:lang w:val="en-GB"/>
        </w:rPr>
        <w:t>see Supplement materials</w:t>
      </w:r>
      <w:r w:rsidR="007A2BB0">
        <w:rPr>
          <w:lang w:val="en-GB"/>
        </w:rPr>
        <w:t xml:space="preserve">) </w:t>
      </w:r>
      <w:r>
        <w:rPr>
          <w:lang w:val="en-GB"/>
        </w:rPr>
        <w:t xml:space="preserve">and selected those which </w:t>
      </w:r>
      <w:r w:rsidR="00700B6D">
        <w:rPr>
          <w:lang w:val="en-GB"/>
        </w:rPr>
        <w:t xml:space="preserve">represented </w:t>
      </w:r>
      <w:r w:rsidR="00F26029">
        <w:rPr>
          <w:lang w:val="en-GB"/>
        </w:rPr>
        <w:t xml:space="preserve">the two </w:t>
      </w:r>
      <w:r w:rsidR="007A2BB0">
        <w:rPr>
          <w:lang w:val="en-GB"/>
        </w:rPr>
        <w:t>behavioural traits</w:t>
      </w:r>
      <w:r w:rsidR="00F26029">
        <w:rPr>
          <w:lang w:val="en-GB"/>
        </w:rPr>
        <w:t xml:space="preserve">: </w:t>
      </w:r>
      <w:r w:rsidR="007A2BB0">
        <w:rPr>
          <w:lang w:val="en-GB"/>
        </w:rPr>
        <w:t xml:space="preserve">exploration and risk-avoidance, </w:t>
      </w:r>
      <w:r w:rsidR="00700B6D">
        <w:rPr>
          <w:lang w:val="en-GB"/>
        </w:rPr>
        <w:t xml:space="preserve">and </w:t>
      </w:r>
      <w:r>
        <w:rPr>
          <w:lang w:val="en-GB"/>
        </w:rPr>
        <w:t>exhibited the highest inter-individual variation</w:t>
      </w:r>
      <w:r w:rsidR="00700B6D">
        <w:rPr>
          <w:lang w:val="en-GB"/>
        </w:rPr>
        <w:t xml:space="preserve">. As a proxy for </w:t>
      </w:r>
      <w:r w:rsidR="00700B6D" w:rsidRPr="009A2696">
        <w:rPr>
          <w:b/>
          <w:lang w:val="en-GB"/>
        </w:rPr>
        <w:t>explorative behaviour</w:t>
      </w:r>
      <w:r w:rsidR="00700B6D">
        <w:rPr>
          <w:lang w:val="en-GB"/>
        </w:rPr>
        <w:t xml:space="preserve"> we utilized a </w:t>
      </w:r>
      <w:r w:rsidR="00700B6D" w:rsidRPr="00700B6D">
        <w:rPr>
          <w:b/>
          <w:lang w:val="en-GB"/>
        </w:rPr>
        <w:t>standardized number of feeders</w:t>
      </w:r>
      <w:r w:rsidR="00700B6D">
        <w:rPr>
          <w:b/>
          <w:lang w:val="en-GB"/>
        </w:rPr>
        <w:t xml:space="preserve"> </w:t>
      </w:r>
      <w:r w:rsidR="00700B6D">
        <w:rPr>
          <w:lang w:val="en-GB"/>
        </w:rPr>
        <w:t xml:space="preserve">- </w:t>
      </w:r>
      <w:r w:rsidR="00700B6D" w:rsidRPr="00700B6D">
        <w:rPr>
          <w:lang w:val="en-GB"/>
        </w:rPr>
        <w:t>total</w:t>
      </w:r>
      <w:r w:rsidR="00700B6D">
        <w:rPr>
          <w:b/>
          <w:lang w:val="en-GB"/>
        </w:rPr>
        <w:t xml:space="preserve"> </w:t>
      </w:r>
      <w:r w:rsidR="00700B6D">
        <w:rPr>
          <w:lang w:val="en-GB"/>
        </w:rPr>
        <w:t>number of various feeders</w:t>
      </w:r>
      <w:r w:rsidR="00384E32">
        <w:rPr>
          <w:lang w:val="en-GB"/>
        </w:rPr>
        <w:t xml:space="preserve"> (</w:t>
      </w:r>
      <w:r w:rsidR="00700B6D">
        <w:rPr>
          <w:lang w:val="en-GB"/>
        </w:rPr>
        <w:t>i.e. 1-3</w:t>
      </w:r>
      <w:r w:rsidR="00384E32">
        <w:rPr>
          <w:lang w:val="en-GB"/>
        </w:rPr>
        <w:t xml:space="preserve"> feeders) </w:t>
      </w:r>
      <w:r w:rsidR="00700B6D">
        <w:rPr>
          <w:lang w:val="en-GB"/>
        </w:rPr>
        <w:t xml:space="preserve">used </w:t>
      </w:r>
      <w:r w:rsidR="00384E32">
        <w:rPr>
          <w:lang w:val="en-GB"/>
        </w:rPr>
        <w:t xml:space="preserve">during the </w:t>
      </w:r>
      <w:r w:rsidR="00686693">
        <w:rPr>
          <w:lang w:val="en-GB"/>
        </w:rPr>
        <w:t xml:space="preserve">foraging </w:t>
      </w:r>
      <w:r w:rsidR="00384E32">
        <w:rPr>
          <w:lang w:val="en-GB"/>
        </w:rPr>
        <w:t xml:space="preserve">visit </w:t>
      </w:r>
      <w:r w:rsidR="00700B6D">
        <w:rPr>
          <w:lang w:val="en-GB"/>
        </w:rPr>
        <w:t>divided by the t</w:t>
      </w:r>
      <w:r w:rsidR="00384E32">
        <w:rPr>
          <w:lang w:val="en-GB"/>
        </w:rPr>
        <w:t xml:space="preserve">otal </w:t>
      </w:r>
      <w:r w:rsidR="00686693">
        <w:rPr>
          <w:lang w:val="en-GB"/>
        </w:rPr>
        <w:t xml:space="preserve">foraging </w:t>
      </w:r>
      <w:r w:rsidR="00384E32">
        <w:rPr>
          <w:lang w:val="en-GB"/>
        </w:rPr>
        <w:t xml:space="preserve">duration. As a proxy for </w:t>
      </w:r>
      <w:r w:rsidR="00700B6D" w:rsidRPr="00384E32">
        <w:rPr>
          <w:b/>
          <w:lang w:val="en-GB"/>
        </w:rPr>
        <w:t xml:space="preserve">risk-avoidance </w:t>
      </w:r>
      <w:r w:rsidR="00700B6D">
        <w:rPr>
          <w:lang w:val="en-GB"/>
        </w:rPr>
        <w:t xml:space="preserve">we utilized </w:t>
      </w:r>
      <w:r w:rsidR="00700B6D" w:rsidRPr="00384E32">
        <w:rPr>
          <w:b/>
          <w:lang w:val="en-GB"/>
        </w:rPr>
        <w:t>latency to approach the feeder</w:t>
      </w:r>
      <w:r w:rsidR="00384E32">
        <w:rPr>
          <w:lang w:val="en-GB"/>
        </w:rPr>
        <w:t xml:space="preserve"> – </w:t>
      </w:r>
      <w:r w:rsidR="007A2BB0">
        <w:rPr>
          <w:lang w:val="en-GB"/>
        </w:rPr>
        <w:t xml:space="preserve">as defined above (latency to forage, distance a-b on Fig. </w:t>
      </w:r>
      <w:r w:rsidR="00E120BA">
        <w:rPr>
          <w:lang w:val="en-GB"/>
        </w:rPr>
        <w:t>3</w:t>
      </w:r>
      <w:r w:rsidR="007A2BB0">
        <w:rPr>
          <w:lang w:val="en-GB"/>
        </w:rPr>
        <w:t>).</w:t>
      </w:r>
      <w:r w:rsidR="00384E32">
        <w:rPr>
          <w:lang w:val="en-GB"/>
        </w:rPr>
        <w:t xml:space="preserve"> </w:t>
      </w:r>
      <w:r w:rsidR="009A2696">
        <w:rPr>
          <w:lang w:val="en-GB"/>
        </w:rPr>
        <w:t xml:space="preserve">For both the parameters, we assumed that the higher </w:t>
      </w:r>
      <w:r w:rsidR="007A2BB0">
        <w:rPr>
          <w:lang w:val="en-GB"/>
        </w:rPr>
        <w:t xml:space="preserve">the </w:t>
      </w:r>
      <w:r w:rsidR="009A2696">
        <w:rPr>
          <w:lang w:val="en-GB"/>
        </w:rPr>
        <w:t>value</w:t>
      </w:r>
      <w:r w:rsidR="007A2BB0">
        <w:rPr>
          <w:lang w:val="en-GB"/>
        </w:rPr>
        <w:t xml:space="preserve">, </w:t>
      </w:r>
      <w:r w:rsidR="009A2696">
        <w:rPr>
          <w:lang w:val="en-GB"/>
        </w:rPr>
        <w:t xml:space="preserve">the stronger is </w:t>
      </w:r>
      <w:r w:rsidR="007A2BB0">
        <w:rPr>
          <w:lang w:val="en-GB"/>
        </w:rPr>
        <w:t xml:space="preserve">the </w:t>
      </w:r>
      <w:r w:rsidR="009A2696">
        <w:rPr>
          <w:lang w:val="en-GB"/>
        </w:rPr>
        <w:t xml:space="preserve">exhibited </w:t>
      </w:r>
      <w:r w:rsidR="007A2BB0">
        <w:rPr>
          <w:lang w:val="en-GB"/>
        </w:rPr>
        <w:t>behaviour</w:t>
      </w:r>
      <w:r w:rsidR="009A2696">
        <w:rPr>
          <w:lang w:val="en-GB"/>
        </w:rPr>
        <w:t xml:space="preserve">. </w:t>
      </w:r>
    </w:p>
    <w:p w:rsidR="00E120BA" w:rsidRDefault="00E120BA" w:rsidP="00384E32">
      <w:pPr>
        <w:jc w:val="both"/>
        <w:rPr>
          <w:lang w:val="en-GB"/>
        </w:rPr>
      </w:pPr>
    </w:p>
    <w:p w:rsidR="00E120BA" w:rsidRDefault="00E120BA" w:rsidP="00384E32">
      <w:pPr>
        <w:jc w:val="both"/>
        <w:rPr>
          <w:lang w:val="en-GB"/>
        </w:rPr>
      </w:pPr>
    </w:p>
    <w:p w:rsidR="00E120BA" w:rsidRDefault="00E120BA" w:rsidP="00384E32">
      <w:pPr>
        <w:jc w:val="both"/>
        <w:rPr>
          <w:lang w:val="en-GB"/>
        </w:rPr>
      </w:pPr>
      <w:r>
        <w:rPr>
          <w:noProof/>
          <w:lang w:eastAsia="pl-PL"/>
        </w:rPr>
        <w:lastRenderedPageBreak/>
        <w:drawing>
          <wp:inline distT="0" distB="0" distL="0" distR="0" wp14:anchorId="70FBF8CA" wp14:editId="784CA7C2">
            <wp:extent cx="5760720" cy="2966720"/>
            <wp:effectExtent l="0" t="0" r="0" b="508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66720"/>
                    </a:xfrm>
                    <a:prstGeom prst="rect">
                      <a:avLst/>
                    </a:prstGeom>
                  </pic:spPr>
                </pic:pic>
              </a:graphicData>
            </a:graphic>
          </wp:inline>
        </w:drawing>
      </w:r>
    </w:p>
    <w:p w:rsidR="00E120BA" w:rsidRDefault="00E120BA" w:rsidP="00384E32">
      <w:pPr>
        <w:jc w:val="both"/>
        <w:rPr>
          <w:lang w:val="en-GB"/>
        </w:rPr>
      </w:pPr>
      <w:r w:rsidRPr="00E120BA">
        <w:rPr>
          <w:b/>
          <w:lang w:val="en-GB"/>
        </w:rPr>
        <w:t>Fig. 3.</w:t>
      </w:r>
      <w:r>
        <w:rPr>
          <w:lang w:val="en-GB"/>
        </w:rPr>
        <w:t xml:space="preserve"> Components of the foraging visit.</w:t>
      </w:r>
    </w:p>
    <w:p w:rsidR="00E120BA" w:rsidRDefault="00E120BA" w:rsidP="00384E32">
      <w:pPr>
        <w:jc w:val="both"/>
        <w:rPr>
          <w:lang w:val="en-GB"/>
        </w:rPr>
      </w:pPr>
    </w:p>
    <w:p w:rsidR="009A2696" w:rsidRDefault="00DD0CAC" w:rsidP="00DD0CAC">
      <w:pPr>
        <w:jc w:val="both"/>
        <w:rPr>
          <w:lang w:val="en-GB"/>
        </w:rPr>
      </w:pPr>
      <w:r w:rsidRPr="00CB688B">
        <w:rPr>
          <w:lang w:val="en-GB"/>
        </w:rPr>
        <w:t xml:space="preserve">As </w:t>
      </w:r>
      <w:r w:rsidR="00384E32" w:rsidRPr="00CB688B">
        <w:rPr>
          <w:b/>
          <w:lang w:val="en-GB"/>
        </w:rPr>
        <w:t>arousal</w:t>
      </w:r>
      <w:r w:rsidR="00384E32" w:rsidRPr="00CB688B">
        <w:rPr>
          <w:lang w:val="en-GB"/>
        </w:rPr>
        <w:t xml:space="preserve"> </w:t>
      </w:r>
      <w:r w:rsidRPr="00CB688B">
        <w:rPr>
          <w:lang w:val="en-GB"/>
        </w:rPr>
        <w:t>we considered</w:t>
      </w:r>
      <w:r>
        <w:rPr>
          <w:lang w:val="en-GB"/>
        </w:rPr>
        <w:t xml:space="preserve">  a total </w:t>
      </w:r>
      <w:r w:rsidR="00F64F74" w:rsidRPr="00F64F74">
        <w:rPr>
          <w:lang w:val="en-GB"/>
        </w:rPr>
        <w:t xml:space="preserve">amount/range of movements </w:t>
      </w:r>
      <w:r>
        <w:rPr>
          <w:lang w:val="en-GB"/>
        </w:rPr>
        <w:t xml:space="preserve">at the </w:t>
      </w:r>
      <w:r w:rsidR="00F64F74" w:rsidRPr="00F64F74">
        <w:rPr>
          <w:lang w:val="en-GB"/>
        </w:rPr>
        <w:t>feeder</w:t>
      </w:r>
      <w:r>
        <w:rPr>
          <w:lang w:val="en-GB"/>
        </w:rPr>
        <w:t xml:space="preserve"> recorded during the total foraging time (distance b-e on Fig. 3), standardized by the number of feeder changes</w:t>
      </w:r>
      <w:r w:rsidR="00F64F74" w:rsidRPr="00F64F74">
        <w:rPr>
          <w:lang w:val="en-GB"/>
        </w:rPr>
        <w:t>.</w:t>
      </w:r>
      <w:r>
        <w:rPr>
          <w:lang w:val="en-GB"/>
        </w:rPr>
        <w:t xml:space="preserve"> For that we first processed the video recordings using Tracker software (</w:t>
      </w:r>
      <w:r w:rsidRPr="00DD0CAC">
        <w:rPr>
          <w:highlight w:val="yellow"/>
          <w:lang w:val="en-GB"/>
        </w:rPr>
        <w:t>XXX</w:t>
      </w:r>
      <w:r>
        <w:rPr>
          <w:lang w:val="en-GB"/>
        </w:rPr>
        <w:t>), which allowed to  establish Cartesian coordinates of a bird position for each video frame. Then, we c</w:t>
      </w:r>
      <w:r w:rsidR="00F64F74" w:rsidRPr="00F64F74">
        <w:rPr>
          <w:lang w:val="en-GB"/>
        </w:rPr>
        <w:t xml:space="preserve">alculated </w:t>
      </w:r>
      <w:r w:rsidRPr="00F64F74">
        <w:rPr>
          <w:lang w:val="en-GB"/>
        </w:rPr>
        <w:t>coefficient</w:t>
      </w:r>
      <w:r w:rsidR="00F64F74" w:rsidRPr="00F64F74">
        <w:rPr>
          <w:lang w:val="en-GB"/>
        </w:rPr>
        <w:t xml:space="preserve"> of variance of </w:t>
      </w:r>
      <w:r>
        <w:rPr>
          <w:lang w:val="en-GB"/>
        </w:rPr>
        <w:t>bird movements based on the formula</w:t>
      </w:r>
      <w:r w:rsidR="00F64F74" w:rsidRPr="00F64F74">
        <w:rPr>
          <w:lang w:val="en-GB"/>
        </w:rPr>
        <w:t xml:space="preserve">: </w:t>
      </w:r>
      <w:proofErr w:type="spellStart"/>
      <w:r w:rsidR="00F64F74" w:rsidRPr="00F64F74">
        <w:rPr>
          <w:lang w:val="en-GB"/>
        </w:rPr>
        <w:t>sqrt</w:t>
      </w:r>
      <w:proofErr w:type="spellEnd"/>
      <w:r w:rsidR="00F64F74" w:rsidRPr="00F64F74">
        <w:rPr>
          <w:lang w:val="en-GB"/>
        </w:rPr>
        <w:t>((</w:t>
      </w:r>
      <w:proofErr w:type="spellStart"/>
      <w:r w:rsidR="00F64F74" w:rsidRPr="00F64F74">
        <w:rPr>
          <w:lang w:val="en-GB"/>
        </w:rPr>
        <w:t>x</w:t>
      </w:r>
      <w:r w:rsidR="00F64F74" w:rsidRPr="00F64F74">
        <w:rPr>
          <w:vertAlign w:val="subscript"/>
          <w:lang w:val="en-GB"/>
        </w:rPr>
        <w:t>j</w:t>
      </w:r>
      <w:proofErr w:type="spellEnd"/>
      <w:r w:rsidR="00F64F74" w:rsidRPr="00F64F74">
        <w:rPr>
          <w:lang w:val="en-GB"/>
        </w:rPr>
        <w:t xml:space="preserve"> - x</w:t>
      </w:r>
      <w:r w:rsidR="00F64F74" w:rsidRPr="00F64F74">
        <w:rPr>
          <w:vertAlign w:val="subscript"/>
          <w:lang w:val="en-GB"/>
        </w:rPr>
        <w:t>i</w:t>
      </w:r>
      <w:r w:rsidR="00F64F74" w:rsidRPr="00F64F74">
        <w:rPr>
          <w:lang w:val="en-GB"/>
        </w:rPr>
        <w:t>)</w:t>
      </w:r>
      <w:r w:rsidR="00F64F74" w:rsidRPr="00F64F74">
        <w:rPr>
          <w:vertAlign w:val="superscript"/>
          <w:lang w:val="en-GB"/>
        </w:rPr>
        <w:t>2</w:t>
      </w:r>
      <w:r w:rsidR="00F64F74" w:rsidRPr="00F64F74">
        <w:rPr>
          <w:lang w:val="en-GB"/>
        </w:rPr>
        <w:t xml:space="preserve"> + (</w:t>
      </w:r>
      <w:proofErr w:type="spellStart"/>
      <w:r w:rsidR="00F64F74" w:rsidRPr="00F64F74">
        <w:rPr>
          <w:lang w:val="en-GB"/>
        </w:rPr>
        <w:t>y</w:t>
      </w:r>
      <w:r w:rsidR="00F64F74" w:rsidRPr="00F64F74">
        <w:rPr>
          <w:vertAlign w:val="subscript"/>
          <w:lang w:val="en-GB"/>
        </w:rPr>
        <w:t>j</w:t>
      </w:r>
      <w:proofErr w:type="spellEnd"/>
      <w:r w:rsidR="00F64F74" w:rsidRPr="00F64F74">
        <w:rPr>
          <w:lang w:val="en-GB"/>
        </w:rPr>
        <w:t xml:space="preserve"> - </w:t>
      </w:r>
      <w:proofErr w:type="spellStart"/>
      <w:r w:rsidR="00F64F74" w:rsidRPr="00F64F74">
        <w:rPr>
          <w:lang w:val="en-GB"/>
        </w:rPr>
        <w:t>y</w:t>
      </w:r>
      <w:r w:rsidR="00F64F74" w:rsidRPr="00F64F74">
        <w:rPr>
          <w:vertAlign w:val="subscript"/>
          <w:lang w:val="en-GB"/>
        </w:rPr>
        <w:t>i</w:t>
      </w:r>
      <w:proofErr w:type="spellEnd"/>
      <w:r w:rsidR="00F64F74" w:rsidRPr="00F64F74">
        <w:rPr>
          <w:lang w:val="en-GB"/>
        </w:rPr>
        <w:t>)</w:t>
      </w:r>
      <w:r w:rsidR="00F64F74" w:rsidRPr="00F64F74">
        <w:rPr>
          <w:vertAlign w:val="superscript"/>
          <w:lang w:val="en-GB"/>
        </w:rPr>
        <w:t>2</w:t>
      </w:r>
      <w:r w:rsidR="00F64F74" w:rsidRPr="00F64F74">
        <w:rPr>
          <w:lang w:val="en-GB"/>
        </w:rPr>
        <w:t xml:space="preserve">), where </w:t>
      </w:r>
      <w:proofErr w:type="spellStart"/>
      <w:r w:rsidR="00F64F74" w:rsidRPr="00F64F74">
        <w:rPr>
          <w:lang w:val="en-GB"/>
        </w:rPr>
        <w:t>x</w:t>
      </w:r>
      <w:r w:rsidR="00F64F74" w:rsidRPr="00F64F74">
        <w:rPr>
          <w:vertAlign w:val="subscript"/>
          <w:lang w:val="en-GB"/>
        </w:rPr>
        <w:t>i,j</w:t>
      </w:r>
      <w:proofErr w:type="spellEnd"/>
      <w:r w:rsidR="00F64F74" w:rsidRPr="00F64F74">
        <w:rPr>
          <w:lang w:val="en-GB"/>
        </w:rPr>
        <w:t xml:space="preserve"> and </w:t>
      </w:r>
      <w:proofErr w:type="spellStart"/>
      <w:r w:rsidR="00F64F74" w:rsidRPr="00F64F74">
        <w:rPr>
          <w:lang w:val="en-GB"/>
        </w:rPr>
        <w:t>y</w:t>
      </w:r>
      <w:r w:rsidR="00F64F74" w:rsidRPr="00F64F74">
        <w:rPr>
          <w:vertAlign w:val="subscript"/>
          <w:lang w:val="en-GB"/>
        </w:rPr>
        <w:t>i,j</w:t>
      </w:r>
      <w:proofErr w:type="spellEnd"/>
      <w:r w:rsidR="00F64F74" w:rsidRPr="00F64F74">
        <w:rPr>
          <w:lang w:val="en-GB"/>
        </w:rPr>
        <w:t xml:space="preserve"> are </w:t>
      </w:r>
      <w:r w:rsidR="0051112B" w:rsidRPr="00F64F74">
        <w:rPr>
          <w:lang w:val="en-GB"/>
        </w:rPr>
        <w:t>Cartesian</w:t>
      </w:r>
      <w:r w:rsidR="00F64F74" w:rsidRPr="00F64F74">
        <w:rPr>
          <w:lang w:val="en-GB"/>
        </w:rPr>
        <w:t xml:space="preserve"> coordinates of the bird position in </w:t>
      </w:r>
      <w:r>
        <w:rPr>
          <w:lang w:val="en-GB"/>
        </w:rPr>
        <w:t xml:space="preserve">a </w:t>
      </w:r>
      <w:r w:rsidR="00F64F74" w:rsidRPr="00F64F74">
        <w:rPr>
          <w:lang w:val="en-GB"/>
        </w:rPr>
        <w:t xml:space="preserve">focal </w:t>
      </w:r>
      <w:proofErr w:type="spellStart"/>
      <w:r w:rsidR="00F64F74" w:rsidRPr="00F64F74">
        <w:rPr>
          <w:rStyle w:val="Uwydatnienie"/>
          <w:lang w:val="en-GB"/>
        </w:rPr>
        <w:t>i</w:t>
      </w:r>
      <w:proofErr w:type="spellEnd"/>
      <w:r w:rsidR="00F64F74" w:rsidRPr="00F64F74">
        <w:rPr>
          <w:lang w:val="en-GB"/>
        </w:rPr>
        <w:t xml:space="preserve"> and previous </w:t>
      </w:r>
      <w:r w:rsidR="00F64F74" w:rsidRPr="00F64F74">
        <w:rPr>
          <w:rStyle w:val="Uwydatnienie"/>
          <w:lang w:val="en-GB"/>
        </w:rPr>
        <w:t>j</w:t>
      </w:r>
      <w:r w:rsidR="00F64F74" w:rsidRPr="00F64F74">
        <w:rPr>
          <w:lang w:val="en-GB"/>
        </w:rPr>
        <w:t xml:space="preserve"> video frame. </w:t>
      </w:r>
      <w:r>
        <w:rPr>
          <w:lang w:val="en-GB"/>
        </w:rPr>
        <w:t xml:space="preserve">Since the birds movements could be biased by </w:t>
      </w:r>
      <w:r w:rsidR="00A06D88">
        <w:rPr>
          <w:lang w:val="en-GB"/>
        </w:rPr>
        <w:t xml:space="preserve">explorative behaviour, we standardized this coefficient dividing it by the number of feeder changes at given visit. </w:t>
      </w:r>
      <w:r>
        <w:rPr>
          <w:lang w:val="en-GB"/>
        </w:rPr>
        <w:t xml:space="preserve">We expected that the </w:t>
      </w:r>
      <w:r w:rsidR="00F64F74" w:rsidRPr="00F64F74">
        <w:rPr>
          <w:lang w:val="en-GB"/>
        </w:rPr>
        <w:t xml:space="preserve">higher value, the higher arousal. </w:t>
      </w:r>
    </w:p>
    <w:p w:rsidR="00F64F74" w:rsidRPr="00110A4E" w:rsidRDefault="00A06D88" w:rsidP="00384E32">
      <w:pPr>
        <w:jc w:val="both"/>
        <w:rPr>
          <w:b/>
          <w:lang w:val="en-GB"/>
        </w:rPr>
      </w:pPr>
      <w:r>
        <w:rPr>
          <w:lang w:val="en-GB"/>
        </w:rPr>
        <w:t xml:space="preserve">Finally, we calculated </w:t>
      </w:r>
      <w:r w:rsidR="00932927" w:rsidRPr="00932927">
        <w:rPr>
          <w:b/>
          <w:lang w:val="en-GB"/>
        </w:rPr>
        <w:t>f</w:t>
      </w:r>
      <w:r w:rsidR="00F64F74" w:rsidRPr="00932927">
        <w:rPr>
          <w:b/>
          <w:lang w:val="en-GB"/>
        </w:rPr>
        <w:t>oraging efficiency</w:t>
      </w:r>
      <w:r>
        <w:rPr>
          <w:lang w:val="en-GB"/>
        </w:rPr>
        <w:t xml:space="preserve">, which was </w:t>
      </w:r>
      <w:r w:rsidR="00932927">
        <w:rPr>
          <w:lang w:val="en-GB"/>
        </w:rPr>
        <w:t>the ratio of total duration of foraging (sum of all feeding intervals) and duration of the foraging visit.</w:t>
      </w:r>
    </w:p>
    <w:p w:rsidR="00A06D88" w:rsidRDefault="00A06D88">
      <w:pPr>
        <w:rPr>
          <w:i/>
          <w:lang w:val="en-GB"/>
        </w:rPr>
      </w:pPr>
    </w:p>
    <w:p w:rsidR="00385A26" w:rsidRPr="00042BE7" w:rsidRDefault="00385A26">
      <w:pPr>
        <w:rPr>
          <w:i/>
          <w:lang w:val="en-GB"/>
        </w:rPr>
      </w:pPr>
      <w:r w:rsidRPr="00D37AF1">
        <w:rPr>
          <w:i/>
          <w:highlight w:val="yellow"/>
          <w:lang w:val="en-GB"/>
        </w:rPr>
        <w:t>Data analysis</w:t>
      </w:r>
      <w:r w:rsidR="00042BE7" w:rsidRPr="00D37AF1">
        <w:rPr>
          <w:i/>
          <w:highlight w:val="yellow"/>
          <w:lang w:val="en-GB"/>
        </w:rPr>
        <w:t>.</w:t>
      </w:r>
    </w:p>
    <w:p w:rsidR="00D37AF1" w:rsidRPr="00863F57" w:rsidRDefault="00385A26" w:rsidP="00D37AF1">
      <w:pPr>
        <w:rPr>
          <w:b/>
          <w:lang w:val="en-GB"/>
        </w:rPr>
      </w:pPr>
      <w:r w:rsidRPr="00863F57">
        <w:rPr>
          <w:b/>
          <w:lang w:val="en-GB"/>
        </w:rPr>
        <w:t>Results</w:t>
      </w:r>
    </w:p>
    <w:p w:rsidR="00863F57" w:rsidRPr="00863F57" w:rsidRDefault="00863F57" w:rsidP="00D37AF1">
      <w:pPr>
        <w:rPr>
          <w:lang w:val="en-GB"/>
        </w:rPr>
      </w:pPr>
      <w:r w:rsidRPr="00863F57">
        <w:rPr>
          <w:lang w:val="en-GB"/>
        </w:rPr>
        <w:t xml:space="preserve">Foraging efficiency was strongly affected by experimental treatment (LMM, estimate = </w:t>
      </w:r>
      <w:r w:rsidRPr="00863F57">
        <w:rPr>
          <w:rFonts w:ascii="Lucida Console" w:eastAsia="Times New Roman" w:hAnsi="Lucida Console" w:cs="Courier New"/>
          <w:sz w:val="20"/>
          <w:szCs w:val="20"/>
          <w:bdr w:val="none" w:sz="0" w:space="0" w:color="auto" w:frame="1"/>
          <w:lang w:val="en-GB" w:eastAsia="pl-PL"/>
        </w:rPr>
        <w:t>-0.1</w:t>
      </w:r>
      <w:r w:rsidRPr="00863F57">
        <w:rPr>
          <w:rFonts w:ascii="Lucida Console" w:eastAsia="Times New Roman" w:hAnsi="Lucida Console" w:cs="Courier New"/>
          <w:sz w:val="20"/>
          <w:szCs w:val="20"/>
          <w:bdr w:val="none" w:sz="0" w:space="0" w:color="auto" w:frame="1"/>
          <w:lang w:val="en-GB" w:eastAsia="pl-PL"/>
        </w:rPr>
        <w:t xml:space="preserve">1, SE = </w:t>
      </w:r>
      <w:r w:rsidRPr="00863F57">
        <w:rPr>
          <w:rFonts w:ascii="Lucida Console" w:eastAsia="Times New Roman" w:hAnsi="Lucida Console" w:cs="Courier New"/>
          <w:sz w:val="20"/>
          <w:szCs w:val="20"/>
          <w:bdr w:val="none" w:sz="0" w:space="0" w:color="auto" w:frame="1"/>
          <w:lang w:val="en-GB" w:eastAsia="pl-PL"/>
        </w:rPr>
        <w:t>0.0</w:t>
      </w:r>
      <w:r w:rsidRPr="00863F57">
        <w:rPr>
          <w:rFonts w:ascii="Lucida Console" w:eastAsia="Times New Roman" w:hAnsi="Lucida Console" w:cs="Courier New"/>
          <w:sz w:val="20"/>
          <w:szCs w:val="20"/>
          <w:bdr w:val="none" w:sz="0" w:space="0" w:color="auto" w:frame="1"/>
          <w:lang w:val="en-GB" w:eastAsia="pl-PL"/>
        </w:rPr>
        <w:t xml:space="preserve">3, t = -3.91, </w:t>
      </w:r>
      <w:proofErr w:type="spellStart"/>
      <w:r w:rsidRPr="00863F57">
        <w:rPr>
          <w:rFonts w:ascii="Lucida Console" w:eastAsia="Times New Roman" w:hAnsi="Lucida Console" w:cs="Courier New"/>
          <w:sz w:val="20"/>
          <w:szCs w:val="20"/>
          <w:bdr w:val="none" w:sz="0" w:space="0" w:color="auto" w:frame="1"/>
          <w:lang w:val="en-GB" w:eastAsia="pl-PL"/>
        </w:rPr>
        <w:t>df</w:t>
      </w:r>
      <w:proofErr w:type="spellEnd"/>
      <w:r w:rsidRPr="00863F57">
        <w:rPr>
          <w:rFonts w:ascii="Lucida Console" w:eastAsia="Times New Roman" w:hAnsi="Lucida Console" w:cs="Courier New"/>
          <w:sz w:val="20"/>
          <w:szCs w:val="20"/>
          <w:bdr w:val="none" w:sz="0" w:space="0" w:color="auto" w:frame="1"/>
          <w:lang w:val="en-GB" w:eastAsia="pl-PL"/>
        </w:rPr>
        <w:t xml:space="preserve"> = 188.17, P &lt; 0.001</w:t>
      </w:r>
      <w:r w:rsidRPr="00863F57">
        <w:rPr>
          <w:lang w:val="en-GB"/>
        </w:rPr>
        <w:t>), in general being lower in experimental conditions (</w:t>
      </w:r>
      <w:r w:rsidRPr="00863F57">
        <w:rPr>
          <w:rFonts w:ascii="Lucida Console" w:eastAsia="Times New Roman" w:hAnsi="Lucida Console" w:cs="Courier New"/>
          <w:sz w:val="20"/>
          <w:szCs w:val="20"/>
          <w:bdr w:val="none" w:sz="0" w:space="0" w:color="auto" w:frame="1"/>
          <w:lang w:val="en-GB" w:eastAsia="pl-PL"/>
        </w:rPr>
        <w:t>Fig 4A</w:t>
      </w:r>
      <w:r w:rsidRPr="00863F57">
        <w:rPr>
          <w:rFonts w:ascii="Lucida Console" w:eastAsia="Times New Roman" w:hAnsi="Lucida Console" w:cs="Courier New"/>
          <w:sz w:val="20"/>
          <w:szCs w:val="20"/>
          <w:bdr w:val="none" w:sz="0" w:space="0" w:color="auto" w:frame="1"/>
          <w:lang w:val="en-GB" w:eastAsia="pl-PL"/>
        </w:rPr>
        <w:t>)</w:t>
      </w:r>
      <w:r w:rsidRPr="00863F57">
        <w:rPr>
          <w:lang w:val="en-GB"/>
        </w:rPr>
        <w:t>. There were also individual differences in foraging efficiency in response to the treatment (</w:t>
      </w:r>
      <w:proofErr w:type="spellStart"/>
      <w:r w:rsidRPr="00863F57">
        <w:rPr>
          <w:lang w:val="en-GB"/>
        </w:rPr>
        <w:t>Chisq</w:t>
      </w:r>
      <w:proofErr w:type="spellEnd"/>
      <w:r w:rsidRPr="00863F57">
        <w:rPr>
          <w:lang w:val="en-GB"/>
        </w:rPr>
        <w:t xml:space="preserve"> = 17.06, </w:t>
      </w:r>
      <w:proofErr w:type="spellStart"/>
      <w:r w:rsidRPr="00863F57">
        <w:rPr>
          <w:lang w:val="en-GB"/>
        </w:rPr>
        <w:t>df</w:t>
      </w:r>
      <w:proofErr w:type="spellEnd"/>
      <w:r w:rsidRPr="00863F57">
        <w:rPr>
          <w:lang w:val="en-GB"/>
        </w:rPr>
        <w:t xml:space="preserve"> = 1, P &lt; 0.001), with some individuals being more efficient in control conditions while others exhibiting a reverse pattern during the experimental treatment; in one case only foraging efficiency was similar in both control and experimental conditions (Fig. 4B)</w:t>
      </w:r>
      <w:r>
        <w:rPr>
          <w:lang w:val="en-GB"/>
        </w:rPr>
        <w:t>.</w:t>
      </w:r>
    </w:p>
    <w:p w:rsidR="00863F57" w:rsidRDefault="00863F57" w:rsidP="00D37AF1">
      <w:pPr>
        <w:rPr>
          <w:lang w:val="en-GB"/>
        </w:rPr>
      </w:pPr>
    </w:p>
    <w:p w:rsidR="00863F57" w:rsidRDefault="00863F57" w:rsidP="00D37AF1">
      <w:pPr>
        <w:rPr>
          <w:lang w:val="en-GB"/>
        </w:rPr>
      </w:pPr>
      <w:r>
        <w:rPr>
          <w:noProof/>
          <w:lang w:eastAsia="pl-PL"/>
        </w:rPr>
        <w:lastRenderedPageBreak/>
        <w:drawing>
          <wp:inline distT="0" distB="0" distL="0" distR="0" wp14:anchorId="059C82B2" wp14:editId="65BE40C9">
            <wp:extent cx="3841947" cy="3702240"/>
            <wp:effectExtent l="0" t="0" r="635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1947" cy="3702240"/>
                    </a:xfrm>
                    <a:prstGeom prst="rect">
                      <a:avLst/>
                    </a:prstGeom>
                  </pic:spPr>
                </pic:pic>
              </a:graphicData>
            </a:graphic>
          </wp:inline>
        </w:drawing>
      </w:r>
    </w:p>
    <w:p w:rsidR="00863F57" w:rsidRDefault="00863F57" w:rsidP="00D37AF1">
      <w:pPr>
        <w:rPr>
          <w:lang w:val="en-GB"/>
        </w:rPr>
      </w:pPr>
      <w:r>
        <w:rPr>
          <w:noProof/>
          <w:lang w:eastAsia="pl-PL"/>
        </w:rPr>
        <w:drawing>
          <wp:inline distT="0" distB="0" distL="0" distR="0" wp14:anchorId="0364B72F" wp14:editId="6290D21F">
            <wp:extent cx="3841947" cy="3702240"/>
            <wp:effectExtent l="0" t="0" r="635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1947" cy="3702240"/>
                    </a:xfrm>
                    <a:prstGeom prst="rect">
                      <a:avLst/>
                    </a:prstGeom>
                  </pic:spPr>
                </pic:pic>
              </a:graphicData>
            </a:graphic>
          </wp:inline>
        </w:drawing>
      </w:r>
    </w:p>
    <w:p w:rsidR="00863F57" w:rsidRPr="00863F57" w:rsidRDefault="00863F57" w:rsidP="00D37AF1">
      <w:pPr>
        <w:rPr>
          <w:lang w:val="en-GB"/>
        </w:rPr>
      </w:pPr>
    </w:p>
    <w:p w:rsidR="00926DEA" w:rsidRDefault="00C50513" w:rsidP="00CD20C8">
      <w:pPr>
        <w:jc w:val="both"/>
        <w:rPr>
          <w:lang w:val="en-GB"/>
        </w:rPr>
      </w:pPr>
      <w:r w:rsidRPr="0051112B">
        <w:rPr>
          <w:b/>
          <w:lang w:val="en-GB"/>
        </w:rPr>
        <w:t>The explorative behaviour</w:t>
      </w:r>
      <w:r w:rsidRPr="00926DEA">
        <w:rPr>
          <w:lang w:val="en-GB"/>
        </w:rPr>
        <w:t xml:space="preserve"> (i.e. number of feeders used during the foraging visit) slightly increased in </w:t>
      </w:r>
      <w:r w:rsidRPr="00926DEA">
        <w:rPr>
          <w:rFonts w:cstheme="minorHAnsi"/>
          <w:lang w:val="en-GB"/>
        </w:rPr>
        <w:t>response to a threat (</w:t>
      </w:r>
      <w:r w:rsidR="00926DEA" w:rsidRPr="00926DEA">
        <w:rPr>
          <w:rFonts w:cstheme="minorHAnsi"/>
          <w:lang w:val="en-GB"/>
        </w:rPr>
        <w:t>LMM, estimate = 0.09</w:t>
      </w:r>
      <w:r w:rsidRPr="00926DEA">
        <w:rPr>
          <w:rFonts w:cstheme="minorHAnsi"/>
          <w:lang w:val="en-GB"/>
        </w:rPr>
        <w:t xml:space="preserve">, SE = 0.04, t = 2.12, </w:t>
      </w:r>
      <w:proofErr w:type="spellStart"/>
      <w:r w:rsidRPr="00926DEA">
        <w:rPr>
          <w:rFonts w:cstheme="minorHAnsi"/>
          <w:lang w:val="en-GB"/>
        </w:rPr>
        <w:t>df</w:t>
      </w:r>
      <w:proofErr w:type="spellEnd"/>
      <w:r w:rsidRPr="00926DEA">
        <w:rPr>
          <w:rFonts w:cstheme="minorHAnsi"/>
          <w:lang w:val="en-GB"/>
        </w:rPr>
        <w:t xml:space="preserve"> = </w:t>
      </w:r>
      <w:r w:rsidRPr="00926DEA">
        <w:rPr>
          <w:rFonts w:eastAsia="Times New Roman" w:cstheme="minorHAnsi"/>
          <w:sz w:val="20"/>
          <w:szCs w:val="20"/>
          <w:bdr w:val="none" w:sz="0" w:space="0" w:color="auto" w:frame="1"/>
          <w:lang w:val="en-GB" w:eastAsia="pl-PL"/>
        </w:rPr>
        <w:t>186.5</w:t>
      </w:r>
      <w:r w:rsidR="00926DEA" w:rsidRPr="00926DEA">
        <w:rPr>
          <w:rFonts w:eastAsia="Times New Roman" w:cstheme="minorHAnsi"/>
          <w:sz w:val="20"/>
          <w:szCs w:val="20"/>
          <w:bdr w:val="none" w:sz="0" w:space="0" w:color="auto" w:frame="1"/>
          <w:lang w:val="en-GB" w:eastAsia="pl-PL"/>
        </w:rPr>
        <w:t>7</w:t>
      </w:r>
      <w:r w:rsidRPr="00926DEA">
        <w:rPr>
          <w:rFonts w:eastAsia="Times New Roman" w:cstheme="minorHAnsi"/>
          <w:sz w:val="20"/>
          <w:szCs w:val="20"/>
          <w:bdr w:val="none" w:sz="0" w:space="0" w:color="auto" w:frame="1"/>
          <w:lang w:val="en-GB" w:eastAsia="pl-PL"/>
        </w:rPr>
        <w:t xml:space="preserve">, </w:t>
      </w:r>
      <w:r w:rsidRPr="00926DEA">
        <w:rPr>
          <w:rFonts w:cstheme="minorHAnsi"/>
          <w:lang w:val="en-GB"/>
        </w:rPr>
        <w:t>P &lt; 0.04</w:t>
      </w:r>
      <w:r w:rsidR="00FE5280">
        <w:rPr>
          <w:rFonts w:cstheme="minorHAnsi"/>
          <w:lang w:val="en-GB"/>
        </w:rPr>
        <w:t xml:space="preserve">). The </w:t>
      </w:r>
      <w:r w:rsidRPr="00926DEA">
        <w:rPr>
          <w:rFonts w:cstheme="minorHAnsi"/>
          <w:lang w:val="en-GB"/>
        </w:rPr>
        <w:t xml:space="preserve">behaviour was related to foraging efficiency </w:t>
      </w:r>
      <w:r w:rsidR="00D72E44" w:rsidRPr="00926DEA">
        <w:rPr>
          <w:rFonts w:cstheme="minorHAnsi"/>
          <w:lang w:val="en-GB"/>
        </w:rPr>
        <w:t>(</w:t>
      </w:r>
      <w:r w:rsidR="00926DEA" w:rsidRPr="00926DEA">
        <w:rPr>
          <w:rFonts w:cstheme="minorHAnsi"/>
          <w:lang w:val="en-GB"/>
        </w:rPr>
        <w:t xml:space="preserve">LMM, </w:t>
      </w:r>
      <w:r w:rsidR="00926DEA" w:rsidRPr="00926DEA">
        <w:rPr>
          <w:rFonts w:cstheme="minorHAnsi"/>
          <w:lang w:val="en-GB"/>
        </w:rPr>
        <w:t xml:space="preserve">estimate = </w:t>
      </w:r>
      <w:r w:rsidR="00926DEA" w:rsidRPr="00926DEA">
        <w:rPr>
          <w:rFonts w:eastAsia="Times New Roman" w:cstheme="minorHAnsi"/>
          <w:sz w:val="20"/>
          <w:szCs w:val="20"/>
          <w:bdr w:val="none" w:sz="0" w:space="0" w:color="auto" w:frame="1"/>
          <w:lang w:val="en-GB" w:eastAsia="pl-PL"/>
        </w:rPr>
        <w:t xml:space="preserve">0.47, SE = 0.18, </w:t>
      </w:r>
      <w:r w:rsidR="00926DEA" w:rsidRPr="00926DEA">
        <w:rPr>
          <w:rFonts w:cstheme="minorHAnsi"/>
          <w:lang w:val="en-GB"/>
        </w:rPr>
        <w:t>t = 2.</w:t>
      </w:r>
      <w:r w:rsidR="00D72E44" w:rsidRPr="00926DEA">
        <w:rPr>
          <w:rFonts w:cstheme="minorHAnsi"/>
          <w:lang w:val="en-GB"/>
        </w:rPr>
        <w:t>5</w:t>
      </w:r>
      <w:r w:rsidR="00926DEA" w:rsidRPr="00926DEA">
        <w:rPr>
          <w:rFonts w:cstheme="minorHAnsi"/>
          <w:lang w:val="en-GB"/>
        </w:rPr>
        <w:t xml:space="preserve">3, </w:t>
      </w:r>
      <w:proofErr w:type="spellStart"/>
      <w:r w:rsidR="00926DEA" w:rsidRPr="00926DEA">
        <w:rPr>
          <w:rFonts w:cstheme="minorHAnsi"/>
          <w:lang w:val="en-GB"/>
        </w:rPr>
        <w:t>df</w:t>
      </w:r>
      <w:proofErr w:type="spellEnd"/>
      <w:r w:rsidR="00926DEA" w:rsidRPr="00926DEA">
        <w:rPr>
          <w:rFonts w:cstheme="minorHAnsi"/>
          <w:lang w:val="en-GB"/>
        </w:rPr>
        <w:t xml:space="preserve"> = 192.95, p = 0.01</w:t>
      </w:r>
      <w:r w:rsidR="00D72E44" w:rsidRPr="00926DEA">
        <w:rPr>
          <w:rFonts w:cstheme="minorHAnsi"/>
          <w:lang w:val="en-GB"/>
        </w:rPr>
        <w:t>)</w:t>
      </w:r>
      <w:r w:rsidR="006F0BA4" w:rsidRPr="00926DEA">
        <w:rPr>
          <w:rFonts w:cstheme="minorHAnsi"/>
          <w:lang w:val="en-GB"/>
        </w:rPr>
        <w:t xml:space="preserve">, </w:t>
      </w:r>
      <w:r w:rsidR="00FE5280">
        <w:rPr>
          <w:rFonts w:cstheme="minorHAnsi"/>
          <w:lang w:val="en-GB"/>
        </w:rPr>
        <w:t>h</w:t>
      </w:r>
      <w:r w:rsidR="006F0BA4" w:rsidRPr="00926DEA">
        <w:rPr>
          <w:rFonts w:cstheme="minorHAnsi"/>
          <w:lang w:val="en-GB"/>
        </w:rPr>
        <w:t>owever</w:t>
      </w:r>
      <w:r w:rsidR="00926DEA" w:rsidRPr="00926DEA">
        <w:rPr>
          <w:rFonts w:cstheme="minorHAnsi"/>
          <w:lang w:val="en-GB"/>
        </w:rPr>
        <w:t>,</w:t>
      </w:r>
      <w:r w:rsidR="00D72E44" w:rsidRPr="00926DEA">
        <w:rPr>
          <w:rFonts w:cstheme="minorHAnsi"/>
          <w:lang w:val="en-GB"/>
        </w:rPr>
        <w:t xml:space="preserve"> direction of </w:t>
      </w:r>
      <w:r w:rsidRPr="00926DEA">
        <w:rPr>
          <w:rFonts w:cstheme="minorHAnsi"/>
          <w:lang w:val="en-GB"/>
        </w:rPr>
        <w:t xml:space="preserve">the </w:t>
      </w:r>
      <w:r w:rsidR="00D72E44" w:rsidRPr="00926DEA">
        <w:rPr>
          <w:rFonts w:cstheme="minorHAnsi"/>
          <w:lang w:val="en-GB"/>
        </w:rPr>
        <w:t xml:space="preserve">relationship was clearly condition-dependent (as </w:t>
      </w:r>
      <w:r w:rsidR="00465243" w:rsidRPr="00926DEA">
        <w:rPr>
          <w:rFonts w:cstheme="minorHAnsi"/>
          <w:lang w:val="en-GB"/>
        </w:rPr>
        <w:t xml:space="preserve">indicated by the treatment x explorative behaviour </w:t>
      </w:r>
      <w:r w:rsidRPr="00926DEA">
        <w:rPr>
          <w:rFonts w:cstheme="minorHAnsi"/>
          <w:lang w:val="en-GB"/>
        </w:rPr>
        <w:t xml:space="preserve">interaction, </w:t>
      </w:r>
      <w:r w:rsidR="00926DEA" w:rsidRPr="00926DEA">
        <w:rPr>
          <w:rFonts w:cstheme="minorHAnsi"/>
          <w:lang w:val="en-GB"/>
        </w:rPr>
        <w:t xml:space="preserve">LMM, </w:t>
      </w:r>
      <w:r w:rsidRPr="00926DEA">
        <w:rPr>
          <w:rFonts w:cstheme="minorHAnsi"/>
          <w:lang w:val="en-GB"/>
        </w:rPr>
        <w:t>t =</w:t>
      </w:r>
      <w:r w:rsidR="00926DEA" w:rsidRPr="00926DEA">
        <w:rPr>
          <w:rFonts w:cstheme="minorHAnsi"/>
          <w:lang w:val="en-GB"/>
        </w:rPr>
        <w:t xml:space="preserve"> -5.72 , </w:t>
      </w:r>
      <w:proofErr w:type="spellStart"/>
      <w:r w:rsidR="00926DEA" w:rsidRPr="00926DEA">
        <w:rPr>
          <w:rFonts w:cstheme="minorHAnsi"/>
          <w:lang w:val="en-GB"/>
        </w:rPr>
        <w:t>df</w:t>
      </w:r>
      <w:proofErr w:type="spellEnd"/>
      <w:r w:rsidR="00926DEA" w:rsidRPr="00926DEA">
        <w:rPr>
          <w:rFonts w:cstheme="minorHAnsi"/>
          <w:lang w:val="en-GB"/>
        </w:rPr>
        <w:t xml:space="preserve"> = </w:t>
      </w:r>
      <w:r w:rsidR="00926DEA" w:rsidRPr="00926DEA">
        <w:rPr>
          <w:rFonts w:eastAsia="Times New Roman" w:cstheme="minorHAnsi"/>
          <w:sz w:val="20"/>
          <w:szCs w:val="20"/>
          <w:bdr w:val="none" w:sz="0" w:space="0" w:color="auto" w:frame="1"/>
          <w:lang w:val="en-GB" w:eastAsia="pl-PL"/>
        </w:rPr>
        <w:t>188.</w:t>
      </w:r>
      <w:r w:rsidR="00926DEA" w:rsidRPr="00926DEA">
        <w:rPr>
          <w:rFonts w:eastAsia="Times New Roman" w:cstheme="minorHAnsi"/>
          <w:sz w:val="20"/>
          <w:szCs w:val="20"/>
          <w:bdr w:val="none" w:sz="0" w:space="0" w:color="auto" w:frame="1"/>
          <w:lang w:val="en-GB" w:eastAsia="pl-PL"/>
        </w:rPr>
        <w:t xml:space="preserve">5, </w:t>
      </w:r>
      <w:r w:rsidRPr="00926DEA">
        <w:rPr>
          <w:rFonts w:cstheme="minorHAnsi"/>
          <w:lang w:val="en-GB"/>
        </w:rPr>
        <w:t xml:space="preserve">p </w:t>
      </w:r>
      <w:r w:rsidR="00926DEA" w:rsidRPr="00926DEA">
        <w:rPr>
          <w:rFonts w:cstheme="minorHAnsi"/>
          <w:lang w:val="en-GB"/>
        </w:rPr>
        <w:t>&lt; 0.001</w:t>
      </w:r>
      <w:r w:rsidRPr="00926DEA">
        <w:rPr>
          <w:rFonts w:cstheme="minorHAnsi"/>
          <w:lang w:val="en-GB"/>
        </w:rPr>
        <w:t xml:space="preserve">). </w:t>
      </w:r>
      <w:r w:rsidR="00465243" w:rsidRPr="00926DEA">
        <w:rPr>
          <w:rFonts w:cstheme="minorHAnsi"/>
          <w:lang w:val="en-GB"/>
        </w:rPr>
        <w:t xml:space="preserve">In undisturbed conditions, the relationship was positive </w:t>
      </w:r>
      <w:r w:rsidR="00465243" w:rsidRPr="00926DEA">
        <w:rPr>
          <w:rFonts w:cstheme="minorHAnsi"/>
          <w:lang w:val="en-GB"/>
        </w:rPr>
        <w:lastRenderedPageBreak/>
        <w:t>(</w:t>
      </w:r>
      <w:r w:rsidR="00926DEA" w:rsidRPr="00926DEA">
        <w:rPr>
          <w:rFonts w:cstheme="minorHAnsi"/>
          <w:lang w:val="en-GB"/>
        </w:rPr>
        <w:t xml:space="preserve">LMM, estimate = </w:t>
      </w:r>
      <w:r w:rsidR="00926DEA" w:rsidRPr="00926DEA">
        <w:rPr>
          <w:rFonts w:eastAsia="Times New Roman" w:cstheme="minorHAnsi"/>
          <w:sz w:val="20"/>
          <w:szCs w:val="20"/>
          <w:bdr w:val="none" w:sz="0" w:space="0" w:color="auto" w:frame="1"/>
          <w:lang w:val="en-GB" w:eastAsia="pl-PL"/>
        </w:rPr>
        <w:t>0.</w:t>
      </w:r>
      <w:r w:rsidR="00926DEA" w:rsidRPr="00926DEA">
        <w:rPr>
          <w:rFonts w:eastAsia="Times New Roman" w:cstheme="minorHAnsi"/>
          <w:sz w:val="20"/>
          <w:szCs w:val="20"/>
          <w:bdr w:val="none" w:sz="0" w:space="0" w:color="auto" w:frame="1"/>
          <w:lang w:val="en-GB" w:eastAsia="pl-PL"/>
        </w:rPr>
        <w:t>50</w:t>
      </w:r>
      <w:r w:rsidR="00926DEA" w:rsidRPr="00926DEA">
        <w:rPr>
          <w:rFonts w:cstheme="minorHAnsi"/>
          <w:lang w:val="en-GB"/>
        </w:rPr>
        <w:t xml:space="preserve">, SE = </w:t>
      </w:r>
      <w:r w:rsidR="00926DEA" w:rsidRPr="00926DEA">
        <w:rPr>
          <w:rFonts w:eastAsia="Times New Roman" w:cstheme="minorHAnsi"/>
          <w:sz w:val="20"/>
          <w:szCs w:val="20"/>
          <w:bdr w:val="none" w:sz="0" w:space="0" w:color="auto" w:frame="1"/>
          <w:lang w:val="en-GB" w:eastAsia="pl-PL"/>
        </w:rPr>
        <w:t>0.1</w:t>
      </w:r>
      <w:r w:rsidR="00926DEA" w:rsidRPr="00926DEA">
        <w:rPr>
          <w:rFonts w:eastAsia="Times New Roman" w:cstheme="minorHAnsi"/>
          <w:sz w:val="20"/>
          <w:szCs w:val="20"/>
          <w:bdr w:val="none" w:sz="0" w:space="0" w:color="auto" w:frame="1"/>
          <w:lang w:val="en-GB" w:eastAsia="pl-PL"/>
        </w:rPr>
        <w:t xml:space="preserve">6, t = </w:t>
      </w:r>
      <w:r w:rsidR="00926DEA" w:rsidRPr="00926DEA">
        <w:rPr>
          <w:rFonts w:eastAsia="Times New Roman" w:cstheme="minorHAnsi"/>
          <w:sz w:val="20"/>
          <w:szCs w:val="20"/>
          <w:bdr w:val="none" w:sz="0" w:space="0" w:color="auto" w:frame="1"/>
          <w:lang w:val="en-GB" w:eastAsia="pl-PL"/>
        </w:rPr>
        <w:t>3.18</w:t>
      </w:r>
      <w:r w:rsidR="00926DEA" w:rsidRPr="00926DEA">
        <w:rPr>
          <w:rFonts w:eastAsia="Times New Roman" w:cstheme="minorHAnsi"/>
          <w:sz w:val="20"/>
          <w:szCs w:val="20"/>
          <w:bdr w:val="none" w:sz="0" w:space="0" w:color="auto" w:frame="1"/>
          <w:lang w:val="en-GB" w:eastAsia="pl-PL"/>
        </w:rPr>
        <w:t xml:space="preserve">, </w:t>
      </w:r>
      <w:proofErr w:type="spellStart"/>
      <w:r w:rsidR="00926DEA" w:rsidRPr="00926DEA">
        <w:rPr>
          <w:rFonts w:eastAsia="Times New Roman" w:cstheme="minorHAnsi"/>
          <w:sz w:val="20"/>
          <w:szCs w:val="20"/>
          <w:bdr w:val="none" w:sz="0" w:space="0" w:color="auto" w:frame="1"/>
          <w:lang w:val="en-GB" w:eastAsia="pl-PL"/>
        </w:rPr>
        <w:t>df</w:t>
      </w:r>
      <w:proofErr w:type="spellEnd"/>
      <w:r w:rsidR="00926DEA" w:rsidRPr="00926DEA">
        <w:rPr>
          <w:rFonts w:eastAsia="Times New Roman" w:cstheme="minorHAnsi"/>
          <w:sz w:val="20"/>
          <w:szCs w:val="20"/>
          <w:bdr w:val="none" w:sz="0" w:space="0" w:color="auto" w:frame="1"/>
          <w:lang w:val="en-GB" w:eastAsia="pl-PL"/>
        </w:rPr>
        <w:t xml:space="preserve"> = </w:t>
      </w:r>
      <w:r w:rsidR="00926DEA" w:rsidRPr="00926DEA">
        <w:rPr>
          <w:rFonts w:eastAsia="Times New Roman" w:cstheme="minorHAnsi"/>
          <w:sz w:val="20"/>
          <w:szCs w:val="20"/>
          <w:bdr w:val="none" w:sz="0" w:space="0" w:color="auto" w:frame="1"/>
          <w:lang w:val="en-GB" w:eastAsia="pl-PL"/>
        </w:rPr>
        <w:t>139.2</w:t>
      </w:r>
      <w:r w:rsidR="00926DEA" w:rsidRPr="00926DEA">
        <w:rPr>
          <w:rFonts w:eastAsia="Times New Roman" w:cstheme="minorHAnsi"/>
          <w:sz w:val="20"/>
          <w:szCs w:val="20"/>
          <w:bdr w:val="none" w:sz="0" w:space="0" w:color="auto" w:frame="1"/>
          <w:lang w:val="en-GB" w:eastAsia="pl-PL"/>
        </w:rPr>
        <w:t>1, P = 0.002</w:t>
      </w:r>
      <w:r w:rsidR="00465243" w:rsidRPr="00926DEA">
        <w:rPr>
          <w:rFonts w:cstheme="minorHAnsi"/>
          <w:lang w:val="en-GB"/>
        </w:rPr>
        <w:t>), while in threatening conditions foraging efficiency decreased with exploration index (</w:t>
      </w:r>
      <w:r w:rsidR="00926DEA" w:rsidRPr="00926DEA">
        <w:rPr>
          <w:rFonts w:cstheme="minorHAnsi"/>
          <w:lang w:val="en-GB"/>
        </w:rPr>
        <w:t xml:space="preserve">LMM, </w:t>
      </w:r>
      <w:r w:rsidR="00926DEA" w:rsidRPr="00926DEA">
        <w:rPr>
          <w:rFonts w:cstheme="minorHAnsi"/>
          <w:lang w:val="en-GB"/>
        </w:rPr>
        <w:t xml:space="preserve">estimate = </w:t>
      </w:r>
      <w:r w:rsidR="00926DEA" w:rsidRPr="00926DEA">
        <w:rPr>
          <w:rFonts w:eastAsia="Times New Roman" w:cstheme="minorHAnsi"/>
          <w:sz w:val="20"/>
          <w:szCs w:val="20"/>
          <w:bdr w:val="none" w:sz="0" w:space="0" w:color="auto" w:frame="1"/>
          <w:lang w:val="en-GB" w:eastAsia="pl-PL"/>
        </w:rPr>
        <w:t>-0.9</w:t>
      </w:r>
      <w:r w:rsidR="00926DEA" w:rsidRPr="00926DEA">
        <w:rPr>
          <w:rFonts w:eastAsia="Times New Roman" w:cstheme="minorHAnsi"/>
          <w:sz w:val="20"/>
          <w:szCs w:val="20"/>
          <w:bdr w:val="none" w:sz="0" w:space="0" w:color="auto" w:frame="1"/>
          <w:lang w:val="en-GB" w:eastAsia="pl-PL"/>
        </w:rPr>
        <w:t xml:space="preserve">3, SE = 0.21, t = -4.36, </w:t>
      </w:r>
      <w:proofErr w:type="spellStart"/>
      <w:r w:rsidR="00926DEA" w:rsidRPr="00926DEA">
        <w:rPr>
          <w:rFonts w:eastAsia="Times New Roman" w:cstheme="minorHAnsi"/>
          <w:sz w:val="20"/>
          <w:szCs w:val="20"/>
          <w:bdr w:val="none" w:sz="0" w:space="0" w:color="auto" w:frame="1"/>
          <w:lang w:val="en-GB" w:eastAsia="pl-PL"/>
        </w:rPr>
        <w:t>df</w:t>
      </w:r>
      <w:proofErr w:type="spellEnd"/>
      <w:r w:rsidR="00926DEA" w:rsidRPr="00926DEA">
        <w:rPr>
          <w:rFonts w:eastAsia="Times New Roman" w:cstheme="minorHAnsi"/>
          <w:sz w:val="20"/>
          <w:szCs w:val="20"/>
          <w:bdr w:val="none" w:sz="0" w:space="0" w:color="auto" w:frame="1"/>
          <w:lang w:val="en-GB" w:eastAsia="pl-PL"/>
        </w:rPr>
        <w:t xml:space="preserve"> = </w:t>
      </w:r>
      <w:r w:rsidR="00926DEA" w:rsidRPr="00926DEA">
        <w:rPr>
          <w:rFonts w:eastAsia="Times New Roman" w:cstheme="minorHAnsi"/>
          <w:sz w:val="20"/>
          <w:szCs w:val="20"/>
          <w:bdr w:val="none" w:sz="0" w:space="0" w:color="auto" w:frame="1"/>
          <w:lang w:val="en-GB" w:eastAsia="pl-PL"/>
        </w:rPr>
        <w:t>49.87</w:t>
      </w:r>
      <w:r w:rsidR="00926DEA" w:rsidRPr="00926DEA">
        <w:rPr>
          <w:rFonts w:eastAsia="Times New Roman" w:cstheme="minorHAnsi"/>
          <w:sz w:val="20"/>
          <w:szCs w:val="20"/>
          <w:bdr w:val="none" w:sz="0" w:space="0" w:color="auto" w:frame="1"/>
          <w:lang w:val="en-GB" w:eastAsia="pl-PL"/>
        </w:rPr>
        <w:t xml:space="preserve">, P &lt; 0.001 </w:t>
      </w:r>
      <w:r w:rsidR="00863F57">
        <w:rPr>
          <w:rFonts w:cstheme="minorHAnsi"/>
          <w:lang w:val="en-GB"/>
        </w:rPr>
        <w:t>Fig. 5</w:t>
      </w:r>
      <w:r w:rsidR="00465243" w:rsidRPr="00926DEA">
        <w:rPr>
          <w:rFonts w:cstheme="minorHAnsi"/>
          <w:lang w:val="en-GB"/>
        </w:rPr>
        <w:t xml:space="preserve">). </w:t>
      </w:r>
    </w:p>
    <w:p w:rsidR="00926DEA" w:rsidRDefault="00926DEA" w:rsidP="00926DEA">
      <w:pPr>
        <w:rPr>
          <w:lang w:val="en-GB"/>
        </w:rPr>
      </w:pPr>
    </w:p>
    <w:p w:rsidR="00CB688B" w:rsidRDefault="00D72E44">
      <w:pPr>
        <w:rPr>
          <w:b/>
          <w:lang w:val="en-GB"/>
        </w:rPr>
      </w:pPr>
      <w:r>
        <w:rPr>
          <w:noProof/>
          <w:lang w:eastAsia="pl-PL"/>
        </w:rPr>
        <w:drawing>
          <wp:inline distT="0" distB="0" distL="0" distR="0" wp14:anchorId="20D14FCC" wp14:editId="7B95AF4B">
            <wp:extent cx="3858384" cy="2575367"/>
            <wp:effectExtent l="0" t="0" r="889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4853" cy="2586360"/>
                    </a:xfrm>
                    <a:prstGeom prst="rect">
                      <a:avLst/>
                    </a:prstGeom>
                  </pic:spPr>
                </pic:pic>
              </a:graphicData>
            </a:graphic>
          </wp:inline>
        </w:drawing>
      </w:r>
    </w:p>
    <w:p w:rsidR="00926DEA" w:rsidRDefault="00926DEA">
      <w:pPr>
        <w:rPr>
          <w:b/>
          <w:lang w:val="en-GB"/>
        </w:rPr>
      </w:pPr>
    </w:p>
    <w:p w:rsidR="00926DEA" w:rsidRDefault="00926DEA">
      <w:pPr>
        <w:rPr>
          <w:b/>
          <w:lang w:val="en-GB"/>
        </w:rPr>
      </w:pPr>
      <w:r>
        <w:rPr>
          <w:b/>
          <w:lang w:val="en-GB"/>
        </w:rPr>
        <w:t xml:space="preserve">Fig. </w:t>
      </w:r>
      <w:r w:rsidR="00863F57">
        <w:rPr>
          <w:b/>
          <w:lang w:val="en-GB"/>
        </w:rPr>
        <w:t>5</w:t>
      </w:r>
    </w:p>
    <w:p w:rsidR="00773DDD" w:rsidRDefault="00773DDD" w:rsidP="00773DDD">
      <w:pPr>
        <w:jc w:val="both"/>
        <w:rPr>
          <w:rFonts w:cstheme="minorHAnsi"/>
          <w:lang w:val="en-GB"/>
        </w:rPr>
      </w:pPr>
      <w:r w:rsidRPr="0051112B">
        <w:rPr>
          <w:lang w:val="en-GB"/>
        </w:rPr>
        <w:t>Latency</w:t>
      </w:r>
      <w:r>
        <w:rPr>
          <w:lang w:val="en-GB"/>
        </w:rPr>
        <w:t xml:space="preserve"> to approach a feeder </w:t>
      </w:r>
      <w:r w:rsidR="0051112B">
        <w:rPr>
          <w:lang w:val="en-GB"/>
        </w:rPr>
        <w:t>(</w:t>
      </w:r>
      <w:r w:rsidR="0051112B" w:rsidRPr="0051112B">
        <w:rPr>
          <w:b/>
          <w:lang w:val="en-GB"/>
        </w:rPr>
        <w:t>risk-avoidance</w:t>
      </w:r>
      <w:r w:rsidR="0051112B">
        <w:rPr>
          <w:lang w:val="en-GB"/>
        </w:rPr>
        <w:t xml:space="preserve">) </w:t>
      </w:r>
      <w:r>
        <w:rPr>
          <w:lang w:val="en-GB"/>
        </w:rPr>
        <w:t xml:space="preserve">was also affected by </w:t>
      </w:r>
      <w:r w:rsidR="00DF73B0">
        <w:rPr>
          <w:lang w:val="en-GB"/>
        </w:rPr>
        <w:t>experimental treatment</w:t>
      </w:r>
      <w:r>
        <w:rPr>
          <w:lang w:val="en-GB"/>
        </w:rPr>
        <w:t>, being longer in the threating conditions (</w:t>
      </w:r>
      <w:r w:rsidRPr="00926DEA">
        <w:rPr>
          <w:rFonts w:cstheme="minorHAnsi"/>
          <w:lang w:val="en-GB"/>
        </w:rPr>
        <w:t xml:space="preserve">LMM, estimate = </w:t>
      </w:r>
      <w:r w:rsidRPr="00773DDD">
        <w:rPr>
          <w:rFonts w:ascii="Lucida Console" w:eastAsia="Times New Roman" w:hAnsi="Lucida Console" w:cs="Courier New"/>
          <w:color w:val="93A1A1"/>
          <w:sz w:val="20"/>
          <w:szCs w:val="20"/>
          <w:bdr w:val="none" w:sz="0" w:space="0" w:color="auto" w:frame="1"/>
          <w:lang w:val="en-GB" w:eastAsia="pl-PL"/>
        </w:rPr>
        <w:t>-0.1</w:t>
      </w:r>
      <w:r w:rsidR="00DF73B0">
        <w:rPr>
          <w:rFonts w:ascii="Lucida Console" w:eastAsia="Times New Roman" w:hAnsi="Lucida Console" w:cs="Courier New"/>
          <w:color w:val="93A1A1"/>
          <w:sz w:val="20"/>
          <w:szCs w:val="20"/>
          <w:bdr w:val="none" w:sz="0" w:space="0" w:color="auto" w:frame="1"/>
          <w:lang w:val="en-GB" w:eastAsia="pl-PL"/>
        </w:rPr>
        <w:t>3</w:t>
      </w:r>
      <w:r w:rsidRPr="00926DEA">
        <w:rPr>
          <w:rFonts w:cstheme="minorHAnsi"/>
          <w:lang w:val="en-GB"/>
        </w:rPr>
        <w:t xml:space="preserve">, SE = </w:t>
      </w:r>
      <w:r w:rsidRPr="00773DDD">
        <w:rPr>
          <w:rFonts w:ascii="Lucida Console" w:eastAsia="Times New Roman" w:hAnsi="Lucida Console" w:cs="Courier New"/>
          <w:color w:val="93A1A1"/>
          <w:sz w:val="20"/>
          <w:szCs w:val="20"/>
          <w:bdr w:val="none" w:sz="0" w:space="0" w:color="auto" w:frame="1"/>
          <w:lang w:val="en-GB" w:eastAsia="pl-PL"/>
        </w:rPr>
        <w:t>0.04</w:t>
      </w:r>
      <w:r w:rsidRPr="00926DEA">
        <w:rPr>
          <w:rFonts w:cstheme="minorHAnsi"/>
          <w:lang w:val="en-GB"/>
        </w:rPr>
        <w:t xml:space="preserve">, t = </w:t>
      </w:r>
      <w:r w:rsidR="00DF73B0">
        <w:rPr>
          <w:rFonts w:ascii="Lucida Console" w:eastAsia="Times New Roman" w:hAnsi="Lucida Console" w:cs="Courier New"/>
          <w:color w:val="93A1A1"/>
          <w:sz w:val="20"/>
          <w:szCs w:val="20"/>
          <w:bdr w:val="none" w:sz="0" w:space="0" w:color="auto" w:frame="1"/>
          <w:lang w:val="en-GB" w:eastAsia="pl-PL"/>
        </w:rPr>
        <w:t>-3.16</w:t>
      </w:r>
      <w:r w:rsidRPr="00926DEA">
        <w:rPr>
          <w:rFonts w:cstheme="minorHAnsi"/>
          <w:lang w:val="en-GB"/>
        </w:rPr>
        <w:t xml:space="preserve">, </w:t>
      </w:r>
      <w:proofErr w:type="spellStart"/>
      <w:r w:rsidRPr="00926DEA">
        <w:rPr>
          <w:rFonts w:cstheme="minorHAnsi"/>
          <w:lang w:val="en-GB"/>
        </w:rPr>
        <w:t>df</w:t>
      </w:r>
      <w:proofErr w:type="spellEnd"/>
      <w:r w:rsidRPr="00926DEA">
        <w:rPr>
          <w:rFonts w:cstheme="minorHAnsi"/>
          <w:lang w:val="en-GB"/>
        </w:rPr>
        <w:t xml:space="preserve"> = </w:t>
      </w:r>
      <w:r w:rsidR="00DF73B0">
        <w:rPr>
          <w:rFonts w:ascii="Lucida Console" w:eastAsia="Times New Roman" w:hAnsi="Lucida Console" w:cs="Courier New"/>
          <w:color w:val="93A1A1"/>
          <w:sz w:val="20"/>
          <w:szCs w:val="20"/>
          <w:bdr w:val="none" w:sz="0" w:space="0" w:color="auto" w:frame="1"/>
          <w:lang w:val="en-GB" w:eastAsia="pl-PL"/>
        </w:rPr>
        <w:t>191.329588</w:t>
      </w:r>
      <w:r w:rsidRPr="00926DEA">
        <w:rPr>
          <w:rFonts w:eastAsia="Times New Roman" w:cstheme="minorHAnsi"/>
          <w:sz w:val="20"/>
          <w:szCs w:val="20"/>
          <w:bdr w:val="none" w:sz="0" w:space="0" w:color="auto" w:frame="1"/>
          <w:lang w:val="en-GB" w:eastAsia="pl-PL"/>
        </w:rPr>
        <w:t xml:space="preserve">, </w:t>
      </w:r>
      <w:r>
        <w:rPr>
          <w:rFonts w:cstheme="minorHAnsi"/>
          <w:lang w:val="en-GB"/>
        </w:rPr>
        <w:t>P = 0.002</w:t>
      </w:r>
      <w:r w:rsidR="00DF73B0">
        <w:rPr>
          <w:rFonts w:cstheme="minorHAnsi"/>
          <w:lang w:val="en-GB"/>
        </w:rPr>
        <w:t xml:space="preserve">; Fig. </w:t>
      </w:r>
      <w:r w:rsidR="00863F57">
        <w:rPr>
          <w:rFonts w:cstheme="minorHAnsi"/>
          <w:lang w:val="en-GB"/>
        </w:rPr>
        <w:t>6</w:t>
      </w:r>
      <w:r w:rsidRPr="00926DEA">
        <w:rPr>
          <w:rFonts w:cstheme="minorHAnsi"/>
          <w:lang w:val="en-GB"/>
        </w:rPr>
        <w:t>)</w:t>
      </w:r>
      <w:r w:rsidR="00DF73B0">
        <w:rPr>
          <w:rFonts w:cstheme="minorHAnsi"/>
          <w:lang w:val="en-GB"/>
        </w:rPr>
        <w:t>. Overall, and independently on conditions</w:t>
      </w:r>
      <w:r w:rsidRPr="00926DEA">
        <w:rPr>
          <w:rFonts w:cstheme="minorHAnsi"/>
          <w:lang w:val="en-GB"/>
        </w:rPr>
        <w:t xml:space="preserve">, </w:t>
      </w:r>
      <w:r w:rsidR="00DF73B0">
        <w:rPr>
          <w:rFonts w:cstheme="minorHAnsi"/>
          <w:lang w:val="en-GB"/>
        </w:rPr>
        <w:t xml:space="preserve">foraging efficiency was lower when high risk-avoidance was exhibited </w:t>
      </w:r>
      <w:r w:rsidRPr="00926DEA">
        <w:rPr>
          <w:rFonts w:cstheme="minorHAnsi"/>
          <w:lang w:val="en-GB"/>
        </w:rPr>
        <w:t xml:space="preserve">(LMM, estimate = </w:t>
      </w:r>
      <w:r w:rsidR="00DF73B0" w:rsidRPr="00773DDD">
        <w:rPr>
          <w:rFonts w:ascii="Lucida Console" w:eastAsia="Times New Roman" w:hAnsi="Lucida Console" w:cs="Courier New"/>
          <w:color w:val="93A1A1"/>
          <w:sz w:val="20"/>
          <w:szCs w:val="20"/>
          <w:bdr w:val="none" w:sz="0" w:space="0" w:color="auto" w:frame="1"/>
          <w:lang w:val="en-GB" w:eastAsia="pl-PL"/>
        </w:rPr>
        <w:t>-0.02</w:t>
      </w:r>
      <w:r w:rsidR="00DF73B0">
        <w:rPr>
          <w:rFonts w:eastAsia="Times New Roman" w:cstheme="minorHAnsi"/>
          <w:sz w:val="20"/>
          <w:szCs w:val="20"/>
          <w:bdr w:val="none" w:sz="0" w:space="0" w:color="auto" w:frame="1"/>
          <w:lang w:val="en-GB" w:eastAsia="pl-PL"/>
        </w:rPr>
        <w:t xml:space="preserve">, SE =  </w:t>
      </w:r>
      <w:r w:rsidR="00DF73B0">
        <w:rPr>
          <w:rFonts w:ascii="Lucida Console" w:eastAsia="Times New Roman" w:hAnsi="Lucida Console" w:cs="Courier New"/>
          <w:color w:val="93A1A1"/>
          <w:sz w:val="20"/>
          <w:szCs w:val="20"/>
          <w:bdr w:val="none" w:sz="0" w:space="0" w:color="auto" w:frame="1"/>
          <w:lang w:val="en-GB" w:eastAsia="pl-PL"/>
        </w:rPr>
        <w:t>0.01</w:t>
      </w:r>
      <w:r w:rsidRPr="00926DEA">
        <w:rPr>
          <w:rFonts w:eastAsia="Times New Roman" w:cstheme="minorHAnsi"/>
          <w:sz w:val="20"/>
          <w:szCs w:val="20"/>
          <w:bdr w:val="none" w:sz="0" w:space="0" w:color="auto" w:frame="1"/>
          <w:lang w:val="en-GB" w:eastAsia="pl-PL"/>
        </w:rPr>
        <w:t xml:space="preserve">, </w:t>
      </w:r>
      <w:r w:rsidRPr="00926DEA">
        <w:rPr>
          <w:rFonts w:cstheme="minorHAnsi"/>
          <w:lang w:val="en-GB"/>
        </w:rPr>
        <w:t xml:space="preserve">t = </w:t>
      </w:r>
      <w:r w:rsidR="00DF73B0" w:rsidRPr="00773DDD">
        <w:rPr>
          <w:rFonts w:ascii="Lucida Console" w:eastAsia="Times New Roman" w:hAnsi="Lucida Console" w:cs="Courier New"/>
          <w:color w:val="93A1A1"/>
          <w:sz w:val="20"/>
          <w:szCs w:val="20"/>
          <w:bdr w:val="none" w:sz="0" w:space="0" w:color="auto" w:frame="1"/>
          <w:lang w:val="en-GB" w:eastAsia="pl-PL"/>
        </w:rPr>
        <w:t xml:space="preserve">-2.19 </w:t>
      </w:r>
      <w:r w:rsidRPr="00926DEA">
        <w:rPr>
          <w:rFonts w:cstheme="minorHAnsi"/>
          <w:lang w:val="en-GB"/>
        </w:rPr>
        <w:t xml:space="preserve">, </w:t>
      </w:r>
      <w:proofErr w:type="spellStart"/>
      <w:r w:rsidRPr="00926DEA">
        <w:rPr>
          <w:rFonts w:cstheme="minorHAnsi"/>
          <w:lang w:val="en-GB"/>
        </w:rPr>
        <w:t>df</w:t>
      </w:r>
      <w:proofErr w:type="spellEnd"/>
      <w:r w:rsidRPr="00926DEA">
        <w:rPr>
          <w:rFonts w:cstheme="minorHAnsi"/>
          <w:lang w:val="en-GB"/>
        </w:rPr>
        <w:t xml:space="preserve"> = </w:t>
      </w:r>
      <w:r w:rsidR="00DF73B0" w:rsidRPr="00773DDD">
        <w:rPr>
          <w:rFonts w:ascii="Lucida Console" w:eastAsia="Times New Roman" w:hAnsi="Lucida Console" w:cs="Courier New"/>
          <w:color w:val="93A1A1"/>
          <w:sz w:val="20"/>
          <w:szCs w:val="20"/>
          <w:bdr w:val="none" w:sz="0" w:space="0" w:color="auto" w:frame="1"/>
          <w:lang w:val="en-GB" w:eastAsia="pl-PL"/>
        </w:rPr>
        <w:t>191.99</w:t>
      </w:r>
      <w:r w:rsidRPr="00926DEA">
        <w:rPr>
          <w:rFonts w:cstheme="minorHAnsi"/>
          <w:lang w:val="en-GB"/>
        </w:rPr>
        <w:t xml:space="preserve">, </w:t>
      </w:r>
      <w:r w:rsidR="00DF73B0">
        <w:rPr>
          <w:rFonts w:cstheme="minorHAnsi"/>
          <w:lang w:val="en-GB"/>
        </w:rPr>
        <w:t>P</w:t>
      </w:r>
      <w:r w:rsidRPr="00926DEA">
        <w:rPr>
          <w:rFonts w:cstheme="minorHAnsi"/>
          <w:lang w:val="en-GB"/>
        </w:rPr>
        <w:t xml:space="preserve"> = </w:t>
      </w:r>
      <w:r w:rsidR="00DF73B0" w:rsidRPr="00773DDD">
        <w:rPr>
          <w:rFonts w:ascii="Lucida Console" w:eastAsia="Times New Roman" w:hAnsi="Lucida Console" w:cs="Courier New"/>
          <w:color w:val="93A1A1"/>
          <w:sz w:val="20"/>
          <w:szCs w:val="20"/>
          <w:bdr w:val="none" w:sz="0" w:space="0" w:color="auto" w:frame="1"/>
          <w:lang w:val="en-GB" w:eastAsia="pl-PL"/>
        </w:rPr>
        <w:t>0.0</w:t>
      </w:r>
      <w:r w:rsidR="00DF73B0">
        <w:rPr>
          <w:rFonts w:ascii="Lucida Console" w:eastAsia="Times New Roman" w:hAnsi="Lucida Console" w:cs="Courier New"/>
          <w:color w:val="93A1A1"/>
          <w:sz w:val="20"/>
          <w:szCs w:val="20"/>
          <w:bdr w:val="none" w:sz="0" w:space="0" w:color="auto" w:frame="1"/>
          <w:lang w:val="en-GB" w:eastAsia="pl-PL"/>
        </w:rPr>
        <w:t>3</w:t>
      </w:r>
      <w:r w:rsidR="00DF73B0">
        <w:rPr>
          <w:rFonts w:cstheme="minorHAnsi"/>
          <w:lang w:val="en-GB"/>
        </w:rPr>
        <w:t xml:space="preserve">; interaction of latency and treatment: estimate = </w:t>
      </w:r>
      <w:r w:rsidR="00DF73B0">
        <w:rPr>
          <w:rFonts w:ascii="Lucida Console" w:eastAsia="Times New Roman" w:hAnsi="Lucida Console" w:cs="Courier New"/>
          <w:color w:val="93A1A1"/>
          <w:sz w:val="20"/>
          <w:szCs w:val="20"/>
          <w:bdr w:val="none" w:sz="0" w:space="0" w:color="auto" w:frame="1"/>
          <w:lang w:val="en-GB" w:eastAsia="pl-PL"/>
        </w:rPr>
        <w:t xml:space="preserve">0.02, SE = 0.01, t = 1.53, </w:t>
      </w:r>
      <w:proofErr w:type="spellStart"/>
      <w:r w:rsidR="00DF73B0">
        <w:rPr>
          <w:rFonts w:ascii="Lucida Console" w:eastAsia="Times New Roman" w:hAnsi="Lucida Console" w:cs="Courier New"/>
          <w:color w:val="93A1A1"/>
          <w:sz w:val="20"/>
          <w:szCs w:val="20"/>
          <w:bdr w:val="none" w:sz="0" w:space="0" w:color="auto" w:frame="1"/>
          <w:lang w:val="en-GB" w:eastAsia="pl-PL"/>
        </w:rPr>
        <w:t>df</w:t>
      </w:r>
      <w:proofErr w:type="spellEnd"/>
      <w:r w:rsidR="00DF73B0">
        <w:rPr>
          <w:rFonts w:ascii="Lucida Console" w:eastAsia="Times New Roman" w:hAnsi="Lucida Console" w:cs="Courier New"/>
          <w:color w:val="93A1A1"/>
          <w:sz w:val="20"/>
          <w:szCs w:val="20"/>
          <w:bdr w:val="none" w:sz="0" w:space="0" w:color="auto" w:frame="1"/>
          <w:lang w:val="en-GB" w:eastAsia="pl-PL"/>
        </w:rPr>
        <w:t xml:space="preserve"> = 191.99, P = 0.13; </w:t>
      </w:r>
      <w:r>
        <w:rPr>
          <w:rFonts w:cstheme="minorHAnsi"/>
          <w:lang w:val="en-GB"/>
        </w:rPr>
        <w:t xml:space="preserve">Fig. </w:t>
      </w:r>
      <w:r w:rsidR="00863F57">
        <w:rPr>
          <w:rFonts w:cstheme="minorHAnsi"/>
          <w:lang w:val="en-GB"/>
        </w:rPr>
        <w:t>6</w:t>
      </w:r>
      <w:r w:rsidRPr="00926DEA">
        <w:rPr>
          <w:rFonts w:cstheme="minorHAnsi"/>
          <w:lang w:val="en-GB"/>
        </w:rPr>
        <w:t xml:space="preserve">). </w:t>
      </w:r>
    </w:p>
    <w:p w:rsidR="00DF73B0" w:rsidRDefault="00DF73B0" w:rsidP="00773DDD">
      <w:pPr>
        <w:jc w:val="both"/>
        <w:rPr>
          <w:lang w:val="en-GB"/>
        </w:rPr>
      </w:pPr>
    </w:p>
    <w:p w:rsidR="00DF73B0" w:rsidRDefault="00DF73B0" w:rsidP="00773DDD">
      <w:pPr>
        <w:jc w:val="both"/>
        <w:rPr>
          <w:lang w:val="en-GB"/>
        </w:rPr>
      </w:pPr>
    </w:p>
    <w:p w:rsidR="002C6AC0" w:rsidRDefault="00D72E44">
      <w:pPr>
        <w:rPr>
          <w:b/>
          <w:lang w:val="en-GB"/>
        </w:rPr>
      </w:pPr>
      <w:r>
        <w:rPr>
          <w:noProof/>
          <w:lang w:eastAsia="pl-PL"/>
        </w:rPr>
        <w:drawing>
          <wp:inline distT="0" distB="0" distL="0" distR="0" wp14:anchorId="3CF96746" wp14:editId="6F94C860">
            <wp:extent cx="3580929" cy="2390172"/>
            <wp:effectExtent l="0" t="0" r="63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8467" cy="2401878"/>
                    </a:xfrm>
                    <a:prstGeom prst="rect">
                      <a:avLst/>
                    </a:prstGeom>
                  </pic:spPr>
                </pic:pic>
              </a:graphicData>
            </a:graphic>
          </wp:inline>
        </w:drawing>
      </w:r>
    </w:p>
    <w:p w:rsidR="00DF73B0" w:rsidRDefault="00DF73B0">
      <w:pPr>
        <w:rPr>
          <w:b/>
          <w:lang w:val="en-GB"/>
        </w:rPr>
      </w:pPr>
      <w:r>
        <w:rPr>
          <w:b/>
          <w:lang w:val="en-GB"/>
        </w:rPr>
        <w:t>Fig.</w:t>
      </w:r>
      <w:r w:rsidR="00863F57">
        <w:rPr>
          <w:b/>
          <w:lang w:val="en-GB"/>
        </w:rPr>
        <w:t>6</w:t>
      </w:r>
    </w:p>
    <w:p w:rsidR="00FE5280" w:rsidRDefault="00FE5280">
      <w:pPr>
        <w:rPr>
          <w:b/>
          <w:lang w:val="en-GB"/>
        </w:rPr>
      </w:pPr>
    </w:p>
    <w:p w:rsidR="00FE5280" w:rsidRPr="0051112B" w:rsidRDefault="00FE5280" w:rsidP="00FE5280">
      <w:pPr>
        <w:jc w:val="both"/>
        <w:rPr>
          <w:lang w:val="en-GB"/>
        </w:rPr>
      </w:pPr>
      <w:r w:rsidRPr="0051112B">
        <w:rPr>
          <w:lang w:val="en-GB"/>
        </w:rPr>
        <w:lastRenderedPageBreak/>
        <w:t xml:space="preserve">The </w:t>
      </w:r>
      <w:r w:rsidRPr="0051112B">
        <w:rPr>
          <w:lang w:val="en-GB"/>
        </w:rPr>
        <w:t>range of birds movement</w:t>
      </w:r>
      <w:r w:rsidR="0051112B">
        <w:rPr>
          <w:lang w:val="en-GB"/>
        </w:rPr>
        <w:t>s</w:t>
      </w:r>
      <w:r w:rsidRPr="0051112B">
        <w:rPr>
          <w:lang w:val="en-GB"/>
        </w:rPr>
        <w:t xml:space="preserve"> </w:t>
      </w:r>
      <w:r w:rsidR="0051112B">
        <w:rPr>
          <w:lang w:val="en-GB"/>
        </w:rPr>
        <w:t>(</w:t>
      </w:r>
      <w:r w:rsidR="0051112B" w:rsidRPr="0051112B">
        <w:rPr>
          <w:b/>
          <w:lang w:val="en-GB"/>
        </w:rPr>
        <w:t>arousal</w:t>
      </w:r>
      <w:r w:rsidR="0051112B">
        <w:rPr>
          <w:lang w:val="en-GB"/>
        </w:rPr>
        <w:t xml:space="preserve">) </w:t>
      </w:r>
      <w:r w:rsidRPr="0051112B">
        <w:rPr>
          <w:lang w:val="en-GB"/>
        </w:rPr>
        <w:t xml:space="preserve">increased in </w:t>
      </w:r>
      <w:r w:rsidRPr="0051112B">
        <w:rPr>
          <w:rFonts w:cstheme="minorHAnsi"/>
          <w:lang w:val="en-GB"/>
        </w:rPr>
        <w:t xml:space="preserve">response to a threat (LMM, estimate = </w:t>
      </w:r>
      <w:r w:rsidRPr="0051112B">
        <w:rPr>
          <w:rFonts w:ascii="Lucida Console" w:eastAsia="Times New Roman" w:hAnsi="Lucida Console" w:cs="Courier New"/>
          <w:sz w:val="20"/>
          <w:szCs w:val="20"/>
          <w:bdr w:val="none" w:sz="0" w:space="0" w:color="auto" w:frame="1"/>
          <w:lang w:val="en-GB" w:eastAsia="pl-PL"/>
        </w:rPr>
        <w:t>-0.3</w:t>
      </w:r>
      <w:r w:rsidR="0051112B" w:rsidRPr="0051112B">
        <w:rPr>
          <w:rFonts w:ascii="Lucida Console" w:eastAsia="Times New Roman" w:hAnsi="Lucida Console" w:cs="Courier New"/>
          <w:sz w:val="20"/>
          <w:szCs w:val="20"/>
          <w:bdr w:val="none" w:sz="0" w:space="0" w:color="auto" w:frame="1"/>
          <w:lang w:val="en-GB" w:eastAsia="pl-PL"/>
        </w:rPr>
        <w:t>3</w:t>
      </w:r>
      <w:r w:rsidRPr="0051112B">
        <w:rPr>
          <w:rFonts w:cstheme="minorHAnsi"/>
          <w:lang w:val="en-GB"/>
        </w:rPr>
        <w:t xml:space="preserve">, SE = </w:t>
      </w:r>
      <w:r w:rsidRPr="0051112B">
        <w:rPr>
          <w:rFonts w:ascii="Lucida Console" w:eastAsia="Times New Roman" w:hAnsi="Lucida Console" w:cs="Courier New"/>
          <w:sz w:val="20"/>
          <w:szCs w:val="20"/>
          <w:bdr w:val="none" w:sz="0" w:space="0" w:color="auto" w:frame="1"/>
          <w:lang w:val="en-GB" w:eastAsia="pl-PL"/>
        </w:rPr>
        <w:t>0.05</w:t>
      </w:r>
      <w:r w:rsidRPr="0051112B">
        <w:rPr>
          <w:rFonts w:cstheme="minorHAnsi"/>
          <w:lang w:val="en-GB"/>
        </w:rPr>
        <w:t xml:space="preserve">, t = </w:t>
      </w:r>
      <w:r w:rsidRPr="0051112B">
        <w:rPr>
          <w:rFonts w:ascii="Lucida Console" w:eastAsia="Times New Roman" w:hAnsi="Lucida Console" w:cs="Courier New"/>
          <w:sz w:val="20"/>
          <w:szCs w:val="20"/>
          <w:bdr w:val="none" w:sz="0" w:space="0" w:color="auto" w:frame="1"/>
          <w:lang w:val="en-GB" w:eastAsia="pl-PL"/>
        </w:rPr>
        <w:t>-6.1</w:t>
      </w:r>
      <w:r w:rsidR="0051112B" w:rsidRPr="0051112B">
        <w:rPr>
          <w:rFonts w:ascii="Lucida Console" w:eastAsia="Times New Roman" w:hAnsi="Lucida Console" w:cs="Courier New"/>
          <w:sz w:val="20"/>
          <w:szCs w:val="20"/>
          <w:bdr w:val="none" w:sz="0" w:space="0" w:color="auto" w:frame="1"/>
          <w:lang w:val="en-GB" w:eastAsia="pl-PL"/>
        </w:rPr>
        <w:t>3</w:t>
      </w:r>
      <w:r w:rsidRPr="0051112B">
        <w:rPr>
          <w:rFonts w:cstheme="minorHAnsi"/>
          <w:lang w:val="en-GB"/>
        </w:rPr>
        <w:t xml:space="preserve">, </w:t>
      </w:r>
      <w:proofErr w:type="spellStart"/>
      <w:r w:rsidRPr="0051112B">
        <w:rPr>
          <w:rFonts w:cstheme="minorHAnsi"/>
          <w:lang w:val="en-GB"/>
        </w:rPr>
        <w:t>df</w:t>
      </w:r>
      <w:proofErr w:type="spellEnd"/>
      <w:r w:rsidRPr="0051112B">
        <w:rPr>
          <w:rFonts w:cstheme="minorHAnsi"/>
          <w:lang w:val="en-GB"/>
        </w:rPr>
        <w:t xml:space="preserve"> = </w:t>
      </w:r>
      <w:r w:rsidRPr="0051112B">
        <w:rPr>
          <w:rFonts w:ascii="Lucida Console" w:eastAsia="Times New Roman" w:hAnsi="Lucida Console" w:cs="Courier New"/>
          <w:sz w:val="20"/>
          <w:szCs w:val="20"/>
          <w:bdr w:val="none" w:sz="0" w:space="0" w:color="auto" w:frame="1"/>
          <w:lang w:val="en-GB" w:eastAsia="pl-PL"/>
        </w:rPr>
        <w:t>188.71</w:t>
      </w:r>
      <w:r w:rsidRPr="0051112B">
        <w:rPr>
          <w:rFonts w:eastAsia="Times New Roman" w:cstheme="minorHAnsi"/>
          <w:sz w:val="20"/>
          <w:szCs w:val="20"/>
          <w:bdr w:val="none" w:sz="0" w:space="0" w:color="auto" w:frame="1"/>
          <w:lang w:val="en-GB" w:eastAsia="pl-PL"/>
        </w:rPr>
        <w:t xml:space="preserve">, </w:t>
      </w:r>
      <w:r w:rsidRPr="0051112B">
        <w:rPr>
          <w:rFonts w:cstheme="minorHAnsi"/>
          <w:lang w:val="en-GB"/>
        </w:rPr>
        <w:t>P &lt; 0.001). The arousal</w:t>
      </w:r>
      <w:r w:rsidRPr="0051112B">
        <w:rPr>
          <w:rFonts w:cstheme="minorHAnsi"/>
          <w:lang w:val="en-GB"/>
        </w:rPr>
        <w:t xml:space="preserve"> was </w:t>
      </w:r>
      <w:r w:rsidRPr="0051112B">
        <w:rPr>
          <w:rFonts w:cstheme="minorHAnsi"/>
          <w:lang w:val="en-GB"/>
        </w:rPr>
        <w:t xml:space="preserve">positively </w:t>
      </w:r>
      <w:r w:rsidRPr="0051112B">
        <w:rPr>
          <w:rFonts w:cstheme="minorHAnsi"/>
          <w:lang w:val="en-GB"/>
        </w:rPr>
        <w:t xml:space="preserve">related to foraging efficiency (LMM, estimate = </w:t>
      </w:r>
      <w:r w:rsidRPr="0051112B">
        <w:rPr>
          <w:rFonts w:ascii="Lucida Console" w:eastAsia="Times New Roman" w:hAnsi="Lucida Console" w:cs="Courier New"/>
          <w:sz w:val="20"/>
          <w:szCs w:val="20"/>
          <w:bdr w:val="none" w:sz="0" w:space="0" w:color="auto" w:frame="1"/>
          <w:lang w:val="en-GB" w:eastAsia="pl-PL"/>
        </w:rPr>
        <w:t>0.0</w:t>
      </w:r>
      <w:r w:rsidR="0051112B" w:rsidRPr="0051112B">
        <w:rPr>
          <w:rFonts w:ascii="Lucida Console" w:eastAsia="Times New Roman" w:hAnsi="Lucida Console" w:cs="Courier New"/>
          <w:sz w:val="20"/>
          <w:szCs w:val="20"/>
          <w:bdr w:val="none" w:sz="0" w:space="0" w:color="auto" w:frame="1"/>
          <w:lang w:val="en-GB" w:eastAsia="pl-PL"/>
        </w:rPr>
        <w:t>4</w:t>
      </w:r>
      <w:r w:rsidRPr="0051112B">
        <w:rPr>
          <w:rFonts w:eastAsia="Times New Roman" w:cstheme="minorHAnsi"/>
          <w:sz w:val="20"/>
          <w:szCs w:val="20"/>
          <w:bdr w:val="none" w:sz="0" w:space="0" w:color="auto" w:frame="1"/>
          <w:lang w:val="en-GB" w:eastAsia="pl-PL"/>
        </w:rPr>
        <w:t xml:space="preserve">, SE = </w:t>
      </w:r>
      <w:r w:rsidRPr="0051112B">
        <w:rPr>
          <w:rFonts w:ascii="Lucida Console" w:eastAsia="Times New Roman" w:hAnsi="Lucida Console" w:cs="Courier New"/>
          <w:sz w:val="20"/>
          <w:szCs w:val="20"/>
          <w:bdr w:val="none" w:sz="0" w:space="0" w:color="auto" w:frame="1"/>
          <w:lang w:val="en-GB" w:eastAsia="pl-PL"/>
        </w:rPr>
        <w:t>0.01</w:t>
      </w:r>
      <w:r w:rsidRPr="0051112B">
        <w:rPr>
          <w:rFonts w:eastAsia="Times New Roman" w:cstheme="minorHAnsi"/>
          <w:sz w:val="20"/>
          <w:szCs w:val="20"/>
          <w:bdr w:val="none" w:sz="0" w:space="0" w:color="auto" w:frame="1"/>
          <w:lang w:val="en-GB" w:eastAsia="pl-PL"/>
        </w:rPr>
        <w:t xml:space="preserve">, </w:t>
      </w:r>
      <w:r w:rsidRPr="0051112B">
        <w:rPr>
          <w:rFonts w:cstheme="minorHAnsi"/>
          <w:lang w:val="en-GB"/>
        </w:rPr>
        <w:t xml:space="preserve">t = </w:t>
      </w:r>
      <w:r w:rsidR="0051112B" w:rsidRPr="0051112B">
        <w:rPr>
          <w:rFonts w:ascii="Lucida Console" w:eastAsia="Times New Roman" w:hAnsi="Lucida Console" w:cs="Courier New"/>
          <w:sz w:val="20"/>
          <w:szCs w:val="20"/>
          <w:bdr w:val="none" w:sz="0" w:space="0" w:color="auto" w:frame="1"/>
          <w:lang w:val="en-GB" w:eastAsia="pl-PL"/>
        </w:rPr>
        <w:t>3.85</w:t>
      </w:r>
      <w:r w:rsidRPr="0051112B">
        <w:rPr>
          <w:rFonts w:cstheme="minorHAnsi"/>
          <w:lang w:val="en-GB"/>
        </w:rPr>
        <w:t xml:space="preserve">, </w:t>
      </w:r>
      <w:proofErr w:type="spellStart"/>
      <w:r w:rsidRPr="0051112B">
        <w:rPr>
          <w:rFonts w:cstheme="minorHAnsi"/>
          <w:lang w:val="en-GB"/>
        </w:rPr>
        <w:t>df</w:t>
      </w:r>
      <w:proofErr w:type="spellEnd"/>
      <w:r w:rsidRPr="0051112B">
        <w:rPr>
          <w:rFonts w:cstheme="minorHAnsi"/>
          <w:lang w:val="en-GB"/>
        </w:rPr>
        <w:t xml:space="preserve"> = </w:t>
      </w:r>
      <w:r w:rsidRPr="0051112B">
        <w:rPr>
          <w:rFonts w:ascii="Lucida Console" w:eastAsia="Times New Roman" w:hAnsi="Lucida Console" w:cs="Courier New"/>
          <w:sz w:val="20"/>
          <w:szCs w:val="20"/>
          <w:bdr w:val="none" w:sz="0" w:space="0" w:color="auto" w:frame="1"/>
          <w:lang w:val="en-GB" w:eastAsia="pl-PL"/>
        </w:rPr>
        <w:t>188.55</w:t>
      </w:r>
      <w:r w:rsidRPr="0051112B">
        <w:rPr>
          <w:rFonts w:cstheme="minorHAnsi"/>
          <w:lang w:val="en-GB"/>
        </w:rPr>
        <w:t xml:space="preserve">, </w:t>
      </w:r>
      <w:r w:rsidRPr="0051112B">
        <w:rPr>
          <w:rFonts w:cstheme="minorHAnsi"/>
          <w:lang w:val="en-GB"/>
        </w:rPr>
        <w:t>P &lt;</w:t>
      </w:r>
      <w:r w:rsidRPr="0051112B">
        <w:rPr>
          <w:rFonts w:cstheme="minorHAnsi"/>
          <w:lang w:val="en-GB"/>
        </w:rPr>
        <w:t xml:space="preserve"> 0.0</w:t>
      </w:r>
      <w:r w:rsidRPr="0051112B">
        <w:rPr>
          <w:rFonts w:cstheme="minorHAnsi"/>
          <w:lang w:val="en-GB"/>
        </w:rPr>
        <w:t>0</w:t>
      </w:r>
      <w:r w:rsidRPr="0051112B">
        <w:rPr>
          <w:rFonts w:cstheme="minorHAnsi"/>
          <w:lang w:val="en-GB"/>
        </w:rPr>
        <w:t xml:space="preserve">1), </w:t>
      </w:r>
      <w:r w:rsidRPr="0051112B">
        <w:rPr>
          <w:rFonts w:cstheme="minorHAnsi"/>
          <w:lang w:val="en-GB"/>
        </w:rPr>
        <w:t xml:space="preserve">and in the experimental conditions the relationship was the stronger </w:t>
      </w:r>
      <w:r w:rsidRPr="0051112B">
        <w:rPr>
          <w:rFonts w:cstheme="minorHAnsi"/>
          <w:lang w:val="en-GB"/>
        </w:rPr>
        <w:t xml:space="preserve">(as indicated by the treatment x explorative behaviour interaction, LMM, t = </w:t>
      </w:r>
      <w:r w:rsidR="0051112B" w:rsidRPr="0051112B">
        <w:rPr>
          <w:rFonts w:ascii="Lucida Console" w:eastAsia="Times New Roman" w:hAnsi="Lucida Console" w:cs="Courier New"/>
          <w:sz w:val="20"/>
          <w:szCs w:val="20"/>
          <w:bdr w:val="none" w:sz="0" w:space="0" w:color="auto" w:frame="1"/>
          <w:lang w:val="en-GB" w:eastAsia="pl-PL"/>
        </w:rPr>
        <w:t>5.23</w:t>
      </w:r>
      <w:r w:rsidRPr="0051112B">
        <w:rPr>
          <w:rFonts w:cstheme="minorHAnsi"/>
          <w:lang w:val="en-GB"/>
        </w:rPr>
        <w:t xml:space="preserve">, </w:t>
      </w:r>
      <w:proofErr w:type="spellStart"/>
      <w:r w:rsidRPr="0051112B">
        <w:rPr>
          <w:rFonts w:cstheme="minorHAnsi"/>
          <w:lang w:val="en-GB"/>
        </w:rPr>
        <w:t>df</w:t>
      </w:r>
      <w:proofErr w:type="spellEnd"/>
      <w:r w:rsidRPr="0051112B">
        <w:rPr>
          <w:rFonts w:cstheme="minorHAnsi"/>
          <w:lang w:val="en-GB"/>
        </w:rPr>
        <w:t xml:space="preserve"> = </w:t>
      </w:r>
      <w:r w:rsidR="0051112B" w:rsidRPr="0051112B">
        <w:rPr>
          <w:rFonts w:ascii="Lucida Console" w:eastAsia="Times New Roman" w:hAnsi="Lucida Console" w:cs="Courier New"/>
          <w:sz w:val="20"/>
          <w:szCs w:val="20"/>
          <w:bdr w:val="none" w:sz="0" w:space="0" w:color="auto" w:frame="1"/>
          <w:lang w:val="en-GB" w:eastAsia="pl-PL"/>
        </w:rPr>
        <w:t>188.36</w:t>
      </w:r>
      <w:r w:rsidRPr="0051112B">
        <w:rPr>
          <w:rFonts w:eastAsia="Times New Roman" w:cstheme="minorHAnsi"/>
          <w:sz w:val="20"/>
          <w:szCs w:val="20"/>
          <w:bdr w:val="none" w:sz="0" w:space="0" w:color="auto" w:frame="1"/>
          <w:lang w:val="en-GB" w:eastAsia="pl-PL"/>
        </w:rPr>
        <w:t xml:space="preserve">, </w:t>
      </w:r>
      <w:r w:rsidRPr="0051112B">
        <w:rPr>
          <w:rFonts w:cstheme="minorHAnsi"/>
          <w:lang w:val="en-GB"/>
        </w:rPr>
        <w:t>p &lt; 0.001</w:t>
      </w:r>
      <w:r w:rsidR="0051112B" w:rsidRPr="0051112B">
        <w:rPr>
          <w:rFonts w:cstheme="minorHAnsi"/>
          <w:lang w:val="en-GB"/>
        </w:rPr>
        <w:t xml:space="preserve">; </w:t>
      </w:r>
      <w:r w:rsidRPr="0051112B">
        <w:rPr>
          <w:rFonts w:cstheme="minorHAnsi"/>
          <w:lang w:val="en-GB"/>
        </w:rPr>
        <w:t xml:space="preserve">Fig. </w:t>
      </w:r>
      <w:r w:rsidR="00863F57">
        <w:rPr>
          <w:rFonts w:cstheme="minorHAnsi"/>
          <w:lang w:val="en-GB"/>
        </w:rPr>
        <w:t>7</w:t>
      </w:r>
      <w:r w:rsidRPr="0051112B">
        <w:rPr>
          <w:rFonts w:cstheme="minorHAnsi"/>
          <w:lang w:val="en-GB"/>
        </w:rPr>
        <w:t xml:space="preserve">). </w:t>
      </w:r>
    </w:p>
    <w:p w:rsidR="00FE5280" w:rsidRDefault="00FE5280">
      <w:pPr>
        <w:rPr>
          <w:b/>
          <w:lang w:val="en-GB"/>
        </w:rPr>
      </w:pPr>
    </w:p>
    <w:p w:rsidR="00DF73B0" w:rsidRDefault="00DF73B0">
      <w:pPr>
        <w:rPr>
          <w:b/>
          <w:lang w:val="en-GB"/>
        </w:rPr>
      </w:pPr>
    </w:p>
    <w:p w:rsidR="00932927" w:rsidRPr="00042BE7" w:rsidRDefault="002C6AC0">
      <w:pPr>
        <w:rPr>
          <w:b/>
          <w:lang w:val="en-GB"/>
        </w:rPr>
      </w:pPr>
      <w:r>
        <w:rPr>
          <w:noProof/>
          <w:lang w:eastAsia="pl-PL"/>
        </w:rPr>
        <w:drawing>
          <wp:inline distT="0" distB="0" distL="0" distR="0" wp14:anchorId="63AB1D00" wp14:editId="387564FF">
            <wp:extent cx="4144513" cy="2766350"/>
            <wp:effectExtent l="0" t="0" r="889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1053" cy="2770715"/>
                    </a:xfrm>
                    <a:prstGeom prst="rect">
                      <a:avLst/>
                    </a:prstGeom>
                  </pic:spPr>
                </pic:pic>
              </a:graphicData>
            </a:graphic>
          </wp:inline>
        </w:drawing>
      </w:r>
    </w:p>
    <w:p w:rsidR="002C6AC0" w:rsidRDefault="002C6AC0">
      <w:pPr>
        <w:rPr>
          <w:b/>
          <w:lang w:val="en-GB"/>
        </w:rPr>
      </w:pPr>
    </w:p>
    <w:p w:rsidR="00863F57" w:rsidRDefault="00863F57">
      <w:pPr>
        <w:rPr>
          <w:b/>
          <w:lang w:val="en-GB"/>
        </w:rPr>
      </w:pPr>
      <w:r>
        <w:rPr>
          <w:b/>
          <w:lang w:val="en-GB"/>
        </w:rPr>
        <w:t>Fig. 7</w:t>
      </w:r>
    </w:p>
    <w:p w:rsidR="00385A26" w:rsidRPr="00042BE7" w:rsidRDefault="00385A26">
      <w:pPr>
        <w:rPr>
          <w:b/>
          <w:lang w:val="en-GB"/>
        </w:rPr>
      </w:pPr>
      <w:r w:rsidRPr="00042BE7">
        <w:rPr>
          <w:b/>
          <w:lang w:val="en-GB"/>
        </w:rPr>
        <w:t>Discussion</w:t>
      </w:r>
      <w:bookmarkStart w:id="0" w:name="_GoBack"/>
      <w:bookmarkEnd w:id="0"/>
    </w:p>
    <w:p w:rsidR="00385A26" w:rsidRPr="00042BE7" w:rsidRDefault="00385A26">
      <w:pPr>
        <w:rPr>
          <w:b/>
          <w:lang w:val="en-GB"/>
        </w:rPr>
      </w:pPr>
      <w:r w:rsidRPr="00042BE7">
        <w:rPr>
          <w:b/>
          <w:lang w:val="en-GB"/>
        </w:rPr>
        <w:t>Acknowledgments</w:t>
      </w:r>
    </w:p>
    <w:p w:rsidR="00385A26" w:rsidRPr="00385A26" w:rsidRDefault="00385A26">
      <w:pPr>
        <w:rPr>
          <w:lang w:val="en-GB"/>
        </w:rPr>
      </w:pPr>
    </w:p>
    <w:sectPr w:rsidR="00385A26" w:rsidRPr="00385A26" w:rsidSect="00FE5280">
      <w:pgSz w:w="11906" w:h="16838"/>
      <w:pgMar w:top="1417" w:right="70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Lucida Console">
    <w:panose1 w:val="020B0609040504020204"/>
    <w:charset w:val="EE"/>
    <w:family w:val="modern"/>
    <w:pitch w:val="fixed"/>
    <w:sig w:usb0="8000028F" w:usb1="00001800" w:usb2="00000000" w:usb3="00000000" w:csb0="0000001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49D9"/>
    <w:multiLevelType w:val="multilevel"/>
    <w:tmpl w:val="AFE8D3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F37F83"/>
    <w:multiLevelType w:val="multilevel"/>
    <w:tmpl w:val="0D08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826"/>
    <w:rsid w:val="00042BE7"/>
    <w:rsid w:val="00110A4E"/>
    <w:rsid w:val="00183F7E"/>
    <w:rsid w:val="002C6AC0"/>
    <w:rsid w:val="00326299"/>
    <w:rsid w:val="00384E32"/>
    <w:rsid w:val="00385A26"/>
    <w:rsid w:val="00465243"/>
    <w:rsid w:val="004A6669"/>
    <w:rsid w:val="004E0667"/>
    <w:rsid w:val="0051112B"/>
    <w:rsid w:val="00534D38"/>
    <w:rsid w:val="00543AE8"/>
    <w:rsid w:val="005A1AC1"/>
    <w:rsid w:val="00686693"/>
    <w:rsid w:val="006F0BA4"/>
    <w:rsid w:val="00700B6D"/>
    <w:rsid w:val="007659D2"/>
    <w:rsid w:val="00773DDD"/>
    <w:rsid w:val="007A2BB0"/>
    <w:rsid w:val="007A3614"/>
    <w:rsid w:val="00863F57"/>
    <w:rsid w:val="0088697A"/>
    <w:rsid w:val="00926DEA"/>
    <w:rsid w:val="00932927"/>
    <w:rsid w:val="00950333"/>
    <w:rsid w:val="009927AD"/>
    <w:rsid w:val="009A2696"/>
    <w:rsid w:val="009E57AA"/>
    <w:rsid w:val="00A06D88"/>
    <w:rsid w:val="00A74BF1"/>
    <w:rsid w:val="00B61A16"/>
    <w:rsid w:val="00C01826"/>
    <w:rsid w:val="00C50513"/>
    <w:rsid w:val="00C61C49"/>
    <w:rsid w:val="00CB688B"/>
    <w:rsid w:val="00CC5BE8"/>
    <w:rsid w:val="00CD20C8"/>
    <w:rsid w:val="00CF560C"/>
    <w:rsid w:val="00D33C28"/>
    <w:rsid w:val="00D37AF1"/>
    <w:rsid w:val="00D72E44"/>
    <w:rsid w:val="00D73C2B"/>
    <w:rsid w:val="00DB0E0F"/>
    <w:rsid w:val="00DD0CAC"/>
    <w:rsid w:val="00DF73B0"/>
    <w:rsid w:val="00E120BA"/>
    <w:rsid w:val="00E673BD"/>
    <w:rsid w:val="00F26029"/>
    <w:rsid w:val="00F64F74"/>
    <w:rsid w:val="00FE528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ABF08"/>
  <w15:chartTrackingRefBased/>
  <w15:docId w15:val="{1AC84068-7024-4D29-8B0C-7F67E1CF1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385A26"/>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385A26"/>
    <w:rPr>
      <w:i/>
      <w:iCs/>
    </w:rPr>
  </w:style>
  <w:style w:type="paragraph" w:styleId="HTML-wstpniesformatowany">
    <w:name w:val="HTML Preformatted"/>
    <w:basedOn w:val="Normalny"/>
    <w:link w:val="HTML-wstpniesformatowanyZnak"/>
    <w:uiPriority w:val="99"/>
    <w:semiHidden/>
    <w:unhideWhenUsed/>
    <w:rsid w:val="00D72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72E44"/>
    <w:rPr>
      <w:rFonts w:ascii="Courier New" w:eastAsia="Times New Roman" w:hAnsi="Courier New" w:cs="Courier New"/>
      <w:sz w:val="20"/>
      <w:szCs w:val="20"/>
      <w:lang w:eastAsia="pl-PL"/>
    </w:rPr>
  </w:style>
  <w:style w:type="character" w:customStyle="1" w:styleId="gnkrckgcgsb">
    <w:name w:val="gnkrckgcgsb"/>
    <w:basedOn w:val="Domylnaczcionkaakapitu"/>
    <w:rsid w:val="00D72E44"/>
  </w:style>
  <w:style w:type="character" w:styleId="Pogrubienie">
    <w:name w:val="Strong"/>
    <w:basedOn w:val="Domylnaczcionkaakapitu"/>
    <w:uiPriority w:val="22"/>
    <w:qFormat/>
    <w:rsid w:val="005A1A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77808">
      <w:bodyDiv w:val="1"/>
      <w:marLeft w:val="0"/>
      <w:marRight w:val="0"/>
      <w:marTop w:val="0"/>
      <w:marBottom w:val="0"/>
      <w:divBdr>
        <w:top w:val="none" w:sz="0" w:space="0" w:color="auto"/>
        <w:left w:val="none" w:sz="0" w:space="0" w:color="auto"/>
        <w:bottom w:val="none" w:sz="0" w:space="0" w:color="auto"/>
        <w:right w:val="none" w:sz="0" w:space="0" w:color="auto"/>
      </w:divBdr>
    </w:div>
    <w:div w:id="212009157">
      <w:bodyDiv w:val="1"/>
      <w:marLeft w:val="0"/>
      <w:marRight w:val="0"/>
      <w:marTop w:val="0"/>
      <w:marBottom w:val="0"/>
      <w:divBdr>
        <w:top w:val="none" w:sz="0" w:space="0" w:color="auto"/>
        <w:left w:val="none" w:sz="0" w:space="0" w:color="auto"/>
        <w:bottom w:val="none" w:sz="0" w:space="0" w:color="auto"/>
        <w:right w:val="none" w:sz="0" w:space="0" w:color="auto"/>
      </w:divBdr>
    </w:div>
    <w:div w:id="465927914">
      <w:bodyDiv w:val="1"/>
      <w:marLeft w:val="0"/>
      <w:marRight w:val="0"/>
      <w:marTop w:val="0"/>
      <w:marBottom w:val="0"/>
      <w:divBdr>
        <w:top w:val="none" w:sz="0" w:space="0" w:color="auto"/>
        <w:left w:val="none" w:sz="0" w:space="0" w:color="auto"/>
        <w:bottom w:val="none" w:sz="0" w:space="0" w:color="auto"/>
        <w:right w:val="none" w:sz="0" w:space="0" w:color="auto"/>
      </w:divBdr>
    </w:div>
    <w:div w:id="616185048">
      <w:bodyDiv w:val="1"/>
      <w:marLeft w:val="0"/>
      <w:marRight w:val="0"/>
      <w:marTop w:val="0"/>
      <w:marBottom w:val="0"/>
      <w:divBdr>
        <w:top w:val="none" w:sz="0" w:space="0" w:color="auto"/>
        <w:left w:val="none" w:sz="0" w:space="0" w:color="auto"/>
        <w:bottom w:val="none" w:sz="0" w:space="0" w:color="auto"/>
        <w:right w:val="none" w:sz="0" w:space="0" w:color="auto"/>
      </w:divBdr>
    </w:div>
    <w:div w:id="619649229">
      <w:bodyDiv w:val="1"/>
      <w:marLeft w:val="0"/>
      <w:marRight w:val="0"/>
      <w:marTop w:val="0"/>
      <w:marBottom w:val="0"/>
      <w:divBdr>
        <w:top w:val="none" w:sz="0" w:space="0" w:color="auto"/>
        <w:left w:val="none" w:sz="0" w:space="0" w:color="auto"/>
        <w:bottom w:val="none" w:sz="0" w:space="0" w:color="auto"/>
        <w:right w:val="none" w:sz="0" w:space="0" w:color="auto"/>
      </w:divBdr>
    </w:div>
    <w:div w:id="680474978">
      <w:bodyDiv w:val="1"/>
      <w:marLeft w:val="0"/>
      <w:marRight w:val="0"/>
      <w:marTop w:val="0"/>
      <w:marBottom w:val="0"/>
      <w:divBdr>
        <w:top w:val="none" w:sz="0" w:space="0" w:color="auto"/>
        <w:left w:val="none" w:sz="0" w:space="0" w:color="auto"/>
        <w:bottom w:val="none" w:sz="0" w:space="0" w:color="auto"/>
        <w:right w:val="none" w:sz="0" w:space="0" w:color="auto"/>
      </w:divBdr>
    </w:div>
    <w:div w:id="900286577">
      <w:bodyDiv w:val="1"/>
      <w:marLeft w:val="0"/>
      <w:marRight w:val="0"/>
      <w:marTop w:val="0"/>
      <w:marBottom w:val="0"/>
      <w:divBdr>
        <w:top w:val="none" w:sz="0" w:space="0" w:color="auto"/>
        <w:left w:val="none" w:sz="0" w:space="0" w:color="auto"/>
        <w:bottom w:val="none" w:sz="0" w:space="0" w:color="auto"/>
        <w:right w:val="none" w:sz="0" w:space="0" w:color="auto"/>
      </w:divBdr>
    </w:div>
    <w:div w:id="1088430829">
      <w:bodyDiv w:val="1"/>
      <w:marLeft w:val="0"/>
      <w:marRight w:val="0"/>
      <w:marTop w:val="0"/>
      <w:marBottom w:val="0"/>
      <w:divBdr>
        <w:top w:val="none" w:sz="0" w:space="0" w:color="auto"/>
        <w:left w:val="none" w:sz="0" w:space="0" w:color="auto"/>
        <w:bottom w:val="none" w:sz="0" w:space="0" w:color="auto"/>
        <w:right w:val="none" w:sz="0" w:space="0" w:color="auto"/>
      </w:divBdr>
    </w:div>
    <w:div w:id="1108501285">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720936279">
      <w:bodyDiv w:val="1"/>
      <w:marLeft w:val="0"/>
      <w:marRight w:val="0"/>
      <w:marTop w:val="0"/>
      <w:marBottom w:val="0"/>
      <w:divBdr>
        <w:top w:val="none" w:sz="0" w:space="0" w:color="auto"/>
        <w:left w:val="none" w:sz="0" w:space="0" w:color="auto"/>
        <w:bottom w:val="none" w:sz="0" w:space="0" w:color="auto"/>
        <w:right w:val="none" w:sz="0" w:space="0" w:color="auto"/>
      </w:divBdr>
    </w:div>
    <w:div w:id="1926844693">
      <w:bodyDiv w:val="1"/>
      <w:marLeft w:val="0"/>
      <w:marRight w:val="0"/>
      <w:marTop w:val="0"/>
      <w:marBottom w:val="0"/>
      <w:divBdr>
        <w:top w:val="none" w:sz="0" w:space="0" w:color="auto"/>
        <w:left w:val="none" w:sz="0" w:space="0" w:color="auto"/>
        <w:bottom w:val="none" w:sz="0" w:space="0" w:color="auto"/>
        <w:right w:val="none" w:sz="0" w:space="0" w:color="auto"/>
      </w:divBdr>
    </w:div>
    <w:div w:id="212981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8D155-85FF-4A41-8A3B-BC433ECF7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6</Pages>
  <Words>1716</Words>
  <Characters>10302</Characters>
  <Application>Microsoft Office Word</Application>
  <DocSecurity>0</DocSecurity>
  <Lines>85</Lines>
  <Paragraphs>23</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 Wojczulanis</dc:creator>
  <cp:keywords/>
  <dc:description/>
  <cp:lastModifiedBy>Kasia Wojczulanis</cp:lastModifiedBy>
  <cp:revision>23</cp:revision>
  <dcterms:created xsi:type="dcterms:W3CDTF">2019-11-09T10:12:00Z</dcterms:created>
  <dcterms:modified xsi:type="dcterms:W3CDTF">2019-11-21T16:10:00Z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http://www.zotero.org/styles/behavioral-ecology-and-sociobiology</vt:lpwstr>
  </property>
  <property fmtid="{D5CDD505-2E9C-101B-9397-08002B2CF9AE}" pid="5" name="Mendeley Recent Style Name 1_1">
    <vt:lpwstr>Behavioral Ecology and Sociobiology</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http://www.zotero.org/styles/elsevier-vancouver-author-date</vt:lpwstr>
  </property>
  <property fmtid="{D5CDD505-2E9C-101B-9397-08002B2CF9AE}" pid="9" name="Mendeley Recent Style Name 3_1">
    <vt:lpwstr>Elsevier - Vancouver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http://www.zotero.org/styles/polar-biology</vt:lpwstr>
  </property>
  <property fmtid="{D5CDD505-2E9C-101B-9397-08002B2CF9AE}" pid="17" name="Mendeley Recent Style Name 7_1">
    <vt:lpwstr>Polar Biology</vt:lpwstr>
  </property>
  <property fmtid="{D5CDD505-2E9C-101B-9397-08002B2CF9AE}" pid="18" name="Mendeley Recent Style Id 8_1">
    <vt:lpwstr>http://www.zotero.org/styles/polar-science</vt:lpwstr>
  </property>
  <property fmtid="{D5CDD505-2E9C-101B-9397-08002B2CF9AE}" pid="19" name="Mendeley Recent Style Name 8_1">
    <vt:lpwstr>Polar Science</vt:lpwstr>
  </property>
  <property fmtid="{D5CDD505-2E9C-101B-9397-08002B2CF9AE}" pid="20" name="Mendeley Recent Style Id 9_1">
    <vt:lpwstr>http://www.zotero.org/styles/taylor-and-francis-harvard-v</vt:lpwstr>
  </property>
  <property fmtid="{D5CDD505-2E9C-101B-9397-08002B2CF9AE}" pid="21" name="Mendeley Recent Style Name 9_1">
    <vt:lpwstr>Taylor &amp; Francis - Harvard V</vt:lpwstr>
  </property>
  <property fmtid="{D5CDD505-2E9C-101B-9397-08002B2CF9AE}" pid="22" name="Mendeley Document_1">
    <vt:lpwstr>True</vt:lpwstr>
  </property>
  <property fmtid="{D5CDD505-2E9C-101B-9397-08002B2CF9AE}" pid="23" name="Mendeley Unique User Id_1">
    <vt:lpwstr>318543f5-356a-3da6-a836-263648243536</vt:lpwstr>
  </property>
  <property fmtid="{D5CDD505-2E9C-101B-9397-08002B2CF9AE}" pid="24" name="Mendeley Citation Style_1">
    <vt:lpwstr>http://www.zotero.org/styles/polar-biology</vt:lpwstr>
  </property>
</Properties>
</file>