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CC" w:rsidRDefault="00047DCC" w:rsidP="00047DCC">
      <w:pPr>
        <w:spacing w:after="0" w:line="240" w:lineRule="auto"/>
        <w:rPr>
          <w:rFonts w:cstheme="minorHAnsi"/>
          <w:lang w:val="en-GB"/>
        </w:rPr>
      </w:pPr>
      <w:r w:rsidRPr="00047DCC">
        <w:rPr>
          <w:rFonts w:cstheme="minorHAnsi"/>
          <w:b/>
          <w:lang w:val="en-GB"/>
        </w:rPr>
        <w:t>SUPPLEMENTARY MATERIALS:</w:t>
      </w:r>
      <w:r w:rsidRPr="00047DCC">
        <w:rPr>
          <w:rFonts w:cstheme="minorHAnsi"/>
          <w:lang w:val="en-GB"/>
        </w:rPr>
        <w:t xml:space="preserve"> Foraging, fear and behavioural </w:t>
      </w:r>
      <w:r>
        <w:rPr>
          <w:rFonts w:cstheme="minorHAnsi"/>
          <w:lang w:val="en-GB"/>
        </w:rPr>
        <w:t xml:space="preserve">plasticity </w:t>
      </w:r>
      <w:r w:rsidRPr="00047DCC">
        <w:rPr>
          <w:rFonts w:cstheme="minorHAnsi"/>
          <w:lang w:val="en-GB"/>
        </w:rPr>
        <w:t>– a lesson from hummingbirds</w:t>
      </w:r>
      <w:r>
        <w:rPr>
          <w:rFonts w:cstheme="minorHAnsi"/>
          <w:lang w:val="en-GB"/>
        </w:rPr>
        <w:t xml:space="preserve"> </w:t>
      </w:r>
    </w:p>
    <w:p w:rsidR="00047DCC" w:rsidRDefault="00047DCC" w:rsidP="00047DCC">
      <w:pPr>
        <w:spacing w:after="0" w:line="240" w:lineRule="auto"/>
        <w:rPr>
          <w:rFonts w:cstheme="minorHAnsi"/>
          <w:lang w:val="en-GB"/>
        </w:rPr>
      </w:pPr>
    </w:p>
    <w:p w:rsidR="00047DCC" w:rsidRPr="00047DCC" w:rsidRDefault="00047DCC" w:rsidP="00047DCC">
      <w:pPr>
        <w:spacing w:after="0" w:line="240" w:lineRule="auto"/>
        <w:rPr>
          <w:rFonts w:cstheme="minorHAnsi"/>
          <w:b/>
          <w:i/>
          <w:lang w:val="en-GB"/>
        </w:rPr>
      </w:pPr>
      <w:proofErr w:type="spellStart"/>
      <w:r w:rsidRPr="00047DCC">
        <w:rPr>
          <w:rFonts w:cstheme="minorHAnsi"/>
          <w:i/>
          <w:lang w:val="en-GB"/>
        </w:rPr>
        <w:t>Katarzyna</w:t>
      </w:r>
      <w:proofErr w:type="spellEnd"/>
      <w:r w:rsidRPr="00047DCC">
        <w:rPr>
          <w:rFonts w:cstheme="minorHAnsi"/>
          <w:i/>
          <w:lang w:val="en-GB"/>
        </w:rPr>
        <w:t xml:space="preserve"> </w:t>
      </w:r>
      <w:proofErr w:type="spellStart"/>
      <w:r w:rsidRPr="00047DCC">
        <w:rPr>
          <w:rFonts w:cstheme="minorHAnsi"/>
          <w:i/>
          <w:lang w:val="en-GB"/>
        </w:rPr>
        <w:t>Wojczulanis-Jakubas</w:t>
      </w:r>
      <w:proofErr w:type="spellEnd"/>
      <w:r w:rsidRPr="00047DCC">
        <w:rPr>
          <w:rFonts w:cstheme="minorHAnsi"/>
          <w:i/>
          <w:lang w:val="en-GB"/>
        </w:rPr>
        <w:t>,  Marcelo Araya-Salas</w:t>
      </w:r>
    </w:p>
    <w:p w:rsidR="00047DCC" w:rsidRDefault="00047DCC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</w:p>
    <w:p w:rsidR="009060E7" w:rsidRDefault="009060E7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:rsidR="00047DCC" w:rsidRDefault="00047DCC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To examine foraging efficiency (response variable) in regard to the context, behavioural parameters and their all interactions (predictors) we applied Bayesian MCMC generalized linear modelling, with bird’s identity included as a random factor.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model. The two approaches yield qualitatively similar results (Fig. S3), therefore we presented the latter in the main text, and below we present the outcome of the single behaviour-predictor models.</w:t>
      </w:r>
    </w:p>
    <w:p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754615">
        <w:rPr>
          <w:rFonts w:asciiTheme="minorHAnsi" w:hAnsiTheme="minorHAnsi" w:cstheme="minorHAnsi"/>
          <w:sz w:val="22"/>
          <w:szCs w:val="22"/>
          <w:lang w:val="en-GB"/>
        </w:rPr>
        <w:t>Three models were compared for each behavioural parameter:</w:t>
      </w:r>
    </w:p>
    <w:p w:rsidR="00754615" w:rsidRP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:rsidR="00754615" w:rsidRPr="00754615" w:rsidRDefault="00754615" w:rsidP="00754615">
      <w:pPr>
        <w:numPr>
          <w:ilvl w:val="0"/>
          <w:numId w:val="6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only context as predictor (i.e. </w:t>
      </w:r>
      <w:r w:rsidRPr="00754615">
        <w:rPr>
          <w:rStyle w:val="Pogrubienie"/>
          <w:rFonts w:cstheme="minorHAnsi"/>
          <w:lang w:val="en-GB"/>
        </w:rPr>
        <w:t>“classical” hypothesis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</w:rPr>
      </w:pPr>
      <w:proofErr w:type="spellStart"/>
      <w:r w:rsidRPr="00754615">
        <w:rPr>
          <w:rStyle w:val="mi"/>
          <w:rFonts w:cstheme="minorHAnsi"/>
          <w:i/>
          <w:iCs/>
        </w:rPr>
        <w:t>foraging</w:t>
      </w:r>
      <w:proofErr w:type="spellEnd"/>
      <w:r w:rsidRPr="00754615">
        <w:rPr>
          <w:rStyle w:val="mtext"/>
          <w:rFonts w:cstheme="minorHAnsi"/>
        </w:rPr>
        <w:t> </w:t>
      </w:r>
      <w:proofErr w:type="spellStart"/>
      <w:r w:rsidRPr="00754615">
        <w:rPr>
          <w:rStyle w:val="mi"/>
          <w:rFonts w:cstheme="minorHAnsi"/>
          <w:i/>
          <w:iCs/>
        </w:rPr>
        <w:t>efficiency</w:t>
      </w:r>
      <w:r w:rsidRPr="00754615">
        <w:rPr>
          <w:rStyle w:val="mo"/>
          <w:rFonts w:ascii="Cambria Math" w:hAnsi="Cambria Math" w:cs="Cambria Math"/>
        </w:rPr>
        <w:t>∼</w:t>
      </w:r>
      <w:r w:rsidRPr="00754615">
        <w:rPr>
          <w:rStyle w:val="mi"/>
          <w:rFonts w:cstheme="minorHAnsi"/>
          <w:i/>
          <w:iCs/>
        </w:rPr>
        <w:t>context</w:t>
      </w:r>
      <w:proofErr w:type="spellEnd"/>
      <w:r w:rsidRPr="00754615">
        <w:rPr>
          <w:rStyle w:val="mo"/>
          <w:rFonts w:cstheme="minorHAnsi"/>
        </w:rPr>
        <w:t>+(</w:t>
      </w:r>
      <w:r w:rsidRPr="00754615">
        <w:rPr>
          <w:rStyle w:val="mn"/>
          <w:rFonts w:cstheme="minorHAnsi"/>
        </w:rPr>
        <w:t>1</w:t>
      </w:r>
      <w:r w:rsidRPr="00754615">
        <w:rPr>
          <w:rStyle w:val="mo"/>
          <w:rFonts w:cstheme="minorHAnsi"/>
        </w:rPr>
        <w:t>|</w:t>
      </w:r>
      <w:r w:rsidRPr="00754615">
        <w:rPr>
          <w:rStyle w:val="mi"/>
          <w:rFonts w:cstheme="minorHAnsi"/>
          <w:i/>
          <w:iCs/>
        </w:rPr>
        <w:t>indiv</w:t>
      </w:r>
      <w:r w:rsidRPr="00754615">
        <w:rPr>
          <w:rStyle w:val="mo"/>
          <w:rFonts w:cstheme="minorHAnsi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</w:rPr>
      </w:pPr>
    </w:p>
    <w:p w:rsidR="00754615" w:rsidRDefault="00754615" w:rsidP="00754615">
      <w:pPr>
        <w:numPr>
          <w:ilvl w:val="0"/>
          <w:numId w:val="7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context, behavioural parameters and their interaction as predictors </w:t>
      </w:r>
    </w:p>
    <w:p w:rsidR="00754615" w:rsidRDefault="00754615" w:rsidP="00754615">
      <w:pPr>
        <w:spacing w:after="0" w:line="240" w:lineRule="auto"/>
        <w:ind w:left="720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(</w:t>
      </w:r>
      <w:r w:rsidRPr="00754615">
        <w:rPr>
          <w:rStyle w:val="Pogrubienie"/>
          <w:rFonts w:cstheme="minorHAnsi"/>
          <w:lang w:val="en-GB"/>
        </w:rPr>
        <w:t>alternative hypothesis accounting for individual differences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proofErr w:type="spellStart"/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i"/>
          <w:rFonts w:cstheme="minorHAnsi"/>
          <w:i/>
          <w:iCs/>
          <w:lang w:val="en-GB"/>
        </w:rPr>
        <w:t>context</w:t>
      </w:r>
      <w:r w:rsidRPr="00754615">
        <w:rPr>
          <w:rStyle w:val="mo"/>
          <w:rFonts w:ascii="Cambria Math" w:hAnsi="Cambria Math" w:cs="Cambria Math"/>
          <w:lang w:val="en-GB"/>
        </w:rPr>
        <w:t>∗</w:t>
      </w:r>
      <w:r w:rsidRPr="00754615">
        <w:rPr>
          <w:rStyle w:val="mi"/>
          <w:rFonts w:cstheme="minorHAnsi"/>
          <w:i/>
          <w:iCs/>
          <w:lang w:val="en-GB"/>
        </w:rPr>
        <w:t>behavioural</w:t>
      </w:r>
      <w:proofErr w:type="spellEnd"/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parameter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</w:p>
    <w:p w:rsidR="00754615" w:rsidRPr="00754615" w:rsidRDefault="00754615" w:rsidP="00754615">
      <w:pPr>
        <w:numPr>
          <w:ilvl w:val="0"/>
          <w:numId w:val="8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Null model with no predictor: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  <w:sectPr w:rsidR="00F44A3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lastRenderedPageBreak/>
        <w:t>Model selection results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:rsidR="009060E7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S1. </w:t>
      </w:r>
      <w:r w:rsidR="00754615" w:rsidRPr="00754615">
        <w:rPr>
          <w:rFonts w:cstheme="minorHAnsi"/>
          <w:lang w:val="en-GB"/>
        </w:rPr>
        <w:t xml:space="preserve">Ranking of models explaining foraging efficiency of long-billed hermits,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 xml:space="preserve">Deviance Information Criterion (DIC; </w:t>
      </w:r>
      <w:proofErr w:type="spellStart"/>
      <w:r w:rsidR="00754615" w:rsidRPr="00754615">
        <w:rPr>
          <w:rFonts w:cstheme="minorHAnsi"/>
          <w:lang w:val="en-GB"/>
        </w:rPr>
        <w:t>Akaike’s</w:t>
      </w:r>
      <w:proofErr w:type="spellEnd"/>
      <w:r w:rsidR="00754615" w:rsidRPr="00754615">
        <w:rPr>
          <w:rFonts w:cstheme="minorHAnsi"/>
          <w:lang w:val="en-GB"/>
        </w:rPr>
        <w:t xml:space="preserve"> Information Criterion AIC yields to same conclusions). B</w:t>
      </w:r>
      <w:r w:rsidRPr="00754615">
        <w:rPr>
          <w:rFonts w:eastAsia="Times New Roman" w:cstheme="minorHAnsi"/>
          <w:lang w:val="en-GB" w:eastAsia="pl-PL"/>
        </w:rPr>
        <w:t xml:space="preserve">est model for each parameters </w:t>
      </w:r>
      <w:r w:rsidR="00047DCC">
        <w:rPr>
          <w:rFonts w:eastAsia="Times New Roman" w:cstheme="minorHAnsi"/>
          <w:lang w:val="en-GB" w:eastAsia="pl-PL"/>
        </w:rPr>
        <w:t>is bolded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p w:rsidR="006C08CC" w:rsidRPr="00754615" w:rsidRDefault="006C08CC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:rsidTr="00047DCC">
        <w:tc>
          <w:tcPr>
            <w:tcW w:w="1428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esponse</w:t>
            </w:r>
            <w:proofErr w:type="spellEnd"/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redictors</w:t>
            </w:r>
            <w:proofErr w:type="spellEnd"/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df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weight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weight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arousal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Context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interaction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-365.8347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-365.8307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-328.9776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36.86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-331.0490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34.78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-309.6083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56.23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-312.2369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53.59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-298.5859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67.25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-302.1584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63.67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exploration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Context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interaction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-348.0369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-348.9852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:rsidTr="00047DCC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-310.8631</w:t>
            </w:r>
          </w:p>
        </w:tc>
        <w:tc>
          <w:tcPr>
            <w:tcW w:w="992" w:type="dxa"/>
            <w:vAlign w:val="center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37.17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-313.1746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35.81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-307.5661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40.47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-310.6167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38.37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-298.6007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49.44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-302.1654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46.82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risk_avoidance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Parameter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-314.1987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0.53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-316.4061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0.72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interaction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-313.7740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0.42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0.43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-314.0783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2.33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0.23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-308.9691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5.23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0.04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-311.0324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5.37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0.05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-296.4492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17.75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-299.8973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16.51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</w:tbl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9060E7" w:rsidRDefault="009060E7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="00754615" w:rsidRPr="00754615">
        <w:rPr>
          <w:rFonts w:cstheme="minorHAnsi"/>
          <w:lang w:val="en-GB"/>
        </w:rPr>
        <w:t xml:space="preserve">Effects of behavioural variables and predation context on foraging efficiency of long-billed hermits. Effects are model slope estimates derived from Bayesian MCMC generalized linear model.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p w:rsidR="006C08CC" w:rsidRPr="00754615" w:rsidRDefault="006C08CC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W w:w="12088" w:type="dxa"/>
        <w:tblLayout w:type="fixed"/>
        <w:tblLook w:val="04A0" w:firstRow="1" w:lastRow="0" w:firstColumn="1" w:lastColumn="0" w:noHBand="0" w:noVBand="1"/>
      </w:tblPr>
      <w:tblGrid>
        <w:gridCol w:w="1574"/>
        <w:gridCol w:w="1438"/>
        <w:gridCol w:w="2417"/>
        <w:gridCol w:w="992"/>
        <w:gridCol w:w="992"/>
        <w:gridCol w:w="992"/>
        <w:gridCol w:w="851"/>
        <w:gridCol w:w="989"/>
        <w:gridCol w:w="851"/>
        <w:gridCol w:w="992"/>
      </w:tblGrid>
      <w:tr w:rsidR="00F44A33" w:rsidRPr="006C08CC" w:rsidTr="006C08CC">
        <w:tc>
          <w:tcPr>
            <w:tcW w:w="1574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esponse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arameter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redictor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Effect</w:t>
            </w:r>
            <w:proofErr w:type="spellEnd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size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2.5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97.5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pMCMC</w:t>
            </w:r>
            <w:proofErr w:type="spellEnd"/>
          </w:p>
        </w:tc>
        <w:tc>
          <w:tcPr>
            <w:tcW w:w="989" w:type="dxa"/>
            <w:shd w:val="clear" w:color="auto" w:fill="BFBFBF" w:themeFill="background1" w:themeFillShade="BF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intercept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indv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obs</w:t>
            </w:r>
            <w:proofErr w:type="spellEnd"/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-0.0352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-0.0668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-0.0021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0.0347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0.0663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0.0195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0.1072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0.0044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risk:arousal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0.2815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0.1853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0.3802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-0.0972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-0.0316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0.0002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0.3039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0.5697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0.0296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risk:exploration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-1.1133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-1.4827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-0.7451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-0.0648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-0.0924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-0.0377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0.5209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192</w:t>
            </w:r>
          </w:p>
        </w:tc>
      </w:tr>
    </w:tbl>
    <w:p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12E90879" wp14:editId="10F6D5B6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S1.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 w:rsidSect="00047D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047DCC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 xml:space="preserve">Figure S2. </w:t>
      </w:r>
      <w:r w:rsidRPr="00754615">
        <w:rPr>
          <w:rFonts w:cstheme="minorHAnsi"/>
          <w:noProof/>
          <w:lang w:val="en-GB" w:eastAsia="pl-PL"/>
        </w:rPr>
        <w:t>Correlation coeficents between the three behavioural variables.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  <w:r>
        <w:rPr>
          <w:rFonts w:cstheme="minorHAnsi"/>
          <w:noProof/>
          <w:lang w:val="en-GB" w:eastAsia="pl-PL"/>
        </w:rPr>
        <w:br w:type="page"/>
      </w:r>
    </w:p>
    <w:p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2FADB4A5" wp14:editId="35F7F65C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9060E7" w:rsidRPr="00754615">
        <w:rPr>
          <w:rFonts w:eastAsia="Times New Roman" w:cstheme="minorHAnsi"/>
          <w:b/>
          <w:bCs/>
          <w:lang w:val="en-GB" w:eastAsia="pl-PL"/>
        </w:rPr>
        <w:t>3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:rsidR="00456065" w:rsidRPr="0075461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49D" w:rsidRDefault="0060749D" w:rsidP="00F44A33">
      <w:pPr>
        <w:spacing w:after="0" w:line="240" w:lineRule="auto"/>
      </w:pPr>
      <w:r>
        <w:separator/>
      </w:r>
    </w:p>
  </w:endnote>
  <w:endnote w:type="continuationSeparator" w:id="0">
    <w:p w:rsidR="0060749D" w:rsidRDefault="0060749D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041539"/>
      <w:docPartObj>
        <w:docPartGallery w:val="Page Numbers (Bottom of Page)"/>
        <w:docPartUnique/>
      </w:docPartObj>
    </w:sdtPr>
    <w:sdtEndPr/>
    <w:sdtContent>
      <w:p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8CC">
          <w:rPr>
            <w:noProof/>
          </w:rPr>
          <w:t>5</w:t>
        </w:r>
        <w:r>
          <w:fldChar w:fldCharType="end"/>
        </w:r>
      </w:p>
    </w:sdtContent>
  </w:sdt>
  <w:p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49D" w:rsidRDefault="0060749D" w:rsidP="00F44A33">
      <w:pPr>
        <w:spacing w:after="0" w:line="240" w:lineRule="auto"/>
      </w:pPr>
      <w:r>
        <w:separator/>
      </w:r>
    </w:p>
  </w:footnote>
  <w:footnote w:type="continuationSeparator" w:id="0">
    <w:p w:rsidR="0060749D" w:rsidRDefault="0060749D" w:rsidP="00F4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CC" w:rsidRPr="00047DCC" w:rsidRDefault="006C08CC" w:rsidP="006C08CC">
    <w:pPr>
      <w:spacing w:after="0" w:line="240" w:lineRule="auto"/>
      <w:jc w:val="right"/>
      <w:rPr>
        <w:rFonts w:cstheme="minorHAnsi"/>
        <w:b/>
        <w:i/>
        <w:lang w:val="en-GB"/>
      </w:rPr>
    </w:pPr>
    <w:r w:rsidRPr="00047DCC">
      <w:rPr>
        <w:rFonts w:cstheme="minorHAnsi"/>
        <w:lang w:val="en-GB"/>
      </w:rPr>
      <w:t xml:space="preserve">Foraging, fear and behavioural </w:t>
    </w:r>
    <w:r>
      <w:rPr>
        <w:rFonts w:cstheme="minorHAnsi"/>
        <w:lang w:val="en-GB"/>
      </w:rPr>
      <w:t xml:space="preserve">plasticity </w:t>
    </w:r>
    <w:r>
      <w:rPr>
        <w:rFonts w:cstheme="minorHAnsi"/>
        <w:lang w:val="en-GB"/>
      </w:rPr>
      <w:t xml:space="preserve">in </w:t>
    </w:r>
    <w:r w:rsidRPr="00047DCC">
      <w:rPr>
        <w:rFonts w:cstheme="minorHAnsi"/>
        <w:lang w:val="en-GB"/>
      </w:rPr>
      <w:t>hummingbirds</w:t>
    </w:r>
    <w:r>
      <w:rPr>
        <w:rFonts w:cstheme="minorHAnsi"/>
        <w:lang w:val="en-GB"/>
      </w:rPr>
      <w:t xml:space="preserve">, </w:t>
    </w:r>
    <w:proofErr w:type="spellStart"/>
    <w:r w:rsidR="00047DCC" w:rsidRPr="00047DCC">
      <w:rPr>
        <w:rFonts w:cstheme="minorHAnsi"/>
        <w:i/>
        <w:lang w:val="en-GB"/>
      </w:rPr>
      <w:t>Wojczulanis-Jakubas</w:t>
    </w:r>
    <w:proofErr w:type="spellEnd"/>
    <w:r w:rsidR="00047DCC" w:rsidRPr="00047DCC">
      <w:rPr>
        <w:rFonts w:cstheme="minorHAnsi"/>
        <w:i/>
        <w:lang w:val="en-GB"/>
      </w:rPr>
      <w:t xml:space="preserve"> &amp; </w:t>
    </w:r>
    <w:r w:rsidR="00047DCC" w:rsidRPr="00047DCC">
      <w:rPr>
        <w:rFonts w:cstheme="minorHAnsi"/>
        <w:i/>
        <w:lang w:val="en-GB"/>
      </w:rPr>
      <w:t>Araya-Salas</w:t>
    </w:r>
  </w:p>
  <w:p w:rsidR="00047DCC" w:rsidRPr="00047DCC" w:rsidRDefault="00047DCC">
    <w:pPr>
      <w:pStyle w:val="Nagwek"/>
      <w:rPr>
        <w:lang w:val="en-GB"/>
      </w:rPr>
    </w:pPr>
  </w:p>
  <w:p w:rsidR="00047DCC" w:rsidRPr="00047DCC" w:rsidRDefault="00047DCC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19"/>
    <w:rsid w:val="00047DCC"/>
    <w:rsid w:val="000926E7"/>
    <w:rsid w:val="00456065"/>
    <w:rsid w:val="00521B62"/>
    <w:rsid w:val="0060749D"/>
    <w:rsid w:val="006C08CC"/>
    <w:rsid w:val="00754615"/>
    <w:rsid w:val="008644C1"/>
    <w:rsid w:val="009060E7"/>
    <w:rsid w:val="00957319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C465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5A"/>
    <w:rsid w:val="00175F5A"/>
    <w:rsid w:val="005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979384D9649411A937410C26C0D82C8">
    <w:name w:val="0979384D9649411A937410C26C0D82C8"/>
    <w:rsid w:val="00175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33B36-DE63-4B79-9848-95621C2F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6</cp:revision>
  <dcterms:created xsi:type="dcterms:W3CDTF">2020-05-04T07:59:00Z</dcterms:created>
  <dcterms:modified xsi:type="dcterms:W3CDTF">2021-06-13T12:16:00Z</dcterms:modified>
</cp:coreProperties>
</file>